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strike w:val="0"/>
          <w:dstrike w:val="0"/>
          <w:color w:val="auto"/>
          <w:highlight w:val="none"/>
        </w:rPr>
      </w:pPr>
      <w:r>
        <w:rPr>
          <w:rFonts w:hint="eastAsia" w:ascii="宋体" w:hAnsi="宋体" w:eastAsia="宋体" w:cs="宋体"/>
          <w:color w:val="auto"/>
          <w:highlight w:val="none"/>
        </w:rPr>
        <w:t>附件1：资格审查条件</w:t>
      </w:r>
    </w:p>
    <w:p>
      <w:pPr>
        <w:rPr>
          <w:rFonts w:hint="eastAsia" w:ascii="宋体" w:hAnsi="宋体" w:eastAsia="宋体" w:cs="宋体"/>
          <w:color w:val="auto"/>
          <w:sz w:val="24"/>
          <w:szCs w:val="24"/>
          <w:highlight w:val="none"/>
        </w:rPr>
      </w:pPr>
    </w:p>
    <w:p>
      <w:pPr>
        <w:spacing w:line="360" w:lineRule="auto"/>
        <w:jc w:val="center"/>
        <w:rPr>
          <w:rStyle w:val="21"/>
          <w:rFonts w:hint="eastAsia" w:ascii="宋体" w:hAnsi="宋体" w:eastAsia="宋体" w:cs="宋体"/>
          <w:b/>
          <w:bCs/>
          <w:color w:val="auto"/>
          <w:sz w:val="24"/>
          <w:szCs w:val="24"/>
          <w:highlight w:val="none"/>
        </w:rPr>
      </w:pPr>
      <w:r>
        <w:rPr>
          <w:rStyle w:val="21"/>
          <w:rFonts w:hint="eastAsia" w:ascii="宋体" w:hAnsi="宋体" w:eastAsia="宋体" w:cs="宋体"/>
          <w:b/>
          <w:bCs/>
          <w:color w:val="auto"/>
          <w:sz w:val="24"/>
          <w:szCs w:val="24"/>
          <w:highlight w:val="none"/>
        </w:rPr>
        <w:t>附录1 资格审查条件（资质最低</w:t>
      </w:r>
      <w:r>
        <w:rPr>
          <w:rStyle w:val="21"/>
          <w:rFonts w:hint="eastAsia" w:ascii="宋体" w:hAnsi="宋体" w:eastAsia="宋体" w:cs="宋体"/>
          <w:b/>
          <w:bCs/>
          <w:color w:val="auto"/>
          <w:sz w:val="24"/>
          <w:szCs w:val="24"/>
          <w:highlight w:val="none"/>
          <w:lang w:val="en-US"/>
        </w:rPr>
        <w:t>要求</w:t>
      </w:r>
      <w:r>
        <w:rPr>
          <w:rStyle w:val="21"/>
          <w:rFonts w:hint="eastAsia" w:ascii="宋体" w:hAnsi="宋体" w:eastAsia="宋体" w:cs="宋体"/>
          <w:b/>
          <w:bCs/>
          <w:color w:val="auto"/>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shd w:val="clear" w:color="auto" w:fill="auto"/>
            <w:vAlign w:val="center"/>
          </w:tcPr>
          <w:p>
            <w:pPr>
              <w:jc w:val="center"/>
              <w:rPr>
                <w:rFonts w:hint="eastAsia"/>
                <w:color w:val="auto"/>
                <w:highlight w:val="none"/>
              </w:rPr>
            </w:pPr>
            <w:r>
              <w:rPr>
                <w:rFonts w:hint="eastAsia"/>
                <w:b/>
                <w:bCs/>
                <w:color w:val="auto"/>
                <w:sz w:val="24"/>
                <w:szCs w:val="32"/>
                <w:highlight w:val="none"/>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180" w:type="dxa"/>
            <w:shd w:val="clear" w:color="auto" w:fill="auto"/>
            <w:vAlign w:val="center"/>
          </w:tcPr>
          <w:p>
            <w:pPr>
              <w:spacing w:line="24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投标人须为在中华人民共和国境内注册的独立法人，具备有效的营业执照</w:t>
            </w:r>
            <w:r>
              <w:rPr>
                <w:rFonts w:hint="eastAsia" w:ascii="宋体" w:hAnsi="宋体" w:eastAsia="宋体" w:cs="宋体"/>
                <w:color w:val="auto"/>
                <w:sz w:val="24"/>
                <w:szCs w:val="24"/>
                <w:highlight w:val="none"/>
                <w:lang w:val="en-US" w:eastAsia="zh-CN"/>
              </w:rPr>
              <w:t>及印刷经营许可证。</w:t>
            </w:r>
          </w:p>
        </w:tc>
      </w:tr>
    </w:tbl>
    <w:p>
      <w:pPr>
        <w:spacing w:line="360" w:lineRule="auto"/>
        <w:jc w:val="left"/>
        <w:rPr>
          <w:rStyle w:val="21"/>
          <w:rFonts w:hint="eastAsia" w:ascii="宋体" w:hAnsi="宋体" w:eastAsia="宋体" w:cs="宋体"/>
          <w:b/>
          <w:color w:val="auto"/>
          <w:sz w:val="24"/>
          <w:szCs w:val="24"/>
          <w:highlight w:val="none"/>
        </w:rPr>
      </w:pPr>
    </w:p>
    <w:p>
      <w:pPr>
        <w:spacing w:line="360" w:lineRule="auto"/>
        <w:jc w:val="left"/>
        <w:rPr>
          <w:rStyle w:val="22"/>
          <w:rFonts w:hint="eastAsia" w:ascii="宋体" w:hAnsi="宋体" w:eastAsia="宋体" w:cs="宋体"/>
          <w:b/>
          <w:color w:val="auto"/>
          <w:sz w:val="24"/>
          <w:szCs w:val="24"/>
          <w:highlight w:val="none"/>
        </w:rPr>
      </w:pPr>
    </w:p>
    <w:p>
      <w:pPr>
        <w:spacing w:line="360" w:lineRule="auto"/>
        <w:jc w:val="center"/>
        <w:rPr>
          <w:rStyle w:val="22"/>
          <w:rFonts w:hint="eastAsia" w:ascii="宋体" w:hAnsi="宋体" w:eastAsia="宋体" w:cs="宋体"/>
          <w:b/>
          <w:bCs/>
          <w:color w:val="auto"/>
          <w:sz w:val="24"/>
          <w:szCs w:val="24"/>
          <w:highlight w:val="none"/>
        </w:rPr>
      </w:pPr>
      <w:r>
        <w:rPr>
          <w:rStyle w:val="22"/>
          <w:rFonts w:hint="eastAsia" w:ascii="宋体" w:hAnsi="宋体" w:eastAsia="宋体" w:cs="宋体"/>
          <w:b/>
          <w:bCs/>
          <w:color w:val="auto"/>
          <w:sz w:val="24"/>
          <w:szCs w:val="24"/>
          <w:highlight w:val="none"/>
        </w:rPr>
        <w:t>附录</w:t>
      </w:r>
      <w:r>
        <w:rPr>
          <w:rStyle w:val="22"/>
          <w:rFonts w:hint="eastAsia" w:ascii="宋体" w:hAnsi="宋体" w:eastAsia="宋体" w:cs="宋体"/>
          <w:b/>
          <w:bCs/>
          <w:color w:val="auto"/>
          <w:sz w:val="24"/>
          <w:szCs w:val="24"/>
          <w:highlight w:val="none"/>
          <w:lang w:val="en-US"/>
        </w:rPr>
        <w:t>2</w:t>
      </w:r>
      <w:r>
        <w:rPr>
          <w:rStyle w:val="22"/>
          <w:rFonts w:hint="eastAsia" w:ascii="宋体" w:hAnsi="宋体" w:cs="宋体"/>
          <w:b/>
          <w:bCs/>
          <w:color w:val="auto"/>
          <w:sz w:val="24"/>
          <w:szCs w:val="24"/>
          <w:highlight w:val="none"/>
          <w:lang w:val="en-US"/>
        </w:rPr>
        <w:t xml:space="preserve"> </w:t>
      </w:r>
      <w:r>
        <w:rPr>
          <w:rStyle w:val="22"/>
          <w:rFonts w:hint="eastAsia" w:ascii="宋体" w:hAnsi="宋体" w:eastAsia="宋体" w:cs="宋体"/>
          <w:b/>
          <w:bCs/>
          <w:color w:val="auto"/>
          <w:sz w:val="24"/>
          <w:szCs w:val="24"/>
          <w:highlight w:val="none"/>
        </w:rPr>
        <w:t>资格审查条件（</w:t>
      </w:r>
      <w:r>
        <w:rPr>
          <w:rFonts w:hint="eastAsia" w:ascii="宋体" w:hAnsi="宋体" w:eastAsia="宋体" w:cs="宋体"/>
          <w:b/>
          <w:bCs/>
          <w:color w:val="auto"/>
          <w:sz w:val="24"/>
          <w:szCs w:val="24"/>
          <w:highlight w:val="none"/>
        </w:rPr>
        <w:t>业绩最低要求</w:t>
      </w:r>
      <w:r>
        <w:rPr>
          <w:rStyle w:val="22"/>
          <w:rFonts w:hint="eastAsia" w:ascii="宋体" w:hAnsi="宋体" w:eastAsia="宋体" w:cs="宋体"/>
          <w:b/>
          <w:bCs/>
          <w:color w:val="auto"/>
          <w:sz w:val="24"/>
          <w:szCs w:val="24"/>
          <w:highlight w:val="none"/>
        </w:rPr>
        <w:t>）</w:t>
      </w:r>
    </w:p>
    <w:tbl>
      <w:tblPr>
        <w:tblStyle w:val="16"/>
        <w:tblpPr w:leftFromText="180" w:rightFromText="180" w:vertAnchor="text" w:horzAnchor="margin" w:tblpXSpec="center" w:tblpY="2"/>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blHeader/>
        </w:trPr>
        <w:tc>
          <w:tcPr>
            <w:tcW w:w="8498" w:type="dxa"/>
            <w:vAlign w:val="center"/>
          </w:tcPr>
          <w:p>
            <w:pPr>
              <w:jc w:val="center"/>
              <w:rPr>
                <w:rFonts w:hint="eastAsia"/>
                <w:color w:val="auto"/>
                <w:highlight w:val="none"/>
              </w:rPr>
            </w:pPr>
            <w:r>
              <w:rPr>
                <w:rFonts w:hint="eastAsia"/>
                <w:b/>
                <w:bCs/>
                <w:color w:val="auto"/>
                <w:sz w:val="24"/>
                <w:szCs w:val="32"/>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498" w:type="dxa"/>
            <w:vAlign w:val="center"/>
          </w:tcPr>
          <w:p>
            <w:pPr>
              <w:pStyle w:val="19"/>
              <w:spacing w:line="240" w:lineRule="auto"/>
              <w:ind w:firstLineChars="0"/>
              <w:jc w:val="left"/>
              <w:rPr>
                <w:rFonts w:hint="default" w:ascii="宋体" w:hAnsi="宋体" w:eastAsia="宋体" w:cs="宋体"/>
                <w:color w:val="auto"/>
                <w:kern w:val="0"/>
                <w:sz w:val="24"/>
                <w:szCs w:val="24"/>
                <w:highlight w:val="none"/>
                <w:shd w:val="clear" w:color="auto" w:fill="FFFFFF" w:themeFill="background1"/>
                <w:lang w:val="en-US" w:eastAsia="zh-CN"/>
              </w:rPr>
            </w:pPr>
            <w:r>
              <w:rPr>
                <w:rFonts w:hint="eastAsia" w:ascii="宋体" w:hAnsi="宋体" w:cs="宋体"/>
                <w:color w:val="auto"/>
                <w:kern w:val="0"/>
                <w:sz w:val="24"/>
                <w:szCs w:val="24"/>
                <w:highlight w:val="none"/>
                <w:shd w:val="clear" w:color="auto" w:fill="FFFFFF" w:themeFill="background1"/>
                <w:lang w:val="en-US" w:eastAsia="zh-CN"/>
              </w:rPr>
              <w:t>近3年（2022年3月1日至</w:t>
            </w:r>
            <w:r>
              <w:rPr>
                <w:rFonts w:hint="eastAsia" w:ascii="宋体" w:hAnsi="宋体" w:eastAsia="宋体" w:cs="宋体"/>
                <w:color w:val="auto"/>
                <w:kern w:val="0"/>
                <w:sz w:val="24"/>
                <w:szCs w:val="24"/>
                <w:highlight w:val="none"/>
                <w:shd w:val="clear" w:color="auto" w:fill="FFFFFF" w:themeFill="background1"/>
                <w:lang w:val="zh-TW" w:eastAsia="zh-TW"/>
              </w:rPr>
              <w:t>投标截止时间</w:t>
            </w:r>
            <w:r>
              <w:rPr>
                <w:rFonts w:hint="eastAsia" w:ascii="宋体" w:hAnsi="宋体" w:cs="宋体"/>
                <w:color w:val="auto"/>
                <w:kern w:val="0"/>
                <w:sz w:val="24"/>
                <w:szCs w:val="24"/>
                <w:highlight w:val="none"/>
                <w:shd w:val="clear" w:color="auto" w:fill="FFFFFF" w:themeFill="background1"/>
                <w:lang w:val="zh-TW" w:eastAsia="zh-CN"/>
              </w:rPr>
              <w:t>，</w:t>
            </w:r>
            <w:r>
              <w:rPr>
                <w:rFonts w:hint="eastAsia" w:ascii="宋体" w:hAnsi="宋体" w:eastAsia="宋体" w:cs="宋体"/>
                <w:color w:val="auto"/>
                <w:kern w:val="0"/>
                <w:sz w:val="24"/>
                <w:szCs w:val="24"/>
                <w:highlight w:val="none"/>
                <w:shd w:val="clear" w:color="auto" w:fill="FFFFFF" w:themeFill="background1"/>
                <w:lang w:val="zh-TW" w:eastAsia="zh-TW"/>
              </w:rPr>
              <w:t>以合同签订</w:t>
            </w:r>
            <w:r>
              <w:rPr>
                <w:rFonts w:hint="eastAsia" w:ascii="宋体" w:hAnsi="宋体" w:eastAsia="宋体" w:cs="宋体"/>
                <w:color w:val="auto"/>
                <w:kern w:val="0"/>
                <w:sz w:val="24"/>
                <w:szCs w:val="24"/>
                <w:highlight w:val="none"/>
                <w:shd w:val="clear" w:color="auto" w:fill="FFFFFF" w:themeFill="background1"/>
                <w:lang w:val="en-US" w:eastAsia="zh-CN"/>
              </w:rPr>
              <w:t>时间</w:t>
            </w:r>
            <w:r>
              <w:rPr>
                <w:rFonts w:hint="eastAsia" w:ascii="宋体" w:hAnsi="宋体" w:eastAsia="宋体" w:cs="宋体"/>
                <w:color w:val="auto"/>
                <w:kern w:val="0"/>
                <w:sz w:val="24"/>
                <w:szCs w:val="24"/>
                <w:highlight w:val="none"/>
                <w:shd w:val="clear" w:color="auto" w:fill="FFFFFF" w:themeFill="background1"/>
                <w:lang w:val="zh-TW" w:eastAsia="zh-TW"/>
              </w:rPr>
              <w:t>为准</w:t>
            </w:r>
            <w:r>
              <w:rPr>
                <w:rFonts w:hint="eastAsia" w:ascii="宋体" w:hAnsi="宋体" w:cs="宋体"/>
                <w:color w:val="auto"/>
                <w:kern w:val="0"/>
                <w:sz w:val="24"/>
                <w:szCs w:val="24"/>
                <w:highlight w:val="none"/>
                <w:shd w:val="clear" w:color="auto" w:fill="FFFFFF" w:themeFill="background1"/>
                <w:lang w:val="en-US" w:eastAsia="zh-CN"/>
              </w:rPr>
              <w:t>），至少承揽过1项印刷服务业绩。</w:t>
            </w:r>
          </w:p>
        </w:tc>
      </w:tr>
    </w:tbl>
    <w:p>
      <w:pPr>
        <w:spacing w:line="360" w:lineRule="auto"/>
        <w:ind w:firstLine="2400" w:firstLineChars="1000"/>
        <w:jc w:val="left"/>
        <w:rPr>
          <w:rStyle w:val="21"/>
          <w:rFonts w:hint="eastAsia" w:ascii="宋体" w:hAnsi="宋体" w:eastAsia="宋体" w:cs="宋体"/>
          <w:color w:val="auto"/>
          <w:sz w:val="24"/>
          <w:szCs w:val="24"/>
          <w:highlight w:val="none"/>
        </w:rPr>
      </w:pPr>
    </w:p>
    <w:p>
      <w:pPr>
        <w:spacing w:line="360" w:lineRule="auto"/>
        <w:jc w:val="both"/>
        <w:rPr>
          <w:rStyle w:val="22"/>
          <w:rFonts w:hint="eastAsia" w:ascii="宋体" w:hAnsi="宋体" w:eastAsia="宋体" w:cs="宋体"/>
          <w:b/>
          <w:bCs/>
          <w:color w:val="auto"/>
          <w:sz w:val="24"/>
          <w:szCs w:val="24"/>
          <w:highlight w:val="none"/>
        </w:rPr>
      </w:pPr>
    </w:p>
    <w:p>
      <w:pPr>
        <w:spacing w:line="360" w:lineRule="auto"/>
        <w:jc w:val="center"/>
        <w:rPr>
          <w:rStyle w:val="21"/>
          <w:rFonts w:hint="eastAsia" w:ascii="宋体" w:hAnsi="宋体" w:eastAsia="宋体" w:cs="宋体"/>
          <w:b/>
          <w:bCs/>
          <w:color w:val="auto"/>
          <w:sz w:val="24"/>
          <w:szCs w:val="24"/>
          <w:highlight w:val="none"/>
        </w:rPr>
      </w:pPr>
      <w:r>
        <w:rPr>
          <w:rStyle w:val="22"/>
          <w:rFonts w:hint="eastAsia" w:ascii="宋体" w:hAnsi="宋体" w:eastAsia="宋体" w:cs="宋体"/>
          <w:b/>
          <w:bCs/>
          <w:color w:val="auto"/>
          <w:sz w:val="24"/>
          <w:szCs w:val="24"/>
          <w:highlight w:val="none"/>
        </w:rPr>
        <w:t>附录</w:t>
      </w:r>
      <w:r>
        <w:rPr>
          <w:rStyle w:val="22"/>
          <w:rFonts w:hint="eastAsia" w:ascii="宋体" w:hAnsi="宋体" w:eastAsia="宋体" w:cs="宋体"/>
          <w:b/>
          <w:bCs/>
          <w:color w:val="auto"/>
          <w:sz w:val="24"/>
          <w:szCs w:val="24"/>
          <w:highlight w:val="none"/>
          <w:lang w:val="en-US"/>
        </w:rPr>
        <w:t>3</w:t>
      </w:r>
      <w:r>
        <w:rPr>
          <w:rStyle w:val="22"/>
          <w:rFonts w:hint="eastAsia" w:ascii="宋体" w:hAnsi="宋体" w:cs="宋体"/>
          <w:b/>
          <w:bCs/>
          <w:color w:val="auto"/>
          <w:sz w:val="24"/>
          <w:szCs w:val="24"/>
          <w:highlight w:val="none"/>
          <w:lang w:val="en-US"/>
        </w:rPr>
        <w:t xml:space="preserve"> </w:t>
      </w:r>
      <w:r>
        <w:rPr>
          <w:rStyle w:val="21"/>
          <w:rFonts w:hint="eastAsia" w:ascii="宋体" w:hAnsi="宋体" w:eastAsia="宋体" w:cs="宋体"/>
          <w:b/>
          <w:bCs/>
          <w:color w:val="auto"/>
          <w:sz w:val="24"/>
          <w:szCs w:val="24"/>
          <w:highlight w:val="none"/>
        </w:rPr>
        <w:t>资格审查条件（信誉最低要求）</w:t>
      </w:r>
    </w:p>
    <w:tbl>
      <w:tblPr>
        <w:tblStyle w:val="16"/>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5" w:type="dxa"/>
            <w:shd w:val="clear" w:color="auto" w:fill="auto"/>
          </w:tcPr>
          <w:p>
            <w:pPr>
              <w:jc w:val="center"/>
              <w:rPr>
                <w:rFonts w:hint="eastAsia"/>
                <w:b/>
                <w:bCs/>
                <w:color w:val="auto"/>
                <w:sz w:val="24"/>
                <w:szCs w:val="32"/>
                <w:highlight w:val="none"/>
              </w:rPr>
            </w:pPr>
            <w:r>
              <w:rPr>
                <w:rFonts w:hint="eastAsia"/>
                <w:b/>
                <w:bCs/>
                <w:color w:val="auto"/>
                <w:sz w:val="24"/>
                <w:szCs w:val="32"/>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5" w:type="dxa"/>
            <w:shd w:val="clear" w:color="auto" w:fill="auto"/>
          </w:tcPr>
          <w:p>
            <w:pPr>
              <w:spacing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投标人过去1年(202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月1日至</w:t>
            </w:r>
            <w:r>
              <w:rPr>
                <w:rFonts w:hint="eastAsia" w:ascii="宋体" w:hAnsi="宋体" w:cs="宋体"/>
                <w:color w:val="auto"/>
                <w:sz w:val="24"/>
                <w:szCs w:val="24"/>
                <w:highlight w:val="none"/>
                <w:lang w:val="en-US" w:eastAsia="zh-CN"/>
              </w:rPr>
              <w:t>投标截止时间</w:t>
            </w:r>
            <w:r>
              <w:rPr>
                <w:rFonts w:hint="eastAsia" w:ascii="宋体" w:hAnsi="宋体" w:eastAsia="宋体" w:cs="宋体"/>
                <w:color w:val="auto"/>
                <w:sz w:val="24"/>
                <w:szCs w:val="24"/>
                <w:highlight w:val="none"/>
              </w:rPr>
              <w:t>)不曾在</w:t>
            </w:r>
            <w:r>
              <w:rPr>
                <w:rFonts w:hint="eastAsia" w:ascii="宋体" w:hAnsi="宋体" w:eastAsia="宋体" w:cs="宋体"/>
                <w:color w:val="auto"/>
                <w:sz w:val="24"/>
                <w:szCs w:val="24"/>
                <w:highlight w:val="none"/>
                <w:lang w:val="en-US" w:eastAsia="zh-CN"/>
              </w:rPr>
              <w:t>同类</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（印刷）</w:t>
            </w:r>
            <w:r>
              <w:rPr>
                <w:rFonts w:hint="eastAsia" w:ascii="宋体" w:hAnsi="宋体" w:eastAsia="宋体" w:cs="宋体"/>
                <w:color w:val="auto"/>
                <w:sz w:val="24"/>
                <w:szCs w:val="24"/>
                <w:highlight w:val="none"/>
              </w:rPr>
              <w:t>合同中违约而被驱逐或因投标人自身的原因而使合同被解除。</w:t>
            </w:r>
          </w:p>
        </w:tc>
      </w:tr>
    </w:tbl>
    <w:p>
      <w:pPr>
        <w:pStyle w:val="2"/>
        <w:spacing w:before="120" w:after="120" w:line="360" w:lineRule="auto"/>
        <w:ind w:firstLine="482" w:firstLineChars="200"/>
        <w:rPr>
          <w:rFonts w:hint="eastAsia" w:ascii="宋体" w:hAnsi="宋体" w:eastAsia="宋体" w:cs="宋体"/>
          <w:color w:val="auto"/>
          <w:sz w:val="24"/>
          <w:szCs w:val="24"/>
          <w:highlight w:val="none"/>
        </w:rPr>
      </w:pPr>
    </w:p>
    <w:p>
      <w:pPr>
        <w:spacing w:line="360" w:lineRule="auto"/>
        <w:jc w:val="left"/>
        <w:rPr>
          <w:rStyle w:val="21"/>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rPr>
          <w:rFonts w:hint="eastAsia" w:ascii="宋体" w:hAnsi="宋体" w:eastAsia="宋体" w:cs="宋体"/>
          <w:color w:val="auto"/>
          <w:highlight w:val="none"/>
        </w:rPr>
      </w:pPr>
      <w:r>
        <w:rPr>
          <w:rFonts w:hint="eastAsia" w:ascii="宋体" w:hAnsi="宋体" w:eastAsia="宋体" w:cs="宋体"/>
          <w:color w:val="auto"/>
          <w:highlight w:val="none"/>
        </w:rPr>
        <w:t>附件2：评标办法（综合评估法）</w:t>
      </w:r>
    </w:p>
    <w:p>
      <w:pPr>
        <w:autoSpaceDE w:val="0"/>
        <w:autoSpaceDN w:val="0"/>
        <w:adjustRightInd w:val="0"/>
        <w:snapToGrid w:val="0"/>
        <w:spacing w:line="360" w:lineRule="auto"/>
        <w:ind w:right="113"/>
        <w:jc w:val="center"/>
        <w:rPr>
          <w:rFonts w:hint="eastAsia" w:ascii="宋体" w:hAnsi="宋体" w:eastAsia="宋体" w:cs="宋体"/>
          <w:b/>
          <w:bCs/>
          <w:strike w:val="0"/>
          <w:dstrike w:val="0"/>
          <w:color w:val="auto"/>
          <w:sz w:val="24"/>
          <w:szCs w:val="32"/>
          <w:highlight w:val="none"/>
        </w:rPr>
      </w:pPr>
      <w:r>
        <w:rPr>
          <w:rFonts w:hint="eastAsia" w:ascii="宋体" w:hAnsi="宋体" w:eastAsia="宋体" w:cs="宋体"/>
          <w:b/>
          <w:bCs/>
          <w:strike w:val="0"/>
          <w:dstrike w:val="0"/>
          <w:color w:val="auto"/>
          <w:sz w:val="24"/>
          <w:szCs w:val="32"/>
          <w:highlight w:val="none"/>
        </w:rPr>
        <w:t>评标办法前附表</w:t>
      </w:r>
    </w:p>
    <w:tbl>
      <w:tblPr>
        <w:tblStyle w:val="16"/>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90"/>
        <w:gridCol w:w="1929"/>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819" w:type="dxa"/>
            <w:gridSpan w:val="2"/>
            <w:noWrap w:val="0"/>
            <w:vAlign w:val="center"/>
          </w:tcPr>
          <w:p>
            <w:pPr>
              <w:adjustRightInd w:val="0"/>
              <w:snapToGrid w:val="0"/>
              <w:spacing w:line="240" w:lineRule="auto"/>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条款号</w:t>
            </w:r>
          </w:p>
        </w:tc>
        <w:tc>
          <w:tcPr>
            <w:tcW w:w="6588" w:type="dxa"/>
            <w:noWrap w:val="0"/>
            <w:vAlign w:val="center"/>
          </w:tcPr>
          <w:p>
            <w:pPr>
              <w:adjustRightInd w:val="0"/>
              <w:snapToGrid w:val="0"/>
              <w:spacing w:line="240" w:lineRule="auto"/>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strike w:val="0"/>
                <w:dstrike w:val="0"/>
                <w:color w:val="auto"/>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890" w:type="dxa"/>
            <w:noWrap w:val="0"/>
            <w:vAlign w:val="center"/>
          </w:tcPr>
          <w:p>
            <w:pPr>
              <w:spacing w:line="240" w:lineRule="auto"/>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1</w:t>
            </w:r>
          </w:p>
        </w:tc>
        <w:tc>
          <w:tcPr>
            <w:tcW w:w="1929" w:type="dxa"/>
            <w:noWrap w:val="0"/>
            <w:vAlign w:val="center"/>
          </w:tcPr>
          <w:p>
            <w:pPr>
              <w:spacing w:line="240" w:lineRule="auto"/>
              <w:jc w:val="center"/>
              <w:rPr>
                <w:rFonts w:hint="eastAsia" w:ascii="宋体" w:hAnsi="宋体" w:eastAsia="宋体" w:cs="宋体"/>
                <w:b/>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评标办法</w:t>
            </w:r>
          </w:p>
        </w:tc>
        <w:tc>
          <w:tcPr>
            <w:tcW w:w="6588" w:type="dxa"/>
            <w:noWrap w:val="0"/>
            <w:vAlign w:val="center"/>
          </w:tcPr>
          <w:p>
            <w:pPr>
              <w:snapToGrid w:val="0"/>
              <w:spacing w:line="240" w:lineRule="auto"/>
              <w:jc w:val="left"/>
              <w:textAlignment w:val="baseline"/>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本次评标采用综合评估法。评标委员会对满足招标文件实质性要求的投标文件，按照本章第2.2款规定的评分标准进行打分，并按得分由高到低</w:t>
            </w:r>
            <w:r>
              <w:rPr>
                <w:rFonts w:hint="eastAsia" w:ascii="宋体" w:hAnsi="宋体" w:eastAsia="宋体" w:cs="宋体"/>
                <w:strike w:val="0"/>
                <w:dstrike w:val="0"/>
                <w:color w:val="auto"/>
                <w:sz w:val="21"/>
                <w:szCs w:val="21"/>
                <w:highlight w:val="none"/>
                <w:lang w:val="en-US" w:eastAsia="zh-CN"/>
              </w:rPr>
              <w:t>的</w:t>
            </w:r>
            <w:r>
              <w:rPr>
                <w:rFonts w:hint="eastAsia" w:ascii="宋体" w:hAnsi="宋体" w:eastAsia="宋体" w:cs="宋体"/>
                <w:strike w:val="0"/>
                <w:dstrike w:val="0"/>
                <w:color w:val="auto"/>
                <w:sz w:val="21"/>
                <w:szCs w:val="21"/>
                <w:highlight w:val="none"/>
              </w:rPr>
              <w:t>顺序推荐1-3</w:t>
            </w:r>
            <w:r>
              <w:rPr>
                <w:rFonts w:hint="eastAsia" w:ascii="宋体" w:hAnsi="宋体" w:eastAsia="宋体" w:cs="宋体"/>
                <w:strike w:val="0"/>
                <w:dstrike w:val="0"/>
                <w:color w:val="auto"/>
                <w:sz w:val="21"/>
                <w:szCs w:val="21"/>
                <w:highlight w:val="none"/>
                <w:lang w:val="en-US" w:eastAsia="zh-CN"/>
              </w:rPr>
              <w:t>名</w:t>
            </w:r>
            <w:r>
              <w:rPr>
                <w:rFonts w:hint="eastAsia" w:ascii="宋体" w:hAnsi="宋体" w:eastAsia="宋体" w:cs="宋体"/>
                <w:strike w:val="0"/>
                <w:dstrike w:val="0"/>
                <w:color w:val="auto"/>
                <w:sz w:val="21"/>
                <w:szCs w:val="21"/>
                <w:highlight w:val="none"/>
              </w:rPr>
              <w:t>中标候选人。综合评分相等时，评标委员会依次按照以下优先顺序推荐中标候选人：</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评标价</w:t>
            </w:r>
            <w:r>
              <w:rPr>
                <w:rFonts w:hint="eastAsia" w:ascii="宋体" w:hAnsi="宋体" w:eastAsia="宋体" w:cs="宋体"/>
                <w:strike w:val="0"/>
                <w:dstrike w:val="0"/>
                <w:color w:val="auto"/>
                <w:sz w:val="21"/>
                <w:szCs w:val="21"/>
                <w:highlight w:val="none"/>
              </w:rPr>
              <w:t>低的投标人优先；</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（2）服务方案得分较高的投标人优先；</w:t>
            </w:r>
          </w:p>
          <w:p>
            <w:pPr>
              <w:adjustRightInd w:val="0"/>
              <w:snapToGrid w:val="0"/>
              <w:spacing w:line="240" w:lineRule="auto"/>
              <w:rPr>
                <w:rFonts w:hint="eastAsia" w:ascii="宋体" w:hAnsi="宋体" w:eastAsia="宋体" w:cs="宋体"/>
                <w:strike w:val="0"/>
                <w:dstrike w:val="0"/>
                <w:color w:val="auto"/>
                <w:sz w:val="21"/>
                <w:szCs w:val="21"/>
                <w:highlight w:val="none"/>
                <w:lang w:val="en-US" w:eastAsia="zh-CN"/>
              </w:rPr>
            </w:pPr>
            <w:r>
              <w:rPr>
                <w:rFonts w:hint="eastAsia" w:ascii="宋体" w:hAnsi="宋体" w:eastAsia="宋体" w:cs="宋体"/>
                <w:strike w:val="0"/>
                <w:dstrike w:val="0"/>
                <w:color w:val="auto"/>
                <w:sz w:val="21"/>
                <w:szCs w:val="21"/>
                <w:highlight w:val="none"/>
              </w:rPr>
              <w:t>（3）满足资格审查条件（业绩最低要求）的业绩累计合同金额高的优先。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890"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2.1.1</w:t>
            </w:r>
          </w:p>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2.1.3</w:t>
            </w:r>
          </w:p>
        </w:tc>
        <w:tc>
          <w:tcPr>
            <w:tcW w:w="1929"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形式评审与响应性评审标准</w:t>
            </w:r>
          </w:p>
        </w:tc>
        <w:tc>
          <w:tcPr>
            <w:tcW w:w="6588" w:type="dxa"/>
            <w:noWrap w:val="0"/>
            <w:vAlign w:val="top"/>
          </w:tcPr>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（1）投标文件按照招标文件规定的格式、内容填写，字迹清晰可辨：</w:t>
            </w:r>
          </w:p>
          <w:p>
            <w:pPr>
              <w:snapToGrid w:val="0"/>
              <w:spacing w:line="240" w:lineRule="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a.投标函按招标文件规定填报了</w:t>
            </w:r>
            <w:r>
              <w:rPr>
                <w:rFonts w:hint="eastAsia" w:ascii="宋体" w:hAnsi="宋体" w:eastAsia="宋体" w:cs="宋体"/>
                <w:strike w:val="0"/>
                <w:dstrike w:val="0"/>
                <w:color w:val="auto"/>
                <w:sz w:val="21"/>
                <w:szCs w:val="21"/>
                <w:highlight w:val="none"/>
                <w:lang w:val="en-US" w:eastAsia="zh-CN"/>
              </w:rPr>
              <w:t>报价</w:t>
            </w:r>
            <w:r>
              <w:rPr>
                <w:rFonts w:hint="eastAsia" w:ascii="宋体" w:hAnsi="宋体" w:cs="宋体"/>
                <w:strike w:val="0"/>
                <w:dstrike w:val="0"/>
                <w:color w:val="auto"/>
                <w:sz w:val="21"/>
                <w:szCs w:val="21"/>
                <w:highlight w:val="none"/>
                <w:lang w:val="en-US" w:eastAsia="zh-CN"/>
              </w:rPr>
              <w:t>（综合优惠折扣率）</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rPr>
              <w:t>补遗书编号（如有）</w:t>
            </w:r>
            <w:r>
              <w:rPr>
                <w:rFonts w:hint="eastAsia" w:ascii="宋体" w:hAnsi="宋体" w:eastAsia="宋体" w:cs="宋体"/>
                <w:strike w:val="0"/>
                <w:dstrike w:val="0"/>
                <w:color w:val="auto"/>
                <w:sz w:val="21"/>
                <w:szCs w:val="21"/>
                <w:highlight w:val="none"/>
                <w:lang w:eastAsia="zh-CN"/>
              </w:rPr>
              <w:t>，未对项目名称、质量</w:t>
            </w:r>
            <w:r>
              <w:rPr>
                <w:rFonts w:hint="eastAsia" w:ascii="宋体" w:hAnsi="宋体" w:eastAsia="宋体" w:cs="宋体"/>
                <w:strike w:val="0"/>
                <w:dstrike w:val="0"/>
                <w:color w:val="auto"/>
                <w:sz w:val="21"/>
                <w:szCs w:val="21"/>
                <w:highlight w:val="none"/>
                <w:lang w:val="en-US" w:eastAsia="zh-CN"/>
              </w:rPr>
              <w:t>标准</w:t>
            </w:r>
            <w:r>
              <w:rPr>
                <w:rFonts w:hint="eastAsia" w:ascii="宋体" w:hAnsi="宋体" w:eastAsia="宋体" w:cs="宋体"/>
                <w:strike w:val="0"/>
                <w:dstrike w:val="0"/>
                <w:color w:val="auto"/>
                <w:sz w:val="21"/>
                <w:szCs w:val="21"/>
                <w:highlight w:val="none"/>
                <w:lang w:eastAsia="zh-CN"/>
              </w:rPr>
              <w:t>、服务期限</w:t>
            </w:r>
            <w:r>
              <w:rPr>
                <w:rFonts w:hint="eastAsia" w:ascii="宋体" w:hAnsi="宋体" w:eastAsia="宋体" w:cs="宋体"/>
                <w:strike w:val="0"/>
                <w:dstrike w:val="0"/>
                <w:color w:val="auto"/>
                <w:sz w:val="21"/>
                <w:szCs w:val="21"/>
                <w:highlight w:val="none"/>
                <w:lang w:val="en-US" w:eastAsia="zh-CN"/>
              </w:rPr>
              <w:t>等内容</w:t>
            </w:r>
            <w:r>
              <w:rPr>
                <w:rFonts w:hint="eastAsia" w:ascii="宋体" w:hAnsi="宋体" w:eastAsia="宋体" w:cs="宋体"/>
                <w:strike w:val="0"/>
                <w:dstrike w:val="0"/>
                <w:color w:val="auto"/>
                <w:sz w:val="21"/>
                <w:szCs w:val="21"/>
                <w:highlight w:val="none"/>
                <w:lang w:eastAsia="zh-CN"/>
              </w:rPr>
              <w:t>进行修改；</w:t>
            </w:r>
          </w:p>
          <w:p>
            <w:pPr>
              <w:snapToGrid w:val="0"/>
              <w:spacing w:line="240" w:lineRule="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b.投标文件组成齐全完整，内容均按规定填写。</w:t>
            </w:r>
          </w:p>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（2）投标文件上法定代表人或其授权代理人的签字、投标人的单位章盖章齐全，符合招标文件规定。</w:t>
            </w:r>
          </w:p>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（3）投标人按照招标文件的规定提供了投标保证金，并符合投标人须知前附表3.4.1项的相关规定。</w:t>
            </w:r>
          </w:p>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（4）投标人法定代表人授权委托代理人签署投标文件的，须提交授权委托书，授权委托书的签字盖章符合招标文件规定。</w:t>
            </w:r>
          </w:p>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（5）投标人法定代表人亲自签署投标文件的，提供了法定代表人身份证明，法定代表人身份证明的签字盖章符合招标文件规定。</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（6）投标人未以联合体形式投标。</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（7）投标人未对本项目提出分包计划。</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（8）同一投标人未提交两个</w:t>
            </w:r>
            <w:r>
              <w:rPr>
                <w:rFonts w:hint="eastAsia" w:ascii="宋体" w:hAnsi="宋体" w:eastAsia="宋体" w:cs="宋体"/>
                <w:strike w:val="0"/>
                <w:dstrike w:val="0"/>
                <w:color w:val="auto"/>
                <w:sz w:val="21"/>
                <w:szCs w:val="21"/>
                <w:highlight w:val="none"/>
                <w:lang w:val="en-US" w:eastAsia="zh-CN"/>
              </w:rPr>
              <w:t>及</w:t>
            </w:r>
            <w:r>
              <w:rPr>
                <w:rFonts w:hint="eastAsia" w:ascii="宋体" w:hAnsi="宋体" w:eastAsia="宋体" w:cs="宋体"/>
                <w:strike w:val="0"/>
                <w:dstrike w:val="0"/>
                <w:color w:val="auto"/>
                <w:sz w:val="21"/>
                <w:szCs w:val="21"/>
                <w:highlight w:val="none"/>
              </w:rPr>
              <w:t>以上不同的投标文件。</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9</w:t>
            </w:r>
            <w:r>
              <w:rPr>
                <w:rFonts w:hint="eastAsia" w:ascii="宋体" w:hAnsi="宋体" w:eastAsia="宋体" w:cs="宋体"/>
                <w:strike w:val="0"/>
                <w:dstrike w:val="0"/>
                <w:color w:val="auto"/>
                <w:sz w:val="21"/>
                <w:szCs w:val="21"/>
                <w:highlight w:val="none"/>
              </w:rPr>
              <w:t>）投标文件载明的招标项目服务期限符合招标文件规定。</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0</w:t>
            </w:r>
            <w:r>
              <w:rPr>
                <w:rFonts w:hint="eastAsia" w:ascii="宋体" w:hAnsi="宋体" w:eastAsia="宋体" w:cs="宋体"/>
                <w:strike w:val="0"/>
                <w:dstrike w:val="0"/>
                <w:color w:val="auto"/>
                <w:sz w:val="21"/>
                <w:szCs w:val="21"/>
                <w:highlight w:val="none"/>
              </w:rPr>
              <w:t>）投标文件对招标文件的实质性要求和条件作出响应。</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1</w:t>
            </w:r>
            <w:r>
              <w:rPr>
                <w:rFonts w:hint="eastAsia" w:ascii="宋体" w:hAnsi="宋体" w:eastAsia="宋体" w:cs="宋体"/>
                <w:strike w:val="0"/>
                <w:dstrike w:val="0"/>
                <w:color w:val="auto"/>
                <w:sz w:val="21"/>
                <w:szCs w:val="21"/>
                <w:highlight w:val="none"/>
              </w:rPr>
              <w:t>）权利义务符合招标文件规定：</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a.投标人应接受招标文件规定的风险划分原则，未提出新的风险划分办法；</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b.投标人未增加发包人的责任范围，或减少投标人义务；</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c.投标人未提出不同的支付办法；</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d.投标人对合同纠纷、事故处理办法未提出异议；</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e.投标人在投标活动中无欺诈行为；</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f.投标人未对合同条款有重要保留。</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）投标人名称与营业执照</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lang w:val="en-US" w:eastAsia="zh-CN"/>
              </w:rPr>
              <w:t>印刷经营许可证</w:t>
            </w:r>
            <w:r>
              <w:rPr>
                <w:rFonts w:hint="eastAsia" w:ascii="宋体" w:hAnsi="宋体" w:eastAsia="宋体" w:cs="宋体"/>
                <w:strike w:val="0"/>
                <w:dstrike w:val="0"/>
                <w:color w:val="auto"/>
                <w:sz w:val="21"/>
                <w:szCs w:val="21"/>
                <w:highlight w:val="none"/>
              </w:rPr>
              <w:t>一致，如企业名称有变更的，应提供其变更记录或相关部门的合法批件复印件。</w:t>
            </w:r>
          </w:p>
          <w:p>
            <w:pPr>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投标人所报</w:t>
            </w:r>
            <w:r>
              <w:rPr>
                <w:rFonts w:hint="eastAsia" w:ascii="宋体" w:hAnsi="宋体" w:eastAsia="宋体" w:cs="宋体"/>
                <w:color w:val="auto"/>
                <w:sz w:val="21"/>
                <w:szCs w:val="21"/>
                <w:highlight w:val="none"/>
                <w:lang w:val="en-US"/>
              </w:rPr>
              <w:t>综合优惠折扣率</w:t>
            </w:r>
            <w:r>
              <w:rPr>
                <w:rFonts w:hint="eastAsia" w:ascii="宋体" w:hAnsi="宋体" w:eastAsia="宋体" w:cs="宋体"/>
                <w:strike w:val="0"/>
                <w:dstrike w:val="0"/>
                <w:color w:val="auto"/>
                <w:sz w:val="21"/>
                <w:szCs w:val="21"/>
                <w:highlight w:val="none"/>
              </w:rPr>
              <w:t>未超过</w:t>
            </w:r>
            <w:r>
              <w:rPr>
                <w:rFonts w:hint="eastAsia" w:ascii="宋体" w:hAnsi="宋体" w:eastAsia="宋体" w:cs="宋体"/>
                <w:strike w:val="0"/>
                <w:dstrike w:val="0"/>
                <w:color w:val="auto"/>
                <w:sz w:val="21"/>
                <w:szCs w:val="21"/>
                <w:highlight w:val="none"/>
                <w:lang w:val="en-US" w:eastAsia="zh-CN"/>
              </w:rPr>
              <w:t>100%</w:t>
            </w:r>
            <w:r>
              <w:rPr>
                <w:rFonts w:hint="eastAsia" w:ascii="宋体" w:hAnsi="宋体" w:eastAsia="宋体" w:cs="宋体"/>
                <w:strike w:val="0"/>
                <w:dstrike w:val="0"/>
                <w:color w:val="auto"/>
                <w:sz w:val="21"/>
                <w:szCs w:val="21"/>
                <w:highlight w:val="none"/>
              </w:rPr>
              <w:t>。</w:t>
            </w:r>
          </w:p>
          <w:p>
            <w:pPr>
              <w:tabs>
                <w:tab w:val="left" w:pos="3060"/>
              </w:tabs>
              <w:snapToGrid w:val="0"/>
              <w:spacing w:line="240" w:lineRule="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4</w:t>
            </w:r>
            <w:r>
              <w:rPr>
                <w:rFonts w:hint="eastAsia" w:ascii="宋体" w:hAnsi="宋体" w:eastAsia="宋体" w:cs="宋体"/>
                <w:strike w:val="0"/>
                <w:dstrike w:val="0"/>
                <w:color w:val="auto"/>
                <w:sz w:val="21"/>
                <w:szCs w:val="21"/>
                <w:highlight w:val="none"/>
              </w:rPr>
              <w:t>）同一投标人未提交两个</w:t>
            </w:r>
            <w:r>
              <w:rPr>
                <w:rFonts w:hint="eastAsia" w:ascii="宋体" w:hAnsi="宋体" w:eastAsia="宋体" w:cs="宋体"/>
                <w:strike w:val="0"/>
                <w:dstrike w:val="0"/>
                <w:color w:val="auto"/>
                <w:sz w:val="21"/>
                <w:szCs w:val="21"/>
                <w:highlight w:val="none"/>
                <w:lang w:val="en-US" w:eastAsia="zh-CN"/>
              </w:rPr>
              <w:t>及</w:t>
            </w:r>
            <w:r>
              <w:rPr>
                <w:rFonts w:hint="eastAsia" w:ascii="宋体" w:hAnsi="宋体" w:eastAsia="宋体" w:cs="宋体"/>
                <w:strike w:val="0"/>
                <w:dstrike w:val="0"/>
                <w:color w:val="auto"/>
                <w:sz w:val="21"/>
                <w:szCs w:val="21"/>
                <w:highlight w:val="none"/>
              </w:rPr>
              <w:t>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890"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2.1.2</w:t>
            </w:r>
          </w:p>
        </w:tc>
        <w:tc>
          <w:tcPr>
            <w:tcW w:w="1929"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资格评审标准</w:t>
            </w:r>
          </w:p>
        </w:tc>
        <w:tc>
          <w:tcPr>
            <w:tcW w:w="6588" w:type="dxa"/>
            <w:noWrap w:val="0"/>
            <w:vAlign w:val="top"/>
          </w:tcPr>
          <w:p>
            <w:pPr>
              <w:tabs>
                <w:tab w:val="left" w:pos="3060"/>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（1）投标人具备有效的营业执照副本和组织机构代码证副本（按照“三证合一”或“五证合一”登记制度进行登记的，可仅提供营业执照副本）、资质证书和基本账户开户许可证（或基本存款账户信息）；</w:t>
            </w:r>
          </w:p>
          <w:p>
            <w:pPr>
              <w:tabs>
                <w:tab w:val="left" w:pos="3060"/>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tabs>
                <w:tab w:val="left" w:pos="3060"/>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（3）投标人的类似项目业绩符合招标文件规定；</w:t>
            </w:r>
          </w:p>
          <w:p>
            <w:pPr>
              <w:tabs>
                <w:tab w:val="left" w:pos="3060"/>
              </w:tabs>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）投标人的信誉符合招标文件规定；</w:t>
            </w:r>
          </w:p>
          <w:p>
            <w:pPr>
              <w:tabs>
                <w:tab w:val="left" w:pos="3060"/>
              </w:tabs>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890" w:type="dxa"/>
            <w:noWrap w:val="0"/>
            <w:vAlign w:val="center"/>
          </w:tcPr>
          <w:p>
            <w:pPr>
              <w:wordWrap w:val="0"/>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shd w:val="clear" w:color="auto" w:fill="FFFFFF" w:themeFill="background1"/>
                <w:lang w:val="en-US" w:eastAsia="zh-CN"/>
              </w:rPr>
              <w:t>2.2</w:t>
            </w:r>
          </w:p>
        </w:tc>
        <w:tc>
          <w:tcPr>
            <w:tcW w:w="1929" w:type="dxa"/>
            <w:noWrap w:val="0"/>
            <w:vAlign w:val="center"/>
          </w:tcPr>
          <w:p>
            <w:pPr>
              <w:wordWrap w:val="0"/>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color w:val="auto"/>
                <w:sz w:val="21"/>
                <w:szCs w:val="21"/>
                <w:highlight w:val="none"/>
                <w:shd w:val="clear" w:color="auto" w:fill="FFFFFF" w:themeFill="background1"/>
              </w:rPr>
              <w:t>详细评审标准</w:t>
            </w:r>
          </w:p>
        </w:tc>
        <w:tc>
          <w:tcPr>
            <w:tcW w:w="6588" w:type="dxa"/>
            <w:noWrap w:val="0"/>
            <w:vAlign w:val="top"/>
          </w:tcPr>
          <w:p>
            <w:pPr>
              <w:tabs>
                <w:tab w:val="left" w:pos="3060"/>
              </w:tabs>
              <w:spacing w:line="240" w:lineRule="auto"/>
              <w:rPr>
                <w:rFonts w:hint="default" w:ascii="宋体" w:hAnsi="宋体" w:eastAsia="宋体" w:cs="宋体"/>
                <w:strike w:val="0"/>
                <w:dstrike w:val="0"/>
                <w:color w:val="auto"/>
                <w:sz w:val="21"/>
                <w:szCs w:val="21"/>
                <w:highlight w:val="none"/>
                <w:lang w:val="en-US" w:eastAsia="zh-CN"/>
              </w:rPr>
            </w:pPr>
            <w:r>
              <w:rPr>
                <w:rFonts w:hint="eastAsia" w:ascii="宋体" w:hAnsi="宋体" w:cs="宋体"/>
                <w:strike w:val="0"/>
                <w:dstrike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890"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.1</w:t>
            </w:r>
          </w:p>
        </w:tc>
        <w:tc>
          <w:tcPr>
            <w:tcW w:w="1929"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分值构成</w:t>
            </w:r>
          </w:p>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（总分100分）</w:t>
            </w:r>
          </w:p>
        </w:tc>
        <w:tc>
          <w:tcPr>
            <w:tcW w:w="6588" w:type="dxa"/>
            <w:noWrap w:val="0"/>
            <w:vAlign w:val="center"/>
          </w:tcPr>
          <w:p>
            <w:pPr>
              <w:spacing w:line="240" w:lineRule="auto"/>
              <w:rPr>
                <w:rFonts w:hint="eastAsia" w:ascii="宋体" w:hAnsi="宋体" w:eastAsia="宋体" w:cs="宋体"/>
                <w:bCs/>
                <w:strike w:val="0"/>
                <w:dstrike w:val="0"/>
                <w:color w:val="auto"/>
                <w:sz w:val="21"/>
                <w:szCs w:val="21"/>
                <w:highlight w:val="none"/>
              </w:rPr>
            </w:pPr>
            <w:r>
              <w:rPr>
                <w:rFonts w:hint="eastAsia" w:ascii="宋体" w:hAnsi="宋体" w:eastAsia="宋体" w:cs="宋体"/>
                <w:bCs/>
                <w:strike w:val="0"/>
                <w:dstrike w:val="0"/>
                <w:color w:val="auto"/>
                <w:sz w:val="21"/>
                <w:szCs w:val="21"/>
                <w:highlight w:val="none"/>
              </w:rPr>
              <w:t>服务方案：</w:t>
            </w:r>
            <w:r>
              <w:rPr>
                <w:rFonts w:hint="eastAsia" w:ascii="宋体" w:hAnsi="宋体" w:eastAsia="宋体" w:cs="宋体"/>
                <w:bCs/>
                <w:strike w:val="0"/>
                <w:dstrike w:val="0"/>
                <w:color w:val="auto"/>
                <w:sz w:val="21"/>
                <w:szCs w:val="21"/>
                <w:highlight w:val="none"/>
                <w:u w:val="single"/>
                <w:lang w:val="en-US" w:eastAsia="zh-CN"/>
              </w:rPr>
              <w:t xml:space="preserve"> 50 </w:t>
            </w:r>
            <w:r>
              <w:rPr>
                <w:rFonts w:hint="eastAsia" w:ascii="宋体" w:hAnsi="宋体" w:eastAsia="宋体" w:cs="宋体"/>
                <w:bCs/>
                <w:strike w:val="0"/>
                <w:dstrike w:val="0"/>
                <w:color w:val="auto"/>
                <w:sz w:val="21"/>
                <w:szCs w:val="21"/>
                <w:highlight w:val="none"/>
              </w:rPr>
              <w:t>分</w:t>
            </w:r>
          </w:p>
          <w:p>
            <w:pPr>
              <w:spacing w:line="240" w:lineRule="auto"/>
              <w:rPr>
                <w:rFonts w:hint="eastAsia" w:ascii="宋体" w:hAnsi="宋体" w:eastAsia="宋体" w:cs="宋体"/>
                <w:bCs/>
                <w:strike w:val="0"/>
                <w:dstrike w:val="0"/>
                <w:color w:val="auto"/>
                <w:sz w:val="21"/>
                <w:szCs w:val="21"/>
                <w:highlight w:val="none"/>
                <w:u w:val="single"/>
                <w:lang w:val="en-US" w:eastAsia="zh-CN"/>
              </w:rPr>
            </w:pPr>
            <w:r>
              <w:rPr>
                <w:rFonts w:hint="eastAsia" w:ascii="宋体" w:hAnsi="宋体" w:eastAsia="宋体" w:cs="宋体"/>
                <w:bCs/>
                <w:strike w:val="0"/>
                <w:dstrike w:val="0"/>
                <w:color w:val="auto"/>
                <w:sz w:val="21"/>
                <w:szCs w:val="21"/>
                <w:highlight w:val="none"/>
                <w:lang w:val="en-US" w:eastAsia="zh-CN"/>
              </w:rPr>
              <w:t>企业业绩：</w:t>
            </w:r>
            <w:r>
              <w:rPr>
                <w:rFonts w:hint="eastAsia" w:ascii="宋体" w:hAnsi="宋体" w:eastAsia="宋体" w:cs="宋体"/>
                <w:bCs/>
                <w:strike w:val="0"/>
                <w:dstrike w:val="0"/>
                <w:color w:val="auto"/>
                <w:sz w:val="21"/>
                <w:szCs w:val="21"/>
                <w:highlight w:val="none"/>
                <w:u w:val="single"/>
                <w:lang w:val="en-US" w:eastAsia="zh-CN"/>
              </w:rPr>
              <w:t xml:space="preserve"> 20 分</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投标报价</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u w:val="single"/>
                <w:lang w:val="en-US" w:eastAsia="zh-CN"/>
              </w:rPr>
              <w:t xml:space="preserve"> 30 </w:t>
            </w:r>
            <w:r>
              <w:rPr>
                <w:rFonts w:hint="eastAsia" w:ascii="宋体" w:hAnsi="宋体" w:eastAsia="宋体" w:cs="宋体"/>
                <w:strike w:val="0"/>
                <w:dstrike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890"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.2</w:t>
            </w:r>
          </w:p>
        </w:tc>
        <w:tc>
          <w:tcPr>
            <w:tcW w:w="1929"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评标基准价计算方法</w:t>
            </w:r>
          </w:p>
        </w:tc>
        <w:tc>
          <w:tcPr>
            <w:tcW w:w="6588" w:type="dxa"/>
            <w:noWrap w:val="0"/>
            <w:vAlign w:val="center"/>
          </w:tcPr>
          <w:p>
            <w:pPr>
              <w:pStyle w:val="15"/>
              <w:spacing w:line="240" w:lineRule="auto"/>
              <w:ind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评标基准价的计算：</w:t>
            </w:r>
          </w:p>
          <w:p>
            <w:pPr>
              <w:pStyle w:val="15"/>
              <w:spacing w:line="240" w:lineRule="auto"/>
              <w:ind w:left="0" w:leftChars="0"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1</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评标价的确定：</w:t>
            </w:r>
          </w:p>
          <w:p>
            <w:pPr>
              <w:pStyle w:val="15"/>
              <w:spacing w:line="240" w:lineRule="auto"/>
              <w:ind w:left="0" w:leftChars="0" w:firstLine="0" w:firstLineChars="0"/>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评标价=投标函报价</w:t>
            </w:r>
            <w:r>
              <w:rPr>
                <w:rFonts w:hint="eastAsia" w:ascii="宋体" w:hAnsi="宋体" w:eastAsia="宋体" w:cs="宋体"/>
                <w:strike w:val="0"/>
                <w:dstrike w:val="0"/>
                <w:color w:val="auto"/>
                <w:sz w:val="21"/>
                <w:szCs w:val="21"/>
                <w:highlight w:val="none"/>
                <w:lang w:eastAsia="zh-CN"/>
              </w:rPr>
              <w:t>。</w:t>
            </w:r>
          </w:p>
          <w:p>
            <w:pPr>
              <w:pStyle w:val="15"/>
              <w:spacing w:line="240" w:lineRule="auto"/>
              <w:ind w:left="0" w:leftChars="0" w:firstLine="0" w:firstLineChars="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 xml:space="preserve">2. </w:t>
            </w:r>
            <w:r>
              <w:rPr>
                <w:rFonts w:hint="eastAsia" w:ascii="宋体" w:hAnsi="宋体" w:eastAsia="宋体" w:cs="宋体"/>
                <w:strike w:val="0"/>
                <w:dstrike w:val="0"/>
                <w:color w:val="auto"/>
                <w:sz w:val="21"/>
                <w:szCs w:val="21"/>
                <w:highlight w:val="none"/>
              </w:rPr>
              <w:t>评标价平均值的计算：</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所有投标人的评标价去掉规定个数的最高值和最低值后的算术平均值即为评标价平均值。</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a、如果参与评标价平均值计算的投标人数量＜6家时，计算评标价平均值时不去最高值和最低值</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 xml:space="preserve"> </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b、如果6家≤参与评标价平均值计算的投标人数量＜10家时，计算评标价平均值时去掉1个最高值和1个最低值</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 xml:space="preserve"> </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c、如果10家≤参与评标价平均值计算的投标人数量＜20家时，计算评标价平均值时去掉2个最高值和2个最低值； </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 xml:space="preserve">d、如果20家≤参与评标价平均值计算的投标人数量＜30家时，计算评标价平均值时去掉3个最高值和3个最低值； </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e、如果参与评标价平均值计算的投标人数量</w:t>
            </w:r>
            <w:r>
              <w:rPr>
                <w:rFonts w:hint="eastAsia" w:ascii="宋体" w:hAnsi="宋体" w:eastAsia="宋体" w:cs="宋体"/>
                <w:strike w:val="0"/>
                <w:dstrike w:val="0"/>
                <w:color w:val="auto"/>
                <w:sz w:val="21"/>
                <w:szCs w:val="21"/>
                <w:highlight w:val="none"/>
                <w:lang w:val="en-US" w:eastAsia="zh-CN"/>
              </w:rPr>
              <w:t>≥</w:t>
            </w:r>
            <w:r>
              <w:rPr>
                <w:rFonts w:hint="eastAsia" w:ascii="宋体" w:hAnsi="宋体" w:eastAsia="宋体" w:cs="宋体"/>
                <w:strike w:val="0"/>
                <w:dstrike w:val="0"/>
                <w:color w:val="auto"/>
                <w:sz w:val="21"/>
                <w:szCs w:val="21"/>
                <w:highlight w:val="none"/>
              </w:rPr>
              <w:t>30家时，计算评标价平均值时去掉5个最高值和5个最低值；</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评标基准价的确定：</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评标价平均值作为评标基准价。</w:t>
            </w:r>
          </w:p>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09" w:hRule="atLeast"/>
          <w:jc w:val="center"/>
        </w:trPr>
        <w:tc>
          <w:tcPr>
            <w:tcW w:w="890"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.3</w:t>
            </w:r>
          </w:p>
        </w:tc>
        <w:tc>
          <w:tcPr>
            <w:tcW w:w="1929"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评标价的偏差率计算公式</w:t>
            </w:r>
          </w:p>
        </w:tc>
        <w:tc>
          <w:tcPr>
            <w:tcW w:w="6588" w:type="dxa"/>
            <w:noWrap w:val="0"/>
            <w:vAlign w:val="center"/>
          </w:tcPr>
          <w:p>
            <w:pPr>
              <w:adjustRightInd w:val="0"/>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890"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3.</w:t>
            </w:r>
            <w:r>
              <w:rPr>
                <w:rFonts w:hint="eastAsia" w:ascii="宋体" w:hAnsi="宋体" w:eastAsia="宋体" w:cs="宋体"/>
                <w:strike w:val="0"/>
                <w:dstrike w:val="0"/>
                <w:color w:val="auto"/>
                <w:sz w:val="21"/>
                <w:szCs w:val="21"/>
                <w:highlight w:val="none"/>
                <w:lang w:val="en-US" w:eastAsia="zh-CN"/>
              </w:rPr>
              <w:t>3</w:t>
            </w:r>
          </w:p>
        </w:tc>
        <w:tc>
          <w:tcPr>
            <w:tcW w:w="1929" w:type="dxa"/>
            <w:noWrap w:val="0"/>
            <w:vAlign w:val="center"/>
          </w:tcPr>
          <w:p>
            <w:pPr>
              <w:adjustRightInd w:val="0"/>
              <w:snapToGrid w:val="0"/>
              <w:spacing w:line="240" w:lineRule="auto"/>
              <w:jc w:val="center"/>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信息查询</w:t>
            </w:r>
          </w:p>
        </w:tc>
        <w:tc>
          <w:tcPr>
            <w:tcW w:w="6588" w:type="dxa"/>
            <w:noWrap w:val="0"/>
            <w:vAlign w:val="center"/>
          </w:tcPr>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修改为：</w:t>
            </w:r>
          </w:p>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在评标过程中，评标委员会应对以下信息进行查询：</w:t>
            </w:r>
          </w:p>
          <w:p>
            <w:pPr>
              <w:snapToGrid w:val="0"/>
              <w:spacing w:line="240" w:lineRule="auto"/>
              <w:rPr>
                <w:rFonts w:hint="eastAsia" w:ascii="宋体" w:hAnsi="宋体" w:eastAsia="宋体" w:cs="宋体"/>
                <w:strike w:val="0"/>
                <w:dstrike w:val="0"/>
                <w:color w:val="auto"/>
                <w:sz w:val="21"/>
                <w:szCs w:val="21"/>
                <w:highlight w:val="none"/>
                <w:lang w:eastAsia="zh-CN"/>
              </w:rPr>
            </w:pPr>
            <w:r>
              <w:rPr>
                <w:rFonts w:hint="eastAsia" w:ascii="宋体" w:hAnsi="宋体" w:eastAsia="宋体" w:cs="宋体"/>
                <w:strike w:val="0"/>
                <w:dstrike w:val="0"/>
                <w:color w:val="auto"/>
                <w:sz w:val="21"/>
                <w:szCs w:val="21"/>
                <w:highlight w:val="none"/>
              </w:rPr>
              <w:t>（1）投标人信用情况网页截图内容与在国家企业信用信息公示系统（http://www.gsxt.gov.cn/）中被列入严重违法失信名单（黑名单）信息（不含分公司）、在“信用中国”网站（http://www.creditchina.gov.cn/）中被列入失信被执行人、经营（活动）异常名录、重大税收违法失信主体和政府采购严重违法失信行为记录名单（均不含分公司）的复核结果一致。</w:t>
            </w:r>
          </w:p>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如投标人未提供相关网页截图或所附截图与复核结果不一致导致不能满足资格评审要求的，评标委员会应否决其投标。</w:t>
            </w:r>
          </w:p>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pPr>
              <w:snapToGrid w:val="0"/>
              <w:spacing w:line="240" w:lineRule="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投标人应保证本款所附的全部截图的真实性。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pPr>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rPr>
        <w:br w:type="page"/>
      </w:r>
    </w:p>
    <w:p>
      <w:pPr>
        <w:pStyle w:val="23"/>
        <w:jc w:val="center"/>
        <w:outlineLvl w:val="0"/>
        <w:rPr>
          <w:rFonts w:hint="eastAsia" w:ascii="宋体" w:hAnsi="宋体" w:eastAsia="宋体" w:cs="宋体"/>
          <w:b/>
          <w:bCs/>
          <w:strike w:val="0"/>
          <w:dstrike w:val="0"/>
          <w:color w:val="auto"/>
          <w:sz w:val="24"/>
          <w:szCs w:val="24"/>
          <w:highlight w:val="none"/>
          <w:lang w:eastAsia="zh-CN"/>
        </w:rPr>
      </w:pPr>
      <w:r>
        <w:rPr>
          <w:rFonts w:hint="eastAsia" w:ascii="宋体" w:hAnsi="宋体" w:eastAsia="宋体" w:cs="宋体"/>
          <w:b/>
          <w:bCs/>
          <w:strike w:val="0"/>
          <w:dstrike w:val="0"/>
          <w:color w:val="auto"/>
          <w:sz w:val="24"/>
          <w:szCs w:val="24"/>
          <w:highlight w:val="none"/>
        </w:rPr>
        <w:t>评分</w:t>
      </w:r>
      <w:r>
        <w:rPr>
          <w:rFonts w:hint="eastAsia" w:ascii="宋体" w:hAnsi="宋体" w:eastAsia="宋体" w:cs="宋体"/>
          <w:b/>
          <w:bCs/>
          <w:strike w:val="0"/>
          <w:dstrike w:val="0"/>
          <w:color w:val="auto"/>
          <w:sz w:val="24"/>
          <w:szCs w:val="24"/>
          <w:highlight w:val="none"/>
          <w:lang w:val="en-US" w:eastAsia="zh-CN"/>
        </w:rPr>
        <w:t>标准</w:t>
      </w:r>
    </w:p>
    <w:p>
      <w:pPr>
        <w:pStyle w:val="23"/>
        <w:jc w:val="left"/>
        <w:outlineLvl w:val="0"/>
        <w:rPr>
          <w:rFonts w:hint="eastAsia" w:ascii="宋体" w:hAnsi="宋体" w:eastAsia="宋体" w:cs="宋体"/>
          <w:strike w:val="0"/>
          <w:dstrike w:val="0"/>
          <w:color w:val="auto"/>
          <w:sz w:val="21"/>
          <w:szCs w:val="21"/>
          <w:highlight w:val="none"/>
        </w:rPr>
      </w:pPr>
    </w:p>
    <w:tbl>
      <w:tblPr>
        <w:tblStyle w:val="1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20"/>
        <w:gridCol w:w="1903"/>
        <w:gridCol w:w="441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60" w:type="dxa"/>
            <w:gridSpan w:val="2"/>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条款号</w:t>
            </w:r>
          </w:p>
        </w:tc>
        <w:tc>
          <w:tcPr>
            <w:tcW w:w="1903" w:type="dxa"/>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评分因素</w:t>
            </w:r>
          </w:p>
        </w:tc>
        <w:tc>
          <w:tcPr>
            <w:tcW w:w="5771" w:type="dxa"/>
            <w:gridSpan w:val="2"/>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2.</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.4（1）</w:t>
            </w:r>
          </w:p>
        </w:tc>
        <w:tc>
          <w:tcPr>
            <w:tcW w:w="1120"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服务方案</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评分标准</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（50分）</w:t>
            </w:r>
          </w:p>
        </w:tc>
        <w:tc>
          <w:tcPr>
            <w:tcW w:w="1903"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整体服务方案</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（15分）</w:t>
            </w: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方案明确详尽，具体完善，科学合理，与本项目的实际情况契合度高、针对性和操作性强</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12.1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方案较明确、较具体，合理可行，与本项目的实际情况契合度较高，可操作</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9.1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基本满足招标文件要求</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服务质量和时间</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保证措施</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（10分）</w:t>
            </w: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措施明确详尽，具体完善，科学合理，与本项目的实际情况契合度高、针对性和操作性强</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8.1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措施较明确、较具体，合理可行，与本项目的实际情况契合度较高，可操作</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6.1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基本满足招标文件要求</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设备投入方案</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（10分）</w:t>
            </w: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方案明确详尽，具体完善，科学合理，与本项目的实际情况契合度高、针对性和操作性强</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lang w:val="en-US" w:eastAsia="zh-CN"/>
              </w:rPr>
              <w:t>8.1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方案较明确、较具体，合理可行，与本项目的实际情况契合度较高，可操作</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lang w:val="en-US" w:eastAsia="zh-CN"/>
              </w:rPr>
              <w:t>6.1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基本满足招标文件要求</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restart"/>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应急、保密措施</w:t>
            </w:r>
          </w:p>
          <w:p>
            <w:pPr>
              <w:spacing w:line="240" w:lineRule="auto"/>
              <w:jc w:val="center"/>
              <w:rPr>
                <w:rFonts w:hint="default"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（15分）</w:t>
            </w: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措施明确详尽，具体完善，科学合理，与本项目的实际情况契合度高、针对性和操作性强</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12.1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措施较明确、较具体，合理可行，与本项目的实际情况契合度较高，可操作</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9.1</w:t>
            </w:r>
            <w:r>
              <w:rPr>
                <w:rFonts w:hint="eastAsia" w:ascii="宋体" w:hAnsi="宋体" w:eastAsia="宋体" w:cs="宋体"/>
                <w:b w:val="0"/>
                <w:bCs/>
                <w:strike w:val="0"/>
                <w:dstrike w:val="0"/>
                <w:color w:val="auto"/>
                <w:sz w:val="21"/>
                <w:szCs w:val="21"/>
                <w:highlight w:val="none"/>
              </w:rPr>
              <w:t>-</w:t>
            </w:r>
            <w:r>
              <w:rPr>
                <w:rFonts w:hint="eastAsia" w:ascii="宋体" w:hAnsi="宋体" w:eastAsia="宋体" w:cs="宋体"/>
                <w:b w:val="0"/>
                <w:bCs/>
                <w:strike w:val="0"/>
                <w:dstrike w:val="0"/>
                <w:color w:val="auto"/>
                <w:sz w:val="21"/>
                <w:szCs w:val="21"/>
                <w:highlight w:val="none"/>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4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rPr>
            </w:pPr>
          </w:p>
        </w:tc>
        <w:tc>
          <w:tcPr>
            <w:tcW w:w="1120" w:type="dxa"/>
            <w:vMerge w:val="continue"/>
            <w:noWrap w:val="0"/>
            <w:vAlign w:val="top"/>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1903" w:type="dxa"/>
            <w:vMerge w:val="continue"/>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p>
        </w:tc>
        <w:tc>
          <w:tcPr>
            <w:tcW w:w="4414" w:type="dxa"/>
            <w:noWrap w:val="0"/>
            <w:vAlign w:val="center"/>
          </w:tcPr>
          <w:p>
            <w:pPr>
              <w:spacing w:line="240" w:lineRule="auto"/>
              <w:jc w:val="both"/>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基本满足招标文件要求</w:t>
            </w:r>
          </w:p>
        </w:tc>
        <w:tc>
          <w:tcPr>
            <w:tcW w:w="1357" w:type="dxa"/>
            <w:noWrap w:val="0"/>
            <w:vAlign w:val="center"/>
          </w:tcPr>
          <w:p>
            <w:pPr>
              <w:pStyle w:val="24"/>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40" w:type="dxa"/>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2.</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.4（2）</w:t>
            </w:r>
          </w:p>
        </w:tc>
        <w:tc>
          <w:tcPr>
            <w:tcW w:w="3023" w:type="dxa"/>
            <w:gridSpan w:val="2"/>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企业业绩评分标准</w:t>
            </w:r>
          </w:p>
          <w:p>
            <w:pPr>
              <w:spacing w:line="240" w:lineRule="auto"/>
              <w:jc w:val="center"/>
              <w:rPr>
                <w:rFonts w:hint="eastAsia" w:ascii="宋体" w:hAnsi="宋体" w:eastAsia="宋体" w:cs="宋体"/>
                <w:b w:val="0"/>
                <w:bCs/>
                <w:strike w:val="0"/>
                <w:dstrike w:val="0"/>
                <w:color w:val="auto"/>
                <w:kern w:val="2"/>
                <w:sz w:val="21"/>
                <w:szCs w:val="21"/>
                <w:highlight w:val="none"/>
                <w:lang w:val="en-US" w:eastAsia="zh-CN" w:bidi="ar-SA"/>
              </w:rPr>
            </w:pPr>
            <w:r>
              <w:rPr>
                <w:rFonts w:hint="eastAsia" w:ascii="宋体" w:hAnsi="宋体" w:eastAsia="宋体" w:cs="宋体"/>
                <w:b w:val="0"/>
                <w:bCs/>
                <w:strike w:val="0"/>
                <w:dstrike w:val="0"/>
                <w:color w:val="auto"/>
                <w:sz w:val="21"/>
                <w:szCs w:val="21"/>
                <w:highlight w:val="none"/>
                <w:lang w:val="en-US" w:eastAsia="zh-CN"/>
              </w:rPr>
              <w:t>（ 20 分）</w:t>
            </w:r>
          </w:p>
        </w:tc>
        <w:tc>
          <w:tcPr>
            <w:tcW w:w="5771" w:type="dxa"/>
            <w:gridSpan w:val="2"/>
            <w:noWrap w:val="0"/>
            <w:vAlign w:val="center"/>
          </w:tcPr>
          <w:p>
            <w:pPr>
              <w:spacing w:line="240" w:lineRule="auto"/>
              <w:jc w:val="left"/>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rPr>
              <w:t>满足资格审查</w:t>
            </w:r>
            <w:r>
              <w:rPr>
                <w:rFonts w:hint="eastAsia" w:ascii="宋体" w:hAnsi="宋体" w:eastAsia="宋体" w:cs="宋体"/>
                <w:b w:val="0"/>
                <w:bCs/>
                <w:strike w:val="0"/>
                <w:dstrike w:val="0"/>
                <w:color w:val="auto"/>
                <w:sz w:val="21"/>
                <w:szCs w:val="21"/>
                <w:highlight w:val="none"/>
                <w:lang w:val="en-US" w:eastAsia="zh-CN"/>
              </w:rPr>
              <w:t>条件（业绩最低要求）</w:t>
            </w:r>
            <w:r>
              <w:rPr>
                <w:rFonts w:hint="eastAsia" w:ascii="宋体" w:hAnsi="宋体" w:eastAsia="宋体" w:cs="宋体"/>
                <w:b w:val="0"/>
                <w:bCs/>
                <w:strike w:val="0"/>
                <w:dstrike w:val="0"/>
                <w:color w:val="auto"/>
                <w:sz w:val="21"/>
                <w:szCs w:val="21"/>
                <w:highlight w:val="none"/>
              </w:rPr>
              <w:t>得</w:t>
            </w:r>
            <w:r>
              <w:rPr>
                <w:rFonts w:hint="eastAsia" w:ascii="宋体" w:hAnsi="宋体" w:eastAsia="宋体" w:cs="宋体"/>
                <w:b w:val="0"/>
                <w:bCs/>
                <w:strike w:val="0"/>
                <w:dstrike w:val="0"/>
                <w:color w:val="auto"/>
                <w:sz w:val="21"/>
                <w:szCs w:val="21"/>
                <w:highlight w:val="none"/>
                <w:lang w:val="en-US" w:eastAsia="zh-CN"/>
              </w:rPr>
              <w:t>12</w:t>
            </w:r>
            <w:r>
              <w:rPr>
                <w:rFonts w:hint="eastAsia" w:ascii="宋体" w:hAnsi="宋体" w:eastAsia="宋体" w:cs="宋体"/>
                <w:b w:val="0"/>
                <w:bCs/>
                <w:strike w:val="0"/>
                <w:dstrike w:val="0"/>
                <w:color w:val="auto"/>
                <w:sz w:val="21"/>
                <w:szCs w:val="21"/>
                <w:highlight w:val="none"/>
              </w:rPr>
              <w:t>分</w:t>
            </w:r>
            <w:r>
              <w:rPr>
                <w:rFonts w:hint="eastAsia" w:ascii="宋体" w:hAnsi="宋体" w:cs="宋体"/>
                <w:b w:val="0"/>
                <w:bCs/>
                <w:strike w:val="0"/>
                <w:dstrike w:val="0"/>
                <w:color w:val="auto"/>
                <w:sz w:val="21"/>
                <w:szCs w:val="21"/>
                <w:highlight w:val="none"/>
                <w:lang w:eastAsia="zh-CN"/>
              </w:rPr>
              <w:t>；</w:t>
            </w:r>
            <w:r>
              <w:rPr>
                <w:rFonts w:hint="eastAsia" w:ascii="宋体" w:hAnsi="宋体" w:eastAsia="宋体" w:cs="宋体"/>
                <w:b w:val="0"/>
                <w:bCs/>
                <w:strike w:val="0"/>
                <w:dstrike w:val="0"/>
                <w:color w:val="auto"/>
                <w:sz w:val="21"/>
                <w:szCs w:val="21"/>
                <w:highlight w:val="none"/>
                <w:lang w:val="en-US" w:eastAsia="zh-CN"/>
              </w:rPr>
              <w:t>每增加</w:t>
            </w:r>
            <w:r>
              <w:rPr>
                <w:rFonts w:hint="eastAsia" w:ascii="宋体" w:hAnsi="宋体" w:cs="宋体"/>
                <w:b w:val="0"/>
                <w:bCs/>
                <w:strike w:val="0"/>
                <w:dstrike w:val="0"/>
                <w:color w:val="auto"/>
                <w:sz w:val="21"/>
                <w:szCs w:val="21"/>
                <w:highlight w:val="none"/>
                <w:lang w:val="en-US" w:eastAsia="zh-CN"/>
              </w:rPr>
              <w:t>1</w:t>
            </w:r>
            <w:r>
              <w:rPr>
                <w:rFonts w:hint="eastAsia" w:ascii="宋体" w:hAnsi="宋体" w:eastAsia="宋体" w:cs="宋体"/>
                <w:b w:val="0"/>
                <w:bCs/>
                <w:strike w:val="0"/>
                <w:dstrike w:val="0"/>
                <w:color w:val="auto"/>
                <w:sz w:val="21"/>
                <w:szCs w:val="21"/>
                <w:highlight w:val="none"/>
                <w:lang w:val="en-US" w:eastAsia="zh-CN"/>
              </w:rPr>
              <w:t>项满足资格审查条件（业绩最低要求）的业绩加</w:t>
            </w:r>
            <w:r>
              <w:rPr>
                <w:rFonts w:hint="eastAsia" w:ascii="宋体" w:hAnsi="宋体" w:cs="宋体"/>
                <w:b w:val="0"/>
                <w:bCs/>
                <w:strike w:val="0"/>
                <w:dstrike w:val="0"/>
                <w:color w:val="auto"/>
                <w:sz w:val="21"/>
                <w:szCs w:val="21"/>
                <w:highlight w:val="none"/>
                <w:lang w:val="en-US" w:eastAsia="zh-CN"/>
              </w:rPr>
              <w:t>4</w:t>
            </w:r>
            <w:r>
              <w:rPr>
                <w:rFonts w:hint="eastAsia" w:ascii="宋体" w:hAnsi="宋体" w:eastAsia="宋体" w:cs="宋体"/>
                <w:b w:val="0"/>
                <w:bCs/>
                <w:strike w:val="0"/>
                <w:dstrike w:val="0"/>
                <w:color w:val="auto"/>
                <w:sz w:val="21"/>
                <w:szCs w:val="21"/>
                <w:highlight w:val="none"/>
                <w:lang w:val="en-US" w:eastAsia="zh-CN"/>
              </w:rPr>
              <w:t>分，最多加</w:t>
            </w:r>
            <w:r>
              <w:rPr>
                <w:rFonts w:hint="eastAsia" w:ascii="宋体" w:hAnsi="宋体" w:cs="宋体"/>
                <w:b w:val="0"/>
                <w:bCs/>
                <w:strike w:val="0"/>
                <w:dstrike w:val="0"/>
                <w:color w:val="auto"/>
                <w:sz w:val="21"/>
                <w:szCs w:val="21"/>
                <w:highlight w:val="none"/>
                <w:lang w:val="en-US" w:eastAsia="zh-CN"/>
              </w:rPr>
              <w:t>8</w:t>
            </w:r>
            <w:r>
              <w:rPr>
                <w:rFonts w:hint="eastAsia" w:ascii="宋体" w:hAnsi="宋体" w:eastAsia="宋体" w:cs="宋体"/>
                <w:b w:val="0"/>
                <w:bCs/>
                <w:strike w:val="0"/>
                <w:dstrike w:val="0"/>
                <w:color w:val="auto"/>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840" w:type="dxa"/>
            <w:noWrap w:val="0"/>
            <w:vAlign w:val="center"/>
          </w:tcPr>
          <w:p>
            <w:pPr>
              <w:spacing w:line="240" w:lineRule="auto"/>
              <w:jc w:val="center"/>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2.</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.4（</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w:t>
            </w:r>
          </w:p>
        </w:tc>
        <w:tc>
          <w:tcPr>
            <w:tcW w:w="3023" w:type="dxa"/>
            <w:gridSpan w:val="2"/>
            <w:noWrap w:val="0"/>
            <w:vAlign w:val="center"/>
          </w:tcPr>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cs="宋体"/>
                <w:b w:val="0"/>
                <w:bCs/>
                <w:strike w:val="0"/>
                <w:dstrike w:val="0"/>
                <w:color w:val="auto"/>
                <w:sz w:val="21"/>
                <w:szCs w:val="21"/>
                <w:highlight w:val="none"/>
                <w:lang w:val="en-US" w:eastAsia="zh-CN"/>
              </w:rPr>
              <w:t>评标价</w:t>
            </w:r>
          </w:p>
          <w:p>
            <w:pPr>
              <w:spacing w:line="240" w:lineRule="auto"/>
              <w:jc w:val="center"/>
              <w:rPr>
                <w:rFonts w:hint="eastAsia" w:ascii="宋体" w:hAnsi="宋体" w:eastAsia="宋体" w:cs="宋体"/>
                <w:b w:val="0"/>
                <w:bCs/>
                <w:strike w:val="0"/>
                <w:dstrike w:val="0"/>
                <w:color w:val="auto"/>
                <w:sz w:val="21"/>
                <w:szCs w:val="21"/>
                <w:highlight w:val="none"/>
                <w:lang w:val="en-US" w:eastAsia="zh-CN"/>
              </w:rPr>
            </w:pPr>
            <w:r>
              <w:rPr>
                <w:rFonts w:hint="eastAsia" w:ascii="宋体" w:hAnsi="宋体" w:eastAsia="宋体" w:cs="宋体"/>
                <w:b w:val="0"/>
                <w:bCs/>
                <w:strike w:val="0"/>
                <w:dstrike w:val="0"/>
                <w:color w:val="auto"/>
                <w:sz w:val="21"/>
                <w:szCs w:val="21"/>
                <w:highlight w:val="none"/>
                <w:lang w:val="en-US" w:eastAsia="zh-CN"/>
              </w:rPr>
              <w:t>（30分）</w:t>
            </w:r>
          </w:p>
        </w:tc>
        <w:tc>
          <w:tcPr>
            <w:tcW w:w="5771" w:type="dxa"/>
            <w:gridSpan w:val="2"/>
            <w:noWrap w:val="0"/>
            <w:vAlign w:val="top"/>
          </w:tcPr>
          <w:p>
            <w:pPr>
              <w:spacing w:line="240" w:lineRule="auto"/>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评标价得分计算公式：</w:t>
            </w:r>
          </w:p>
          <w:p>
            <w:pPr>
              <w:spacing w:line="240" w:lineRule="auto"/>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(1)如果投标人的</w:t>
            </w:r>
            <w:r>
              <w:rPr>
                <w:rFonts w:hint="eastAsia" w:ascii="宋体" w:hAnsi="宋体" w:cs="宋体"/>
                <w:b w:val="0"/>
                <w:bCs/>
                <w:strike w:val="0"/>
                <w:dstrike w:val="0"/>
                <w:color w:val="auto"/>
                <w:sz w:val="21"/>
                <w:szCs w:val="21"/>
                <w:highlight w:val="none"/>
                <w:lang w:val="en-US" w:eastAsia="zh-CN"/>
              </w:rPr>
              <w:t>评标价</w:t>
            </w:r>
            <w:r>
              <w:rPr>
                <w:rFonts w:hint="eastAsia" w:ascii="宋体" w:hAnsi="宋体" w:eastAsia="宋体" w:cs="宋体"/>
                <w:b w:val="0"/>
                <w:bCs/>
                <w:strike w:val="0"/>
                <w:dstrike w:val="0"/>
                <w:color w:val="auto"/>
                <w:sz w:val="21"/>
                <w:szCs w:val="21"/>
                <w:highlight w:val="none"/>
              </w:rPr>
              <w:t>＞评标基准价，则</w:t>
            </w:r>
            <w:r>
              <w:rPr>
                <w:rFonts w:hint="eastAsia" w:ascii="宋体" w:hAnsi="宋体" w:cs="宋体"/>
                <w:b w:val="0"/>
                <w:bCs/>
                <w:strike w:val="0"/>
                <w:dstrike w:val="0"/>
                <w:color w:val="auto"/>
                <w:sz w:val="21"/>
                <w:szCs w:val="21"/>
                <w:highlight w:val="none"/>
                <w:lang w:val="en-US" w:eastAsia="zh-CN"/>
              </w:rPr>
              <w:t>评标价</w:t>
            </w:r>
            <w:r>
              <w:rPr>
                <w:rFonts w:hint="eastAsia" w:ascii="宋体" w:hAnsi="宋体" w:eastAsia="宋体" w:cs="宋体"/>
                <w:b w:val="0"/>
                <w:bCs/>
                <w:strike w:val="0"/>
                <w:dstrike w:val="0"/>
                <w:color w:val="auto"/>
                <w:sz w:val="21"/>
                <w:szCs w:val="21"/>
                <w:highlight w:val="none"/>
              </w:rPr>
              <w:t>得分=</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0-偏差率×100×E1；</w:t>
            </w:r>
          </w:p>
          <w:p>
            <w:pPr>
              <w:spacing w:line="240" w:lineRule="auto"/>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(2)如果投标人的</w:t>
            </w:r>
            <w:r>
              <w:rPr>
                <w:rFonts w:hint="eastAsia" w:ascii="宋体" w:hAnsi="宋体" w:cs="宋体"/>
                <w:b w:val="0"/>
                <w:bCs/>
                <w:strike w:val="0"/>
                <w:dstrike w:val="0"/>
                <w:color w:val="auto"/>
                <w:sz w:val="21"/>
                <w:szCs w:val="21"/>
                <w:highlight w:val="none"/>
                <w:lang w:val="en-US" w:eastAsia="zh-CN"/>
              </w:rPr>
              <w:t>评标价</w:t>
            </w:r>
            <w:r>
              <w:rPr>
                <w:rFonts w:hint="eastAsia" w:ascii="宋体" w:hAnsi="宋体" w:eastAsia="宋体" w:cs="宋体"/>
                <w:b w:val="0"/>
                <w:bCs/>
                <w:strike w:val="0"/>
                <w:dstrike w:val="0"/>
                <w:color w:val="auto"/>
                <w:sz w:val="21"/>
                <w:szCs w:val="21"/>
                <w:highlight w:val="none"/>
              </w:rPr>
              <w:t>≤评标基准价，则</w:t>
            </w:r>
            <w:r>
              <w:rPr>
                <w:rFonts w:hint="eastAsia" w:ascii="宋体" w:hAnsi="宋体" w:cs="宋体"/>
                <w:b w:val="0"/>
                <w:bCs/>
                <w:strike w:val="0"/>
                <w:dstrike w:val="0"/>
                <w:color w:val="auto"/>
                <w:sz w:val="21"/>
                <w:szCs w:val="21"/>
                <w:highlight w:val="none"/>
                <w:lang w:val="en-US" w:eastAsia="zh-CN"/>
              </w:rPr>
              <w:t>评标价</w:t>
            </w:r>
            <w:r>
              <w:rPr>
                <w:rFonts w:hint="eastAsia" w:ascii="宋体" w:hAnsi="宋体" w:eastAsia="宋体" w:cs="宋体"/>
                <w:b w:val="0"/>
                <w:bCs/>
                <w:strike w:val="0"/>
                <w:dstrike w:val="0"/>
                <w:color w:val="auto"/>
                <w:sz w:val="21"/>
                <w:szCs w:val="21"/>
                <w:highlight w:val="none"/>
              </w:rPr>
              <w:t>得分=</w:t>
            </w:r>
            <w:r>
              <w:rPr>
                <w:rFonts w:hint="eastAsia" w:ascii="宋体" w:hAnsi="宋体" w:eastAsia="宋体" w:cs="宋体"/>
                <w:b w:val="0"/>
                <w:bCs/>
                <w:strike w:val="0"/>
                <w:dstrike w:val="0"/>
                <w:color w:val="auto"/>
                <w:sz w:val="21"/>
                <w:szCs w:val="21"/>
                <w:highlight w:val="none"/>
                <w:lang w:val="en-US" w:eastAsia="zh-CN"/>
              </w:rPr>
              <w:t>3</w:t>
            </w:r>
            <w:r>
              <w:rPr>
                <w:rFonts w:hint="eastAsia" w:ascii="宋体" w:hAnsi="宋体" w:eastAsia="宋体" w:cs="宋体"/>
                <w:b w:val="0"/>
                <w:bCs/>
                <w:strike w:val="0"/>
                <w:dstrike w:val="0"/>
                <w:color w:val="auto"/>
                <w:sz w:val="21"/>
                <w:szCs w:val="21"/>
                <w:highlight w:val="none"/>
              </w:rPr>
              <w:t>0+偏差率×100×E2。</w:t>
            </w:r>
          </w:p>
          <w:p>
            <w:pPr>
              <w:spacing w:line="240" w:lineRule="auto"/>
              <w:jc w:val="left"/>
              <w:rPr>
                <w:rFonts w:hint="eastAsia" w:ascii="宋体" w:hAnsi="宋体" w:eastAsia="宋体" w:cs="宋体"/>
                <w:b w:val="0"/>
                <w:bCs/>
                <w:strike w:val="0"/>
                <w:dstrike w:val="0"/>
                <w:color w:val="auto"/>
                <w:sz w:val="21"/>
                <w:szCs w:val="21"/>
                <w:highlight w:val="none"/>
              </w:rPr>
            </w:pPr>
            <w:r>
              <w:rPr>
                <w:rFonts w:hint="eastAsia" w:ascii="宋体" w:hAnsi="宋体" w:eastAsia="宋体" w:cs="宋体"/>
                <w:b w:val="0"/>
                <w:bCs/>
                <w:strike w:val="0"/>
                <w:dstrike w:val="0"/>
                <w:color w:val="auto"/>
                <w:sz w:val="21"/>
                <w:szCs w:val="21"/>
                <w:highlight w:val="none"/>
              </w:rPr>
              <w:t>其中，F=30；E1=0.</w:t>
            </w:r>
            <w:r>
              <w:rPr>
                <w:rFonts w:hint="eastAsia" w:ascii="宋体" w:hAnsi="宋体" w:cs="宋体"/>
                <w:b w:val="0"/>
                <w:bCs/>
                <w:strike w:val="0"/>
                <w:dstrike w:val="0"/>
                <w:color w:val="auto"/>
                <w:sz w:val="21"/>
                <w:szCs w:val="21"/>
                <w:highlight w:val="none"/>
                <w:lang w:val="en-US" w:eastAsia="zh-CN"/>
              </w:rPr>
              <w:t>2</w:t>
            </w:r>
            <w:r>
              <w:rPr>
                <w:rFonts w:hint="eastAsia" w:ascii="宋体" w:hAnsi="宋体" w:eastAsia="宋体" w:cs="宋体"/>
                <w:b w:val="0"/>
                <w:bCs/>
                <w:strike w:val="0"/>
                <w:dstrike w:val="0"/>
                <w:color w:val="auto"/>
                <w:sz w:val="21"/>
                <w:szCs w:val="21"/>
                <w:highlight w:val="none"/>
              </w:rPr>
              <w:t>；E2=0.</w:t>
            </w:r>
            <w:r>
              <w:rPr>
                <w:rFonts w:hint="eastAsia" w:ascii="宋体" w:hAnsi="宋体" w:cs="宋体"/>
                <w:b w:val="0"/>
                <w:bCs/>
                <w:strike w:val="0"/>
                <w:dstrike w:val="0"/>
                <w:color w:val="auto"/>
                <w:sz w:val="21"/>
                <w:szCs w:val="21"/>
                <w:highlight w:val="none"/>
                <w:lang w:val="en-US" w:eastAsia="zh-CN"/>
              </w:rPr>
              <w:t>1</w:t>
            </w:r>
            <w:r>
              <w:rPr>
                <w:rFonts w:hint="eastAsia" w:ascii="宋体" w:hAnsi="宋体" w:eastAsia="宋体" w:cs="宋体"/>
                <w:b w:val="0"/>
                <w:bCs/>
                <w:strike w:val="0"/>
                <w:dstrike w:val="0"/>
                <w:color w:val="auto"/>
                <w:sz w:val="21"/>
                <w:szCs w:val="21"/>
                <w:highlight w:val="none"/>
              </w:rPr>
              <w:t>；评标价最低得分为0分（评标价得分保留小数点后两位，小数点后第三位四舍五入）。</w:t>
            </w:r>
          </w:p>
        </w:tc>
      </w:tr>
    </w:tbl>
    <w:p>
      <w:pPr>
        <w:adjustRightIn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pPr>
        <w:adjustRightInd w:val="0"/>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2、服务方案各评分因素细分项缺项则该项得0分；</w:t>
      </w:r>
    </w:p>
    <w:p>
      <w:pPr>
        <w:adjustRightInd w:val="0"/>
        <w:spacing w:line="400" w:lineRule="exact"/>
        <w:ind w:firstLine="480" w:firstLineChars="200"/>
        <w:rPr>
          <w:rFonts w:hint="eastAsia" w:ascii="宋体" w:hAnsi="宋体" w:eastAsia="宋体" w:cs="宋体"/>
          <w:color w:val="auto"/>
          <w:sz w:val="24"/>
          <w:highlight w:val="none"/>
          <w:lang w:eastAsia="zh-CN"/>
        </w:rPr>
      </w:pPr>
      <w:bookmarkStart w:id="0" w:name="_GoBack"/>
      <w:bookmarkEnd w:id="0"/>
      <w:r>
        <w:rPr>
          <w:rFonts w:hint="eastAsia" w:ascii="宋体" w:hAnsi="宋体" w:eastAsia="宋体" w:cs="宋体"/>
          <w:color w:val="auto"/>
          <w:sz w:val="24"/>
          <w:highlight w:val="none"/>
          <w:lang w:eastAsia="zh-CN"/>
        </w:rPr>
        <w:t>3、服务方案评分时保留1位小数，评标价得分计算时保留两位小数。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320F3032"/>
    <w:rsid w:val="06A878FD"/>
    <w:rsid w:val="320F3032"/>
    <w:rsid w:val="3F2A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3" w:lineRule="auto"/>
      <w:outlineLvl w:val="2"/>
    </w:pPr>
    <w:rPr>
      <w:b/>
      <w:sz w:val="32"/>
      <w:szCs w:val="20"/>
    </w:rPr>
  </w:style>
  <w:style w:type="paragraph" w:styleId="3">
    <w:name w:val="heading 4"/>
    <w:basedOn w:val="1"/>
    <w:next w:val="1"/>
    <w:qFormat/>
    <w:uiPriority w:val="99"/>
    <w:pPr>
      <w:keepNext/>
      <w:keepLines/>
      <w:spacing w:line="360" w:lineRule="auto"/>
      <w:outlineLvl w:val="3"/>
    </w:pPr>
    <w:rPr>
      <w:rFonts w:ascii="Arial" w:hAnsi="Arial"/>
      <w:b/>
      <w:sz w:val="28"/>
      <w:szCs w:val="20"/>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3"/>
    <w:basedOn w:val="1"/>
    <w:next w:val="5"/>
    <w:qFormat/>
    <w:uiPriority w:val="99"/>
    <w:pPr>
      <w:spacing w:line="400" w:lineRule="exact"/>
    </w:pPr>
    <w:rPr>
      <w:kern w:val="0"/>
      <w:sz w:val="16"/>
      <w:szCs w:val="16"/>
    </w:rPr>
  </w:style>
  <w:style w:type="paragraph" w:styleId="5">
    <w:name w:val="List 2"/>
    <w:basedOn w:val="1"/>
    <w:next w:val="6"/>
    <w:qFormat/>
    <w:uiPriority w:val="0"/>
    <w:pPr>
      <w:ind w:left="100" w:leftChars="200" w:hanging="200" w:hangingChars="200"/>
    </w:pPr>
    <w:rPr>
      <w:rFonts w:ascii="Times New Roman" w:hAnsi="Times New Roman" w:eastAsia="宋体" w:cs="Times New Roman"/>
      <w:szCs w:val="24"/>
    </w:rPr>
  </w:style>
  <w:style w:type="paragraph" w:styleId="6">
    <w:name w:val="Date"/>
    <w:basedOn w:val="1"/>
    <w:next w:val="1"/>
    <w:qFormat/>
    <w:uiPriority w:val="99"/>
    <w:pPr>
      <w:ind w:left="100" w:leftChars="2500"/>
    </w:pPr>
  </w:style>
  <w:style w:type="paragraph" w:styleId="7">
    <w:name w:val="Body Text"/>
    <w:basedOn w:val="1"/>
    <w:next w:val="8"/>
    <w:qFormat/>
    <w:uiPriority w:val="0"/>
    <w:rPr>
      <w:rFonts w:ascii="宋体" w:hAnsi="宋体"/>
      <w:sz w:val="24"/>
    </w:rPr>
  </w:style>
  <w:style w:type="paragraph" w:customStyle="1" w:styleId="8">
    <w:name w:val="正文部分 Char Char Char"/>
    <w:basedOn w:val="7"/>
    <w:next w:val="9"/>
    <w:autoRedefine/>
    <w:qFormat/>
    <w:uiPriority w:val="99"/>
    <w:pPr>
      <w:spacing w:line="460" w:lineRule="exact"/>
      <w:textAlignment w:val="baseline"/>
    </w:pPr>
    <w:rPr>
      <w:sz w:val="24"/>
    </w:rPr>
  </w:style>
  <w:style w:type="paragraph" w:customStyle="1" w:styleId="9">
    <w:name w:val="章标题"/>
    <w:basedOn w:val="10"/>
    <w:autoRedefine/>
    <w:qFormat/>
    <w:uiPriority w:val="99"/>
    <w:pPr>
      <w:spacing w:line="360" w:lineRule="auto"/>
    </w:pPr>
  </w:style>
  <w:style w:type="paragraph" w:styleId="10">
    <w:name w:val="Title"/>
    <w:basedOn w:val="1"/>
    <w:next w:val="1"/>
    <w:autoRedefine/>
    <w:qFormat/>
    <w:uiPriority w:val="99"/>
    <w:pPr>
      <w:spacing w:before="240" w:after="60"/>
      <w:jc w:val="center"/>
      <w:outlineLvl w:val="0"/>
    </w:pPr>
    <w:rPr>
      <w:rFonts w:ascii="Cambria" w:hAnsi="Cambria"/>
      <w:b/>
      <w:kern w:val="0"/>
      <w:sz w:val="32"/>
      <w:szCs w:val="20"/>
    </w:rPr>
  </w:style>
  <w:style w:type="paragraph" w:styleId="11">
    <w:name w:val="Body Text Indent"/>
    <w:basedOn w:val="1"/>
    <w:next w:val="12"/>
    <w:autoRedefine/>
    <w:qFormat/>
    <w:uiPriority w:val="99"/>
    <w:pPr>
      <w:spacing w:line="360" w:lineRule="auto"/>
      <w:ind w:firstLine="480" w:firstLineChars="200"/>
    </w:pPr>
    <w:rPr>
      <w:kern w:val="0"/>
      <w:sz w:val="20"/>
    </w:rPr>
  </w:style>
  <w:style w:type="paragraph" w:styleId="12">
    <w:name w:val="Body Text Indent 2"/>
    <w:basedOn w:val="1"/>
    <w:autoRedefine/>
    <w:qFormat/>
    <w:uiPriority w:val="99"/>
    <w:pPr>
      <w:spacing w:line="520" w:lineRule="exact"/>
      <w:ind w:firstLine="480" w:firstLineChars="200"/>
    </w:pPr>
    <w:rPr>
      <w:kern w:val="0"/>
      <w:sz w:val="20"/>
    </w:rPr>
  </w:style>
  <w:style w:type="paragraph" w:styleId="13">
    <w:name w:val="List Continue"/>
    <w:basedOn w:val="1"/>
    <w:next w:val="14"/>
    <w:autoRedefine/>
    <w:qFormat/>
    <w:uiPriority w:val="0"/>
    <w:pPr>
      <w:spacing w:after="120"/>
      <w:ind w:left="420" w:firstLine="3584"/>
    </w:pPr>
  </w:style>
  <w:style w:type="paragraph" w:styleId="14">
    <w:name w:val="Body Text First Indent"/>
    <w:basedOn w:val="7"/>
    <w:next w:val="4"/>
    <w:autoRedefine/>
    <w:qFormat/>
    <w:uiPriority w:val="99"/>
    <w:pPr>
      <w:autoSpaceDE w:val="0"/>
      <w:autoSpaceDN w:val="0"/>
      <w:adjustRightInd w:val="0"/>
      <w:spacing w:after="120"/>
      <w:ind w:firstLine="420"/>
      <w:jc w:val="left"/>
      <w:textAlignment w:val="baseline"/>
    </w:pPr>
  </w:style>
  <w:style w:type="paragraph" w:styleId="15">
    <w:name w:val="Body Text First Indent 2"/>
    <w:basedOn w:val="11"/>
    <w:next w:val="13"/>
    <w:autoRedefine/>
    <w:qFormat/>
    <w:uiPriority w:val="99"/>
    <w:pPr>
      <w:ind w:firstLine="420" w:firstLineChars="200"/>
    </w:pPr>
    <w:rPr>
      <w:color w:val="000000"/>
    </w:rPr>
  </w:style>
  <w:style w:type="paragraph" w:customStyle="1" w:styleId="18">
    <w:name w:val="样式 首行缩进:  1 厘米 行距: 固定值 25 磅"/>
    <w:basedOn w:val="1"/>
    <w:autoRedefine/>
    <w:qFormat/>
    <w:uiPriority w:val="99"/>
    <w:pPr>
      <w:adjustRightInd w:val="0"/>
      <w:spacing w:line="420" w:lineRule="exact"/>
      <w:ind w:firstLine="480" w:firstLineChars="200"/>
      <w:textAlignment w:val="baseline"/>
    </w:pPr>
    <w:rPr>
      <w:rFonts w:ascii="宋体" w:hAnsi="宋体" w:cs="宋体"/>
      <w:kern w:val="0"/>
      <w:sz w:val="24"/>
    </w:rPr>
  </w:style>
  <w:style w:type="paragraph" w:customStyle="1" w:styleId="19">
    <w:name w:val="列表段落1"/>
    <w:basedOn w:val="1"/>
    <w:qFormat/>
    <w:uiPriority w:val="99"/>
    <w:pPr>
      <w:ind w:firstLine="420" w:firstLineChars="200"/>
    </w:pPr>
    <w:rPr>
      <w:rFonts w:ascii="Calibri" w:hAnsi="Calibri"/>
      <w:szCs w:val="22"/>
    </w:rPr>
  </w:style>
  <w:style w:type="paragraph" w:customStyle="1" w:styleId="20">
    <w:name w:val="目录3"/>
    <w:basedOn w:val="1"/>
    <w:autoRedefine/>
    <w:qFormat/>
    <w:uiPriority w:val="99"/>
    <w:pPr>
      <w:spacing w:beforeLines="50" w:afterLines="50" w:line="400" w:lineRule="exact"/>
    </w:pPr>
    <w:rPr>
      <w:rFonts w:ascii="黑体" w:eastAsia="黑体"/>
      <w:sz w:val="24"/>
    </w:rPr>
  </w:style>
  <w:style w:type="character" w:customStyle="1" w:styleId="21">
    <w:name w:val="目录4 Char"/>
    <w:autoRedefine/>
    <w:qFormat/>
    <w:uiPriority w:val="99"/>
    <w:rPr>
      <w:rFonts w:ascii="黑体" w:eastAsia="黑体"/>
      <w:kern w:val="2"/>
      <w:sz w:val="24"/>
      <w:lang w:val="en-US" w:eastAsia="zh-CN"/>
    </w:rPr>
  </w:style>
  <w:style w:type="character" w:customStyle="1" w:styleId="22">
    <w:name w:val="目录4 Char Char"/>
    <w:qFormat/>
    <w:uiPriority w:val="99"/>
    <w:rPr>
      <w:rFonts w:ascii="黑体" w:eastAsia="黑体"/>
      <w:kern w:val="2"/>
      <w:sz w:val="24"/>
      <w:lang w:val="en-US" w:eastAsia="zh-CN"/>
    </w:rPr>
  </w:style>
  <w:style w:type="paragraph" w:customStyle="1" w:styleId="23">
    <w:name w:val="目录1"/>
    <w:basedOn w:val="1"/>
    <w:qFormat/>
    <w:uiPriority w:val="99"/>
    <w:rPr>
      <w:rFonts w:ascii="黑体" w:eastAsia="黑体"/>
      <w:sz w:val="52"/>
      <w:szCs w:val="52"/>
    </w:rPr>
  </w:style>
  <w:style w:type="paragraph" w:styleId="24">
    <w:name w:val="No Spacing"/>
    <w:autoRedefine/>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2025-03-28T03:15:00Z</dcterms:created>
  <dc:creator>宿子轩</dc:creator>
  <cp:lastModifiedBy>李</cp:lastModifiedBy>
  <dcterms:modified xsi:type="dcterms:W3CDTF">2025-03-29T02:01:51Z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0403C6EDA73C464E93DB82285B2C0D0B_11</vt:lpwstr>
  </property>
  <property fmtid="{D5CDD505-2E9C-101B-9397-08002B2CF9AE}" pid="4" name="KSOTemplateDocerSaveRecord">
    <vt:lpwstr>eyJoZGlkIjoiNGZkMjFjMTdmNjM4YWZhY2QyMTVhZjBlOTFkOGFhODgiLCJ1c2VySWQiOiIxNjEwMTc3NzcxIn0=</vt:lpwstr>
  </property>
</Properties>
</file>