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12" w:lineRule="auto"/>
        <w:rPr>
          <w:rFonts w:ascii="宋体" w:hAnsi="宋体" w:eastAsia="宋体"/>
          <w:sz w:val="24"/>
          <w:szCs w:val="24"/>
          <w:highlight w:val="none"/>
        </w:rPr>
      </w:pPr>
      <w:bookmarkStart w:id="0" w:name="_Toc7744"/>
      <w:bookmarkStart w:id="1" w:name="_Toc115354982"/>
      <w:bookmarkStart w:id="2" w:name="_Toc115360827"/>
      <w:r>
        <w:rPr>
          <w:rFonts w:hint="eastAsia" w:ascii="宋体" w:hAnsi="宋体" w:eastAsia="宋体"/>
          <w:sz w:val="24"/>
          <w:szCs w:val="24"/>
          <w:highlight w:val="none"/>
        </w:rPr>
        <w:t>附件1：资格审查条件</w:t>
      </w:r>
      <w:bookmarkEnd w:id="0"/>
      <w:bookmarkEnd w:id="1"/>
      <w:bookmarkEnd w:id="2"/>
    </w:p>
    <w:p>
      <w:pPr>
        <w:rPr>
          <w:rFonts w:ascii="宋体" w:hAnsi="宋体"/>
          <w:szCs w:val="21"/>
          <w:highlight w:val="none"/>
        </w:rPr>
      </w:pPr>
    </w:p>
    <w:p>
      <w:pPr>
        <w:jc w:val="center"/>
        <w:rPr>
          <w:rFonts w:ascii="宋体" w:hAnsi="宋体"/>
          <w:highlight w:val="none"/>
        </w:rPr>
      </w:pPr>
      <w:r>
        <w:rPr>
          <w:rFonts w:hint="eastAsia" w:ascii="宋体" w:hAnsi="宋体"/>
          <w:b/>
          <w:sz w:val="24"/>
          <w:highlight w:val="none"/>
        </w:rPr>
        <w:t>附录1 资格审查条件(资质最低要求)</w:t>
      </w:r>
    </w:p>
    <w:tbl>
      <w:tblPr>
        <w:tblStyle w:val="7"/>
        <w:tblW w:w="96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9685"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highlight w:val="none"/>
              </w:rPr>
            </w:pPr>
            <w:r>
              <w:rPr>
                <w:rFonts w:hint="eastAsia" w:ascii="宋体" w:hAnsi="宋体"/>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43" w:hRule="atLeast"/>
          <w:jc w:val="center"/>
        </w:trPr>
        <w:tc>
          <w:tcPr>
            <w:tcW w:w="968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auto"/>
              <w:ind w:firstLine="308" w:firstLineChars="14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1.具有独立企业法人资格，持有有效的企业营业执照。</w:t>
            </w:r>
          </w:p>
          <w:p>
            <w:pPr>
              <w:keepNext w:val="0"/>
              <w:keepLines w:val="0"/>
              <w:pageBreakBefore w:val="0"/>
              <w:widowControl w:val="0"/>
              <w:kinsoku/>
              <w:wordWrap/>
              <w:overflowPunct/>
              <w:topLinePunct w:val="0"/>
              <w:autoSpaceDE/>
              <w:autoSpaceDN/>
              <w:bidi w:val="0"/>
              <w:adjustRightInd/>
              <w:snapToGrid w:val="0"/>
              <w:spacing w:line="300" w:lineRule="auto"/>
              <w:ind w:firstLine="308" w:firstLineChars="14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2.设计资质：</w:t>
            </w:r>
          </w:p>
          <w:p>
            <w:pPr>
              <w:keepNext w:val="0"/>
              <w:keepLines w:val="0"/>
              <w:pageBreakBefore w:val="0"/>
              <w:widowControl w:val="0"/>
              <w:kinsoku/>
              <w:wordWrap/>
              <w:overflowPunct/>
              <w:topLinePunct w:val="0"/>
              <w:autoSpaceDE/>
              <w:autoSpaceDN/>
              <w:bidi w:val="0"/>
              <w:adjustRightInd/>
              <w:snapToGrid w:val="0"/>
              <w:spacing w:line="300" w:lineRule="auto"/>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（1）具备工程设计综合甲级资质或公路行业设计甲级资质或公路行业（交通工程）专业</w:t>
            </w:r>
            <w:r>
              <w:rPr>
                <w:rFonts w:hint="eastAsia" w:ascii="宋体" w:hAnsi="宋体" w:eastAsia="宋体" w:cs="宋体"/>
                <w:sz w:val="21"/>
                <w:szCs w:val="21"/>
                <w:highlight w:val="none"/>
                <w:lang w:val="en-US" w:eastAsia="zh-CN"/>
              </w:rPr>
              <w:t>设计</w:t>
            </w:r>
            <w:r>
              <w:rPr>
                <w:rFonts w:hint="eastAsia" w:ascii="宋体" w:hAnsi="宋体" w:eastAsia="宋体" w:cs="宋体"/>
                <w:sz w:val="21"/>
                <w:szCs w:val="21"/>
                <w:highlight w:val="none"/>
              </w:rPr>
              <w:t>甲级资质。</w:t>
            </w:r>
          </w:p>
          <w:p>
            <w:pPr>
              <w:keepNext w:val="0"/>
              <w:keepLines w:val="0"/>
              <w:pageBreakBefore w:val="0"/>
              <w:widowControl w:val="0"/>
              <w:kinsoku/>
              <w:wordWrap/>
              <w:overflowPunct/>
              <w:topLinePunct w:val="0"/>
              <w:autoSpaceDE/>
              <w:autoSpaceDN/>
              <w:bidi w:val="0"/>
              <w:adjustRightInd/>
              <w:snapToGrid w:val="0"/>
              <w:spacing w:line="300" w:lineRule="auto"/>
              <w:ind w:firstLine="308" w:firstLineChars="147"/>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3.施工资质：</w:t>
            </w:r>
          </w:p>
          <w:p>
            <w:pPr>
              <w:keepNext w:val="0"/>
              <w:keepLines w:val="0"/>
              <w:pageBreakBefore w:val="0"/>
              <w:widowControl w:val="0"/>
              <w:kinsoku/>
              <w:wordWrap/>
              <w:overflowPunct/>
              <w:topLinePunct w:val="0"/>
              <w:autoSpaceDE/>
              <w:autoSpaceDN/>
              <w:bidi w:val="0"/>
              <w:adjustRightInd/>
              <w:snapToGrid w:val="0"/>
              <w:spacing w:line="300" w:lineRule="auto"/>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（1）具备住房和城乡建设行政主管部门颁发的公路交通工程专业承包公路机电工程分项一级资质；</w:t>
            </w:r>
          </w:p>
          <w:p>
            <w:pPr>
              <w:keepNext w:val="0"/>
              <w:keepLines w:val="0"/>
              <w:pageBreakBefore w:val="0"/>
              <w:widowControl w:val="0"/>
              <w:kinsoku/>
              <w:wordWrap/>
              <w:overflowPunct/>
              <w:topLinePunct w:val="0"/>
              <w:autoSpaceDE/>
              <w:autoSpaceDN/>
              <w:bidi w:val="0"/>
              <w:adjustRightInd/>
              <w:snapToGrid w:val="0"/>
              <w:spacing w:line="300" w:lineRule="auto"/>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）具有住房和城乡建设行政主管部门颁发的有效的安全生产许可证。</w:t>
            </w:r>
          </w:p>
          <w:p>
            <w:pPr>
              <w:keepNext w:val="0"/>
              <w:keepLines w:val="0"/>
              <w:pageBreakBefore w:val="0"/>
              <w:widowControl w:val="0"/>
              <w:kinsoku/>
              <w:wordWrap/>
              <w:overflowPunct/>
              <w:topLinePunct w:val="0"/>
              <w:autoSpaceDE/>
              <w:autoSpaceDN/>
              <w:bidi w:val="0"/>
              <w:adjustRightInd/>
              <w:snapToGrid w:val="0"/>
              <w:spacing w:line="300" w:lineRule="auto"/>
              <w:ind w:firstLine="308" w:firstLineChars="147"/>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4.以</w:t>
            </w:r>
            <w:r>
              <w:rPr>
                <w:rFonts w:hint="eastAsia" w:ascii="宋体" w:hAnsi="宋体" w:eastAsia="宋体" w:cs="宋体"/>
                <w:sz w:val="21"/>
                <w:szCs w:val="21"/>
                <w:highlight w:val="none"/>
              </w:rPr>
              <w:t>联合体形式投标的，联合体所有成员数量不得超过</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u w:val="single"/>
              </w:rPr>
              <w:t>家</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300" w:lineRule="auto"/>
              <w:ind w:firstLine="308" w:firstLineChars="147"/>
              <w:textAlignment w:val="auto"/>
              <w:rPr>
                <w:rFonts w:ascii="宋体" w:hAnsi="宋体"/>
                <w:highlight w:val="none"/>
              </w:rPr>
            </w:pPr>
            <w:r>
              <w:rPr>
                <w:rFonts w:hint="eastAsia" w:ascii="宋体" w:hAnsi="宋体" w:eastAsia="宋体" w:cs="宋体"/>
                <w:sz w:val="21"/>
                <w:szCs w:val="21"/>
                <w:highlight w:val="none"/>
              </w:rPr>
              <w:t>联合体应满足本项规定的资格条件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其中联合体牵头人应具备住房和城乡建设行政主管部门颁发的公路交通工程专业承包公路机电工程分项一级资质。</w:t>
            </w:r>
          </w:p>
        </w:tc>
      </w:tr>
    </w:tbl>
    <w:p>
      <w:pPr>
        <w:rPr>
          <w:rFonts w:ascii="宋体" w:hAnsi="宋体"/>
          <w:szCs w:val="21"/>
          <w:highlight w:val="none"/>
        </w:rPr>
      </w:pPr>
    </w:p>
    <w:p>
      <w:pPr>
        <w:pStyle w:val="4"/>
        <w:rPr>
          <w:highlight w:val="none"/>
        </w:rPr>
      </w:pPr>
    </w:p>
    <w:p>
      <w:pPr>
        <w:jc w:val="center"/>
        <w:rPr>
          <w:rFonts w:ascii="宋体" w:hAnsi="宋体"/>
          <w:b/>
          <w:sz w:val="24"/>
          <w:highlight w:val="none"/>
        </w:rPr>
      </w:pPr>
    </w:p>
    <w:p>
      <w:pPr>
        <w:jc w:val="center"/>
        <w:rPr>
          <w:rFonts w:ascii="宋体" w:hAnsi="宋体"/>
          <w:szCs w:val="21"/>
          <w:highlight w:val="none"/>
        </w:rPr>
      </w:pPr>
      <w:r>
        <w:rPr>
          <w:rFonts w:hint="eastAsia" w:ascii="宋体" w:hAnsi="宋体"/>
          <w:b/>
          <w:sz w:val="24"/>
          <w:highlight w:val="none"/>
        </w:rPr>
        <w:t xml:space="preserve">附录2 </w:t>
      </w:r>
      <w:bookmarkStart w:id="3" w:name="_Hlk183597570"/>
      <w:r>
        <w:rPr>
          <w:rFonts w:hint="eastAsia" w:ascii="宋体" w:hAnsi="宋体"/>
          <w:b/>
          <w:sz w:val="24"/>
          <w:highlight w:val="none"/>
        </w:rPr>
        <w:t>资格审查条件(财务最低要求)</w:t>
      </w:r>
    </w:p>
    <w:bookmarkEnd w:id="3"/>
    <w:tbl>
      <w:tblPr>
        <w:tblStyle w:val="7"/>
        <w:tblW w:w="95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6" w:hRule="atLeast"/>
          <w:jc w:val="center"/>
        </w:trPr>
        <w:tc>
          <w:tcPr>
            <w:tcW w:w="9577"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highlight w:val="none"/>
              </w:rPr>
            </w:pPr>
            <w:r>
              <w:rPr>
                <w:rFonts w:hint="eastAsia" w:ascii="宋体" w:hAnsi="宋体"/>
                <w:highlight w:val="none"/>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24" w:hRule="atLeast"/>
          <w:jc w:val="center"/>
        </w:trPr>
        <w:tc>
          <w:tcPr>
            <w:tcW w:w="95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ind w:firstLine="226" w:firstLineChars="108"/>
              <w:jc w:val="left"/>
              <w:rPr>
                <w:rFonts w:ascii="宋体" w:hAnsi="宋体"/>
                <w:highlight w:val="none"/>
              </w:rPr>
            </w:pPr>
            <w:r>
              <w:rPr>
                <w:rFonts w:hint="eastAsia" w:ascii="宋体" w:hAnsi="宋体"/>
                <w:highlight w:val="none"/>
              </w:rPr>
              <w:t>（1）承诺为本合同所提供的营运资金(以经会计事务所或审计机构审计的财务报表(2023年度)中：营运资金＝流动资产－流动负债，以年末数计算)以及为本项目而专门开具的银行信贷证明总和不得低于</w:t>
            </w:r>
            <w:r>
              <w:rPr>
                <w:rFonts w:hint="eastAsia" w:ascii="宋体" w:hAnsi="宋体"/>
                <w:highlight w:val="none"/>
                <w:u w:val="single"/>
                <w:lang w:val="en-US" w:eastAsia="zh-CN"/>
              </w:rPr>
              <w:t xml:space="preserve"> 700 </w:t>
            </w:r>
            <w:r>
              <w:rPr>
                <w:rFonts w:hint="eastAsia" w:ascii="宋体" w:hAnsi="宋体"/>
                <w:highlight w:val="none"/>
                <w:u w:val="none"/>
                <w:lang w:val="en-US" w:eastAsia="zh-CN"/>
              </w:rPr>
              <w:t>万</w:t>
            </w:r>
            <w:r>
              <w:rPr>
                <w:rFonts w:hint="eastAsia" w:ascii="宋体" w:hAnsi="宋体"/>
                <w:highlight w:val="none"/>
              </w:rPr>
              <w:t>元。</w:t>
            </w:r>
          </w:p>
          <w:p>
            <w:pPr>
              <w:spacing w:line="400" w:lineRule="exact"/>
              <w:ind w:firstLine="226" w:firstLineChars="108"/>
              <w:jc w:val="left"/>
              <w:rPr>
                <w:rFonts w:ascii="宋体" w:hAnsi="宋体"/>
                <w:highlight w:val="none"/>
              </w:rPr>
            </w:pPr>
            <w:r>
              <w:rPr>
                <w:rFonts w:hint="eastAsia" w:ascii="宋体" w:hAnsi="宋体"/>
                <w:highlight w:val="none"/>
              </w:rPr>
              <w:t>（2）以联合体形式投标的，联合体牵头人应满足第（1）项规定的资格条件。</w:t>
            </w:r>
          </w:p>
        </w:tc>
      </w:tr>
    </w:tbl>
    <w:p>
      <w:pPr>
        <w:rPr>
          <w:rFonts w:ascii="宋体" w:hAnsi="宋体"/>
          <w:b/>
          <w:sz w:val="24"/>
          <w:highlight w:val="none"/>
        </w:rPr>
      </w:pPr>
    </w:p>
    <w:p>
      <w:pPr>
        <w:widowControl/>
        <w:jc w:val="left"/>
        <w:rPr>
          <w:rFonts w:ascii="宋体" w:hAnsi="宋体"/>
          <w:b/>
          <w:sz w:val="24"/>
          <w:highlight w:val="none"/>
        </w:rPr>
      </w:pPr>
      <w:r>
        <w:rPr>
          <w:rFonts w:ascii="宋体" w:hAnsi="宋体"/>
          <w:b/>
          <w:sz w:val="24"/>
          <w:highlight w:val="none"/>
        </w:rPr>
        <w:br w:type="page"/>
      </w:r>
    </w:p>
    <w:p>
      <w:pPr>
        <w:jc w:val="center"/>
        <w:rPr>
          <w:rFonts w:ascii="宋体" w:hAnsi="宋体"/>
          <w:b/>
          <w:sz w:val="24"/>
          <w:highlight w:val="none"/>
        </w:rPr>
      </w:pPr>
    </w:p>
    <w:p>
      <w:pPr>
        <w:jc w:val="center"/>
        <w:rPr>
          <w:rFonts w:ascii="宋体" w:hAnsi="宋体"/>
          <w:b/>
          <w:sz w:val="24"/>
          <w:highlight w:val="none"/>
        </w:rPr>
      </w:pPr>
      <w:r>
        <w:rPr>
          <w:rFonts w:hint="eastAsia" w:ascii="宋体" w:hAnsi="宋体"/>
          <w:b/>
          <w:sz w:val="24"/>
          <w:highlight w:val="none"/>
        </w:rPr>
        <w:t>附录3 资格审查条件(业绩最低要求)</w:t>
      </w:r>
    </w:p>
    <w:tbl>
      <w:tblPr>
        <w:tblStyle w:val="7"/>
        <w:tblW w:w="96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Cs w:val="21"/>
                <w:highlight w:val="none"/>
              </w:rPr>
            </w:pPr>
            <w:r>
              <w:rPr>
                <w:rFonts w:hint="eastAsia" w:ascii="宋体" w:hAnsi="宋体"/>
                <w:highlight w:val="none"/>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86" w:hRule="atLeast"/>
          <w:jc w:val="center"/>
        </w:trPr>
        <w:tc>
          <w:tcPr>
            <w:tcW w:w="962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auto"/>
              <w:ind w:left="110" w:firstLine="285" w:firstLineChars="135"/>
              <w:jc w:val="left"/>
              <w:textAlignment w:val="auto"/>
              <w:rPr>
                <w:rFonts w:ascii="宋体" w:hAnsi="宋体"/>
                <w:b/>
                <w:highlight w:val="none"/>
              </w:rPr>
            </w:pPr>
            <w:r>
              <w:rPr>
                <w:rFonts w:hint="eastAsia" w:ascii="宋体" w:hAnsi="宋体"/>
                <w:b/>
                <w:highlight w:val="none"/>
              </w:rPr>
              <w:t>1.设计业绩：</w:t>
            </w:r>
          </w:p>
          <w:p>
            <w:pPr>
              <w:keepNext w:val="0"/>
              <w:keepLines w:val="0"/>
              <w:pageBreakBefore w:val="0"/>
              <w:widowControl w:val="0"/>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highlight w:val="none"/>
              </w:rPr>
            </w:pPr>
            <w:r>
              <w:rPr>
                <w:rFonts w:hint="eastAsia" w:ascii="宋体" w:hAnsi="宋体"/>
                <w:highlight w:val="none"/>
              </w:rPr>
              <w:t>近5年(20</w:t>
            </w:r>
            <w:r>
              <w:rPr>
                <w:rFonts w:hint="eastAsia" w:ascii="宋体" w:hAnsi="宋体"/>
                <w:highlight w:val="none"/>
                <w:lang w:val="en-US" w:eastAsia="zh-CN"/>
              </w:rPr>
              <w:t>20</w:t>
            </w:r>
            <w:r>
              <w:rPr>
                <w:rFonts w:hint="eastAsia" w:ascii="宋体" w:hAnsi="宋体"/>
                <w:highlight w:val="none"/>
              </w:rPr>
              <w:t>年</w:t>
            </w:r>
            <w:r>
              <w:rPr>
                <w:rFonts w:hint="eastAsia" w:ascii="宋体" w:hAnsi="宋体"/>
                <w:highlight w:val="none"/>
                <w:lang w:val="en-US" w:eastAsia="zh-CN"/>
              </w:rPr>
              <w:t>3月</w:t>
            </w:r>
            <w:r>
              <w:rPr>
                <w:rFonts w:hint="eastAsia" w:ascii="宋体" w:hAnsi="宋体"/>
                <w:highlight w:val="none"/>
              </w:rPr>
              <w:t>1日至今，以项目施工图设计批复时间为准)，至少完成过1</w:t>
            </w:r>
            <w:r>
              <w:rPr>
                <w:rFonts w:hint="eastAsia" w:ascii="宋体" w:hAnsi="宋体"/>
                <w:highlight w:val="none"/>
                <w:lang w:val="en-US" w:eastAsia="zh-CN"/>
              </w:rPr>
              <w:t>项公路机电</w:t>
            </w:r>
            <w:r>
              <w:rPr>
                <w:rFonts w:hint="eastAsia" w:ascii="宋体" w:hAnsi="宋体"/>
                <w:highlight w:val="none"/>
              </w:rPr>
              <w:t>工程施工图设计项目。</w:t>
            </w:r>
          </w:p>
          <w:p>
            <w:pPr>
              <w:keepNext w:val="0"/>
              <w:keepLines w:val="0"/>
              <w:pageBreakBefore w:val="0"/>
              <w:widowControl w:val="0"/>
              <w:kinsoku/>
              <w:wordWrap/>
              <w:overflowPunct/>
              <w:topLinePunct w:val="0"/>
              <w:autoSpaceDE/>
              <w:autoSpaceDN/>
              <w:bidi w:val="0"/>
              <w:adjustRightInd/>
              <w:snapToGrid w:val="0"/>
              <w:spacing w:line="300" w:lineRule="auto"/>
              <w:ind w:left="110" w:firstLine="285" w:firstLineChars="135"/>
              <w:jc w:val="left"/>
              <w:textAlignment w:val="auto"/>
              <w:rPr>
                <w:rFonts w:ascii="宋体" w:hAnsi="宋体"/>
                <w:b/>
                <w:highlight w:val="none"/>
              </w:rPr>
            </w:pPr>
            <w:r>
              <w:rPr>
                <w:rFonts w:hint="eastAsia" w:ascii="宋体" w:hAnsi="宋体"/>
                <w:b/>
                <w:highlight w:val="none"/>
              </w:rPr>
              <w:t>2.施工业绩：</w:t>
            </w:r>
          </w:p>
          <w:p>
            <w:pPr>
              <w:keepNext w:val="0"/>
              <w:keepLines w:val="0"/>
              <w:pageBreakBefore w:val="0"/>
              <w:widowControl w:val="0"/>
              <w:kinsoku/>
              <w:wordWrap/>
              <w:overflowPunct/>
              <w:topLinePunct w:val="0"/>
              <w:autoSpaceDE/>
              <w:autoSpaceDN/>
              <w:bidi w:val="0"/>
              <w:adjustRightInd/>
              <w:snapToGrid w:val="0"/>
              <w:spacing w:line="300" w:lineRule="auto"/>
              <w:ind w:left="110" w:firstLine="283" w:firstLineChars="135"/>
              <w:jc w:val="left"/>
              <w:textAlignment w:val="auto"/>
              <w:rPr>
                <w:rFonts w:hint="eastAsia" w:ascii="宋体" w:hAnsi="宋体"/>
                <w:highlight w:val="none"/>
              </w:rPr>
            </w:pPr>
            <w:r>
              <w:rPr>
                <w:rFonts w:hint="eastAsia" w:ascii="宋体" w:hAnsi="宋体"/>
                <w:highlight w:val="none"/>
              </w:rPr>
              <w:t>（1）近5年（20</w:t>
            </w:r>
            <w:r>
              <w:rPr>
                <w:rFonts w:hint="eastAsia" w:ascii="宋体" w:hAnsi="宋体"/>
                <w:highlight w:val="none"/>
                <w:lang w:val="en-US" w:eastAsia="zh-CN"/>
              </w:rPr>
              <w:t>20</w:t>
            </w:r>
            <w:r>
              <w:rPr>
                <w:rFonts w:hint="eastAsia" w:ascii="宋体" w:hAnsi="宋体"/>
                <w:highlight w:val="none"/>
              </w:rPr>
              <w:t>年</w:t>
            </w:r>
            <w:r>
              <w:rPr>
                <w:rFonts w:hint="eastAsia" w:ascii="宋体" w:hAnsi="宋体"/>
                <w:highlight w:val="none"/>
                <w:lang w:val="en-US" w:eastAsia="zh-CN"/>
              </w:rPr>
              <w:t>3月</w:t>
            </w:r>
            <w:r>
              <w:rPr>
                <w:rFonts w:hint="eastAsia" w:ascii="宋体" w:hAnsi="宋体"/>
                <w:highlight w:val="none"/>
              </w:rPr>
              <w:t>1日至今，以工程交工日期为准），至少完成过1项</w:t>
            </w:r>
            <w:r>
              <w:rPr>
                <w:rFonts w:hint="eastAsia" w:ascii="宋体" w:hAnsi="宋体"/>
                <w:highlight w:val="none"/>
                <w:lang w:val="en-US" w:eastAsia="zh-CN"/>
              </w:rPr>
              <w:t>公路</w:t>
            </w:r>
            <w:r>
              <w:rPr>
                <w:rFonts w:hint="eastAsia" w:ascii="宋体" w:hAnsi="宋体"/>
                <w:highlight w:val="none"/>
              </w:rPr>
              <w:t>机电工程施工</w:t>
            </w:r>
            <w:r>
              <w:rPr>
                <w:rFonts w:ascii="宋体" w:hAnsi="宋体"/>
                <w:highlight w:val="none"/>
              </w:rPr>
              <w:t>业绩</w:t>
            </w:r>
            <w:r>
              <w:rPr>
                <w:rFonts w:hint="eastAsia" w:ascii="宋体" w:hAnsi="宋体"/>
                <w:highlight w:val="none"/>
              </w:rPr>
              <w:t>。</w:t>
            </w:r>
          </w:p>
          <w:p>
            <w:pPr>
              <w:pStyle w:val="4"/>
              <w:keepNext w:val="0"/>
              <w:keepLines w:val="0"/>
              <w:pageBreakBefore w:val="0"/>
              <w:widowControl w:val="0"/>
              <w:kinsoku/>
              <w:wordWrap/>
              <w:overflowPunct/>
              <w:topLinePunct w:val="0"/>
              <w:autoSpaceDE/>
              <w:autoSpaceDN/>
              <w:bidi w:val="0"/>
              <w:adjustRightInd/>
              <w:snapToGrid w:val="0"/>
              <w:spacing w:after="0" w:line="300" w:lineRule="auto"/>
              <w:ind w:firstLine="630" w:firstLineChars="300"/>
              <w:textAlignment w:val="auto"/>
              <w:rPr>
                <w:rFonts w:hint="eastAsia" w:ascii="宋体" w:hAnsi="宋体"/>
                <w:highlight w:val="none"/>
              </w:rPr>
            </w:pPr>
            <w:r>
              <w:rPr>
                <w:rFonts w:hint="eastAsia" w:ascii="宋体" w:hAnsi="宋体"/>
                <w:highlight w:val="none"/>
              </w:rPr>
              <w:t>注：</w:t>
            </w:r>
          </w:p>
          <w:p>
            <w:pPr>
              <w:pStyle w:val="4"/>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textAlignment w:val="auto"/>
              <w:rPr>
                <w:rFonts w:hint="eastAsia" w:ascii="宋体" w:hAnsi="宋体"/>
                <w:highlight w:val="none"/>
              </w:rPr>
            </w:pPr>
            <w:r>
              <w:rPr>
                <w:rFonts w:hint="eastAsia" w:ascii="宋体" w:hAnsi="宋体"/>
                <w:highlight w:val="none"/>
              </w:rPr>
              <w:t>(1）设计业绩包括单独设计业绩或设计施工总承包中相应设计业绩；</w:t>
            </w:r>
          </w:p>
          <w:p>
            <w:pPr>
              <w:pStyle w:val="4"/>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textAlignment w:val="auto"/>
              <w:rPr>
                <w:rFonts w:hint="eastAsia" w:ascii="宋体" w:hAnsi="宋体"/>
                <w:highlight w:val="none"/>
              </w:rPr>
            </w:pPr>
            <w:r>
              <w:rPr>
                <w:rFonts w:hint="eastAsia" w:ascii="宋体" w:hAnsi="宋体"/>
                <w:highlight w:val="none"/>
              </w:rPr>
              <w:t>(2）施工业绩包括单独施工业绩或设计施工总承包中相应施工业绩；</w:t>
            </w:r>
          </w:p>
          <w:p>
            <w:pPr>
              <w:pStyle w:val="4"/>
              <w:keepNext w:val="0"/>
              <w:keepLines w:val="0"/>
              <w:pageBreakBefore w:val="0"/>
              <w:widowControl w:val="0"/>
              <w:kinsoku/>
              <w:wordWrap/>
              <w:overflowPunct/>
              <w:topLinePunct w:val="0"/>
              <w:autoSpaceDE/>
              <w:autoSpaceDN/>
              <w:bidi w:val="0"/>
              <w:adjustRightInd/>
              <w:snapToGrid w:val="0"/>
              <w:spacing w:after="0" w:line="300" w:lineRule="auto"/>
              <w:ind w:firstLine="420" w:firstLineChars="200"/>
              <w:textAlignment w:val="auto"/>
              <w:rPr>
                <w:rFonts w:ascii="宋体" w:hAnsi="宋体"/>
                <w:highlight w:val="none"/>
              </w:rPr>
            </w:pPr>
            <w:r>
              <w:rPr>
                <w:rFonts w:hint="eastAsia" w:ascii="宋体" w:hAnsi="宋体"/>
                <w:highlight w:val="none"/>
              </w:rPr>
              <w:t>(3）以联合体形式投标的，联合体应满足本项规定的资格条件。</w:t>
            </w:r>
          </w:p>
        </w:tc>
      </w:tr>
    </w:tbl>
    <w:p>
      <w:pPr>
        <w:jc w:val="center"/>
        <w:rPr>
          <w:rFonts w:ascii="宋体" w:hAnsi="宋体"/>
          <w:b/>
          <w:sz w:val="24"/>
          <w:highlight w:val="none"/>
        </w:rPr>
      </w:pPr>
    </w:p>
    <w:p>
      <w:pPr>
        <w:pStyle w:val="4"/>
        <w:rPr>
          <w:rFonts w:ascii="宋体" w:hAnsi="宋体"/>
          <w:szCs w:val="21"/>
          <w:highlight w:val="none"/>
        </w:rPr>
      </w:pPr>
    </w:p>
    <w:p>
      <w:pPr>
        <w:pStyle w:val="6"/>
        <w:rPr>
          <w:highlight w:val="none"/>
        </w:rPr>
      </w:pPr>
    </w:p>
    <w:p>
      <w:pPr>
        <w:jc w:val="center"/>
        <w:rPr>
          <w:rFonts w:ascii="宋体" w:hAnsi="宋体"/>
          <w:b/>
          <w:sz w:val="24"/>
          <w:highlight w:val="none"/>
        </w:rPr>
      </w:pPr>
      <w:r>
        <w:rPr>
          <w:rFonts w:hint="eastAsia" w:ascii="宋体" w:hAnsi="宋体"/>
          <w:b/>
          <w:sz w:val="24"/>
          <w:highlight w:val="none"/>
        </w:rPr>
        <w:t>附录4 资格审查条件(信誉最低要求)</w:t>
      </w:r>
    </w:p>
    <w:tbl>
      <w:tblPr>
        <w:tblStyle w:val="7"/>
        <w:tblW w:w="96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szCs w:val="21"/>
                <w:highlight w:val="none"/>
              </w:rPr>
            </w:pPr>
            <w:r>
              <w:rPr>
                <w:rFonts w:hint="eastAsia" w:ascii="宋体" w:hAnsi="宋体"/>
                <w:highlight w:val="none"/>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6" w:hRule="atLeast"/>
          <w:jc w:val="center"/>
        </w:trPr>
        <w:tc>
          <w:tcPr>
            <w:tcW w:w="9629" w:type="dxa"/>
            <w:tcBorders>
              <w:top w:val="single" w:color="auto" w:sz="2" w:space="0"/>
              <w:left w:val="single" w:color="auto" w:sz="2" w:space="0"/>
              <w:bottom w:val="single" w:color="auto" w:sz="2" w:space="0"/>
              <w:right w:val="single" w:color="auto" w:sz="2" w:space="0"/>
            </w:tcBorders>
            <w:noWrap w:val="0"/>
            <w:vAlign w:val="center"/>
          </w:tcPr>
          <w:p>
            <w:pPr>
              <w:snapToGrid w:val="0"/>
              <w:spacing w:line="288" w:lineRule="auto"/>
              <w:ind w:left="110" w:firstLine="283" w:firstLineChars="135"/>
              <w:jc w:val="left"/>
              <w:rPr>
                <w:rFonts w:hint="eastAsia" w:ascii="宋体" w:hAnsi="宋体"/>
                <w:highlight w:val="none"/>
              </w:rPr>
            </w:pPr>
            <w:r>
              <w:rPr>
                <w:rFonts w:hint="eastAsia" w:ascii="宋体" w:hAnsi="宋体"/>
                <w:highlight w:val="none"/>
              </w:rPr>
              <w:t>（1）投标人在近1年（202</w:t>
            </w:r>
            <w:r>
              <w:rPr>
                <w:rFonts w:hint="eastAsia" w:ascii="宋体" w:hAnsi="宋体"/>
                <w:highlight w:val="none"/>
                <w:lang w:val="en-US" w:eastAsia="zh-CN"/>
              </w:rPr>
              <w:t>4</w:t>
            </w:r>
            <w:r>
              <w:rPr>
                <w:rFonts w:hint="eastAsia" w:ascii="宋体" w:hAnsi="宋体"/>
                <w:highlight w:val="none"/>
              </w:rPr>
              <w:t>年</w:t>
            </w:r>
            <w:r>
              <w:rPr>
                <w:rFonts w:hint="eastAsia" w:ascii="宋体" w:hAnsi="宋体"/>
                <w:highlight w:val="none"/>
                <w:lang w:val="en-US" w:eastAsia="zh-CN"/>
              </w:rPr>
              <w:t>3月</w:t>
            </w:r>
            <w:r>
              <w:rPr>
                <w:rFonts w:hint="eastAsia" w:ascii="宋体" w:hAnsi="宋体"/>
                <w:highlight w:val="none"/>
              </w:rPr>
              <w:t>1日至今）中不曾在</w:t>
            </w:r>
            <w:r>
              <w:rPr>
                <w:rFonts w:hint="eastAsia" w:ascii="宋体" w:hAnsi="宋体"/>
                <w:highlight w:val="none"/>
                <w:lang w:val="en-US" w:eastAsia="zh-CN"/>
              </w:rPr>
              <w:t>公路机电</w:t>
            </w:r>
            <w:r>
              <w:rPr>
                <w:rFonts w:hint="eastAsia" w:ascii="宋体" w:hAnsi="宋体"/>
                <w:highlight w:val="none"/>
              </w:rPr>
              <w:t>工程设计、施工项目中违约而被驱逐或因投标人自身的原因而使</w:t>
            </w:r>
            <w:r>
              <w:rPr>
                <w:rFonts w:hint="eastAsia" w:ascii="宋体" w:hAnsi="宋体"/>
                <w:highlight w:val="none"/>
                <w:lang w:val="en-US" w:eastAsia="zh-CN"/>
              </w:rPr>
              <w:t>公路机电</w:t>
            </w:r>
            <w:r>
              <w:rPr>
                <w:rFonts w:hint="eastAsia" w:ascii="宋体" w:hAnsi="宋体"/>
                <w:highlight w:val="none"/>
              </w:rPr>
              <w:t>工程设计、施工项目合同被解除。</w:t>
            </w:r>
          </w:p>
          <w:p>
            <w:pPr>
              <w:snapToGrid w:val="0"/>
              <w:spacing w:line="288" w:lineRule="auto"/>
              <w:ind w:left="110" w:firstLine="283" w:firstLineChars="135"/>
              <w:jc w:val="left"/>
              <w:rPr>
                <w:rFonts w:ascii="宋体" w:hAnsi="宋体"/>
                <w:highlight w:val="none"/>
              </w:rPr>
            </w:pPr>
            <w:r>
              <w:rPr>
                <w:rFonts w:hint="eastAsia" w:ascii="宋体" w:hAnsi="宋体"/>
                <w:highlight w:val="none"/>
              </w:rPr>
              <w:t>（2）以联合体形式投标的，联合体各成员均满足第（1）项的资格条件。</w:t>
            </w:r>
          </w:p>
        </w:tc>
      </w:tr>
    </w:tbl>
    <w:p>
      <w:pPr>
        <w:rPr>
          <w:rFonts w:ascii="宋体" w:hAnsi="宋体"/>
          <w:szCs w:val="21"/>
          <w:highlight w:val="none"/>
        </w:rPr>
      </w:pPr>
    </w:p>
    <w:p>
      <w:pPr>
        <w:jc w:val="center"/>
        <w:rPr>
          <w:rFonts w:ascii="宋体" w:hAnsi="宋体"/>
          <w:b/>
          <w:sz w:val="24"/>
          <w:highlight w:val="none"/>
        </w:rPr>
      </w:pPr>
      <w:r>
        <w:rPr>
          <w:rFonts w:ascii="宋体" w:hAnsi="宋体"/>
          <w:b/>
          <w:sz w:val="24"/>
          <w:highlight w:val="none"/>
        </w:rPr>
        <w:br w:type="page"/>
      </w:r>
    </w:p>
    <w:p>
      <w:pPr>
        <w:widowControl/>
        <w:jc w:val="center"/>
        <w:rPr>
          <w:rFonts w:ascii="宋体" w:hAnsi="宋体"/>
          <w:b/>
          <w:sz w:val="24"/>
          <w:highlight w:val="none"/>
        </w:rPr>
      </w:pPr>
    </w:p>
    <w:p>
      <w:pPr>
        <w:widowControl/>
        <w:jc w:val="center"/>
        <w:rPr>
          <w:rFonts w:hint="eastAsia" w:ascii="宋体" w:hAnsi="宋体"/>
          <w:b/>
          <w:sz w:val="24"/>
          <w:highlight w:val="none"/>
        </w:rPr>
      </w:pPr>
      <w:r>
        <w:rPr>
          <w:rFonts w:hint="eastAsia" w:ascii="宋体" w:hAnsi="宋体"/>
          <w:b/>
          <w:sz w:val="24"/>
          <w:highlight w:val="none"/>
        </w:rPr>
        <w:t>附录5 资格审查条件(主要人员最低要求)</w:t>
      </w:r>
    </w:p>
    <w:tbl>
      <w:tblPr>
        <w:tblStyle w:val="7"/>
        <w:tblW w:w="9716"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865"/>
        <w:gridCol w:w="829"/>
        <w:gridCol w:w="5352"/>
        <w:gridCol w:w="167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865" w:type="dxa"/>
            <w:tcBorders>
              <w:top w:val="single" w:color="auto" w:sz="2" w:space="0"/>
              <w:left w:val="single" w:color="auto" w:sz="2" w:space="0"/>
              <w:bottom w:val="single" w:color="auto" w:sz="6" w:space="0"/>
              <w:right w:val="single" w:color="auto" w:sz="6" w:space="0"/>
            </w:tcBorders>
            <w:noWrap w:val="0"/>
            <w:vAlign w:val="center"/>
          </w:tcPr>
          <w:p>
            <w:pPr>
              <w:adjustRightInd w:val="0"/>
              <w:snapToGrid w:val="0"/>
              <w:jc w:val="center"/>
              <w:rPr>
                <w:rFonts w:ascii="宋体" w:hAnsi="宋体"/>
                <w:b/>
                <w:szCs w:val="21"/>
                <w:highlight w:val="none"/>
              </w:rPr>
            </w:pPr>
            <w:r>
              <w:rPr>
                <w:rFonts w:hint="eastAsia" w:ascii="宋体" w:hAnsi="宋体"/>
                <w:b/>
                <w:highlight w:val="none"/>
              </w:rPr>
              <w:t>岗位</w:t>
            </w:r>
          </w:p>
        </w:tc>
        <w:tc>
          <w:tcPr>
            <w:tcW w:w="829" w:type="dxa"/>
            <w:tcBorders>
              <w:top w:val="single" w:color="auto" w:sz="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b/>
                <w:highlight w:val="none"/>
              </w:rPr>
            </w:pPr>
            <w:r>
              <w:rPr>
                <w:rFonts w:hint="eastAsia" w:ascii="宋体" w:hAnsi="宋体"/>
                <w:b/>
                <w:highlight w:val="none"/>
              </w:rPr>
              <w:t>数量</w:t>
            </w:r>
          </w:p>
        </w:tc>
        <w:tc>
          <w:tcPr>
            <w:tcW w:w="5352" w:type="dxa"/>
            <w:tcBorders>
              <w:top w:val="single" w:color="auto" w:sz="2" w:space="0"/>
              <w:left w:val="single" w:color="auto" w:sz="6" w:space="0"/>
              <w:bottom w:val="single" w:color="auto" w:sz="4" w:space="0"/>
              <w:right w:val="single" w:color="auto" w:sz="6" w:space="0"/>
            </w:tcBorders>
            <w:noWrap w:val="0"/>
            <w:vAlign w:val="center"/>
          </w:tcPr>
          <w:p>
            <w:pPr>
              <w:adjustRightInd w:val="0"/>
              <w:snapToGrid w:val="0"/>
              <w:jc w:val="center"/>
              <w:rPr>
                <w:rFonts w:ascii="宋体" w:hAnsi="宋体"/>
                <w:b/>
                <w:highlight w:val="none"/>
              </w:rPr>
            </w:pPr>
            <w:r>
              <w:rPr>
                <w:rFonts w:hint="eastAsia" w:ascii="宋体" w:hAnsi="宋体"/>
                <w:b/>
                <w:highlight w:val="none"/>
              </w:rPr>
              <w:t>资格标准</w:t>
            </w:r>
          </w:p>
        </w:tc>
        <w:tc>
          <w:tcPr>
            <w:tcW w:w="1670" w:type="dxa"/>
            <w:tcBorders>
              <w:top w:val="single" w:color="auto" w:sz="2" w:space="0"/>
              <w:left w:val="single" w:color="auto" w:sz="6" w:space="0"/>
              <w:bottom w:val="single" w:color="auto" w:sz="4" w:space="0"/>
              <w:right w:val="single" w:color="auto" w:sz="2" w:space="0"/>
            </w:tcBorders>
            <w:noWrap w:val="0"/>
            <w:vAlign w:val="center"/>
          </w:tcPr>
          <w:p>
            <w:pPr>
              <w:adjustRightInd w:val="0"/>
              <w:snapToGrid w:val="0"/>
              <w:jc w:val="center"/>
              <w:rPr>
                <w:rFonts w:ascii="宋体" w:hAnsi="宋体"/>
                <w:b/>
                <w:highlight w:val="none"/>
              </w:rPr>
            </w:pPr>
            <w:r>
              <w:rPr>
                <w:rFonts w:hint="eastAsia" w:ascii="宋体" w:hAnsi="宋体"/>
                <w:b/>
                <w:highlight w:val="none"/>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131" w:hRule="atLeast"/>
          <w:jc w:val="center"/>
        </w:trPr>
        <w:tc>
          <w:tcPr>
            <w:tcW w:w="1865" w:type="dxa"/>
            <w:tcBorders>
              <w:top w:val="single" w:color="auto" w:sz="6" w:space="0"/>
              <w:left w:val="single" w:color="auto" w:sz="2" w:space="0"/>
              <w:bottom w:val="single" w:color="auto" w:sz="4" w:space="0"/>
              <w:right w:val="single" w:color="auto" w:sz="6" w:space="0"/>
            </w:tcBorders>
            <w:noWrap w:val="0"/>
            <w:vAlign w:val="center"/>
          </w:tcPr>
          <w:p>
            <w:pPr>
              <w:adjustRightInd w:val="0"/>
              <w:snapToGrid w:val="0"/>
              <w:spacing w:line="400" w:lineRule="exact"/>
              <w:jc w:val="center"/>
              <w:rPr>
                <w:rFonts w:ascii="宋体" w:hAnsi="宋体"/>
                <w:highlight w:val="none"/>
              </w:rPr>
            </w:pPr>
            <w:r>
              <w:rPr>
                <w:rFonts w:hint="eastAsia" w:ascii="宋体" w:hAnsi="宋体"/>
                <w:highlight w:val="none"/>
              </w:rPr>
              <w:t>项目经理</w:t>
            </w:r>
          </w:p>
          <w:p>
            <w:pPr>
              <w:adjustRightInd w:val="0"/>
              <w:snapToGrid w:val="0"/>
              <w:spacing w:line="400" w:lineRule="exact"/>
              <w:jc w:val="center"/>
              <w:rPr>
                <w:rFonts w:hint="eastAsia" w:ascii="宋体" w:hAnsi="宋体"/>
                <w:highlight w:val="none"/>
              </w:rPr>
            </w:pPr>
            <w:r>
              <w:rPr>
                <w:rFonts w:hint="eastAsia" w:ascii="宋体" w:hAnsi="宋体"/>
                <w:highlight w:val="none"/>
              </w:rPr>
              <w:t>（兼施工负责人）</w:t>
            </w:r>
          </w:p>
        </w:tc>
        <w:tc>
          <w:tcPr>
            <w:tcW w:w="829"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400" w:lineRule="exact"/>
              <w:jc w:val="center"/>
              <w:rPr>
                <w:rFonts w:ascii="宋体" w:hAnsi="宋体"/>
                <w:highlight w:val="none"/>
              </w:rPr>
            </w:pPr>
            <w:r>
              <w:rPr>
                <w:rFonts w:hint="eastAsia" w:ascii="宋体" w:hAnsi="宋体"/>
                <w:highlight w:val="none"/>
              </w:rPr>
              <w:t>1</w:t>
            </w:r>
          </w:p>
        </w:tc>
        <w:tc>
          <w:tcPr>
            <w:tcW w:w="535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271" w:lineRule="auto"/>
              <w:rPr>
                <w:rFonts w:hint="eastAsia" w:ascii="宋体" w:hAnsi="宋体" w:eastAsia="宋体"/>
                <w:highlight w:val="none"/>
                <w:lang w:val="en-US" w:eastAsia="zh-CN"/>
              </w:rPr>
            </w:pPr>
            <w:r>
              <w:rPr>
                <w:rFonts w:hint="eastAsia" w:ascii="宋体" w:hAnsi="宋体"/>
                <w:highlight w:val="none"/>
                <w:lang w:val="en-US" w:eastAsia="zh-CN"/>
              </w:rPr>
              <w:t>工程师</w:t>
            </w:r>
          </w:p>
          <w:p>
            <w:pPr>
              <w:adjustRightInd w:val="0"/>
              <w:snapToGrid w:val="0"/>
              <w:spacing w:line="271" w:lineRule="auto"/>
              <w:rPr>
                <w:rFonts w:ascii="宋体" w:hAnsi="宋体"/>
                <w:highlight w:val="none"/>
              </w:rPr>
            </w:pPr>
            <w:r>
              <w:rPr>
                <w:rFonts w:hint="eastAsia" w:ascii="宋体" w:hAnsi="宋体"/>
                <w:highlight w:val="none"/>
              </w:rPr>
              <w:t>具有“公路工程”或“机电工程”专业的“一级建造师注册证书”，建造师注册证书的注册单位须与投标人单位名称一致；</w:t>
            </w:r>
          </w:p>
          <w:p>
            <w:pPr>
              <w:adjustRightInd w:val="0"/>
              <w:snapToGrid w:val="0"/>
              <w:spacing w:line="271" w:lineRule="auto"/>
              <w:rPr>
                <w:rFonts w:ascii="宋体" w:hAnsi="宋体"/>
                <w:highlight w:val="none"/>
              </w:rPr>
            </w:pPr>
            <w:r>
              <w:rPr>
                <w:rFonts w:hint="eastAsia" w:ascii="宋体" w:hAnsi="宋体"/>
                <w:highlight w:val="none"/>
              </w:rPr>
              <w:t>具有交通运输行政主管部门颁发的有效的《安全生产考核合格证书》（B类），安全生产考核合格证书的登记单位须与投标人单位名称一致。</w:t>
            </w:r>
          </w:p>
          <w:p>
            <w:pPr>
              <w:pStyle w:val="4"/>
              <w:rPr>
                <w:rFonts w:hint="eastAsia"/>
                <w:highlight w:val="none"/>
              </w:rPr>
            </w:pPr>
            <w:r>
              <w:rPr>
                <w:rFonts w:hint="eastAsia" w:ascii="宋体" w:hAnsi="宋体"/>
                <w:highlight w:val="none"/>
              </w:rPr>
              <w:t>近5年（20</w:t>
            </w:r>
            <w:r>
              <w:rPr>
                <w:rFonts w:hint="eastAsia" w:ascii="宋体" w:hAnsi="宋体"/>
                <w:highlight w:val="none"/>
                <w:lang w:val="en-US" w:eastAsia="zh-CN"/>
              </w:rPr>
              <w:t>20</w:t>
            </w:r>
            <w:r>
              <w:rPr>
                <w:rFonts w:hint="eastAsia" w:ascii="宋体" w:hAnsi="宋体"/>
                <w:highlight w:val="none"/>
              </w:rPr>
              <w:t>年</w:t>
            </w:r>
            <w:r>
              <w:rPr>
                <w:rFonts w:hint="eastAsia" w:ascii="宋体" w:hAnsi="宋体"/>
                <w:highlight w:val="none"/>
                <w:lang w:val="en-US" w:eastAsia="zh-CN"/>
              </w:rPr>
              <w:t>3月</w:t>
            </w:r>
            <w:r>
              <w:rPr>
                <w:rFonts w:hint="eastAsia" w:ascii="宋体" w:hAnsi="宋体"/>
                <w:highlight w:val="none"/>
              </w:rPr>
              <w:t>1日至今，以工程交工日期为准）</w:t>
            </w:r>
            <w:r>
              <w:rPr>
                <w:rFonts w:hint="eastAsia" w:ascii="宋体" w:hAnsi="宋体"/>
                <w:highlight w:val="none"/>
                <w:lang w:eastAsia="zh-CN"/>
              </w:rPr>
              <w:t>，</w:t>
            </w:r>
            <w:r>
              <w:rPr>
                <w:rFonts w:hint="eastAsia" w:ascii="宋体" w:hAnsi="宋体"/>
                <w:highlight w:val="none"/>
              </w:rPr>
              <w:t>至少担任过1</w:t>
            </w:r>
            <w:r>
              <w:rPr>
                <w:rFonts w:hint="eastAsia" w:ascii="宋体" w:hAnsi="宋体"/>
                <w:highlight w:val="none"/>
                <w:lang w:eastAsia="zh-CN"/>
              </w:rPr>
              <w:t>项</w:t>
            </w:r>
            <w:r>
              <w:rPr>
                <w:rFonts w:hint="eastAsia" w:ascii="宋体" w:hAnsi="宋体"/>
                <w:highlight w:val="none"/>
                <w:lang w:val="en-US" w:eastAsia="zh-CN"/>
              </w:rPr>
              <w:t>公路机电</w:t>
            </w:r>
            <w:r>
              <w:rPr>
                <w:rFonts w:hint="eastAsia" w:ascii="宋体" w:hAnsi="宋体"/>
                <w:highlight w:val="none"/>
              </w:rPr>
              <w:t>工程施工</w:t>
            </w:r>
            <w:r>
              <w:rPr>
                <w:rFonts w:hint="eastAsia" w:ascii="宋体" w:hAnsi="宋体"/>
                <w:highlight w:val="none"/>
                <w:lang w:eastAsia="zh-CN"/>
              </w:rPr>
              <w:t>的</w:t>
            </w:r>
            <w:r>
              <w:rPr>
                <w:rFonts w:hint="eastAsia" w:ascii="宋体" w:hAnsi="宋体"/>
                <w:highlight w:val="none"/>
              </w:rPr>
              <w:t>项目经理或项目副经理或项目总工。</w:t>
            </w:r>
          </w:p>
        </w:tc>
        <w:tc>
          <w:tcPr>
            <w:tcW w:w="1670" w:type="dxa"/>
            <w:vMerge w:val="restart"/>
            <w:tcBorders>
              <w:top w:val="single" w:color="auto" w:sz="6" w:space="0"/>
              <w:left w:val="single" w:color="auto" w:sz="6" w:space="0"/>
              <w:bottom w:val="single" w:color="auto" w:sz="6" w:space="0"/>
              <w:right w:val="single" w:color="auto" w:sz="2" w:space="0"/>
            </w:tcBorders>
            <w:noWrap w:val="0"/>
            <w:vAlign w:val="center"/>
          </w:tcPr>
          <w:p>
            <w:pPr>
              <w:adjustRightInd w:val="0"/>
              <w:snapToGrid w:val="0"/>
              <w:spacing w:line="400" w:lineRule="exact"/>
              <w:ind w:leftChars="-28" w:right="-44" w:rightChars="-21" w:hanging="58" w:hangingChars="28"/>
              <w:jc w:val="center"/>
              <w:rPr>
                <w:rFonts w:ascii="宋体" w:hAnsi="宋体"/>
                <w:highlight w:val="none"/>
              </w:rPr>
            </w:pPr>
            <w:r>
              <w:rPr>
                <w:rFonts w:hint="eastAsia" w:ascii="宋体" w:hAnsi="宋体"/>
                <w:kern w:val="0"/>
                <w:highlight w:val="none"/>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625" w:hRule="atLeast"/>
          <w:jc w:val="center"/>
        </w:trPr>
        <w:tc>
          <w:tcPr>
            <w:tcW w:w="1865" w:type="dxa"/>
            <w:tcBorders>
              <w:top w:val="single" w:color="auto" w:sz="6" w:space="0"/>
              <w:left w:val="single" w:color="auto" w:sz="2" w:space="0"/>
              <w:bottom w:val="single" w:color="auto" w:sz="4" w:space="0"/>
              <w:right w:val="single" w:color="auto" w:sz="6" w:space="0"/>
            </w:tcBorders>
            <w:noWrap w:val="0"/>
            <w:vAlign w:val="center"/>
          </w:tcPr>
          <w:p>
            <w:pPr>
              <w:spacing w:line="400" w:lineRule="exact"/>
              <w:jc w:val="center"/>
              <w:rPr>
                <w:rFonts w:ascii="宋体" w:hAnsi="宋体"/>
                <w:highlight w:val="none"/>
              </w:rPr>
            </w:pPr>
            <w:r>
              <w:rPr>
                <w:rFonts w:hint="eastAsia" w:ascii="宋体" w:hAnsi="宋体"/>
                <w:highlight w:val="none"/>
              </w:rPr>
              <w:t>项目总工</w:t>
            </w:r>
          </w:p>
        </w:tc>
        <w:tc>
          <w:tcPr>
            <w:tcW w:w="829" w:type="dxa"/>
            <w:tcBorders>
              <w:top w:val="single" w:color="auto" w:sz="6" w:space="0"/>
              <w:left w:val="single" w:color="auto" w:sz="6" w:space="0"/>
              <w:bottom w:val="single" w:color="auto" w:sz="4" w:space="0"/>
              <w:right w:val="single" w:color="auto" w:sz="6" w:space="0"/>
            </w:tcBorders>
            <w:noWrap w:val="0"/>
            <w:vAlign w:val="center"/>
          </w:tcPr>
          <w:p>
            <w:pPr>
              <w:spacing w:line="400" w:lineRule="exact"/>
              <w:jc w:val="center"/>
              <w:rPr>
                <w:rFonts w:ascii="宋体" w:hAnsi="宋体"/>
                <w:highlight w:val="none"/>
              </w:rPr>
            </w:pPr>
            <w:r>
              <w:rPr>
                <w:rFonts w:hint="eastAsia" w:ascii="宋体" w:hAnsi="宋体"/>
                <w:highlight w:val="none"/>
              </w:rPr>
              <w:t>1</w:t>
            </w:r>
          </w:p>
        </w:tc>
        <w:tc>
          <w:tcPr>
            <w:tcW w:w="535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271" w:lineRule="auto"/>
              <w:rPr>
                <w:rFonts w:hint="eastAsia" w:ascii="宋体" w:hAnsi="宋体"/>
                <w:highlight w:val="none"/>
              </w:rPr>
            </w:pPr>
            <w:r>
              <w:rPr>
                <w:rFonts w:hint="eastAsia" w:ascii="宋体" w:hAnsi="宋体"/>
                <w:highlight w:val="none"/>
              </w:rPr>
              <w:t>高级工程师</w:t>
            </w:r>
          </w:p>
          <w:p>
            <w:pPr>
              <w:pStyle w:val="4"/>
              <w:rPr>
                <w:rFonts w:hint="eastAsia"/>
                <w:highlight w:val="none"/>
              </w:rPr>
            </w:pPr>
            <w:r>
              <w:rPr>
                <w:rFonts w:hint="eastAsia" w:ascii="宋体" w:hAnsi="宋体"/>
                <w:highlight w:val="none"/>
              </w:rPr>
              <w:t>近5年（20</w:t>
            </w:r>
            <w:r>
              <w:rPr>
                <w:rFonts w:hint="eastAsia" w:ascii="宋体" w:hAnsi="宋体"/>
                <w:highlight w:val="none"/>
                <w:lang w:val="en-US" w:eastAsia="zh-CN"/>
              </w:rPr>
              <w:t>20</w:t>
            </w:r>
            <w:r>
              <w:rPr>
                <w:rFonts w:hint="eastAsia" w:ascii="宋体" w:hAnsi="宋体"/>
                <w:highlight w:val="none"/>
              </w:rPr>
              <w:t>年</w:t>
            </w:r>
            <w:r>
              <w:rPr>
                <w:rFonts w:hint="eastAsia" w:ascii="宋体" w:hAnsi="宋体"/>
                <w:highlight w:val="none"/>
                <w:lang w:val="en-US" w:eastAsia="zh-CN"/>
              </w:rPr>
              <w:t>3月</w:t>
            </w:r>
            <w:r>
              <w:rPr>
                <w:rFonts w:hint="eastAsia" w:ascii="宋体" w:hAnsi="宋体"/>
                <w:highlight w:val="none"/>
              </w:rPr>
              <w:t>1日至今，以工程交工日期为准）</w:t>
            </w:r>
            <w:r>
              <w:rPr>
                <w:rFonts w:hint="eastAsia" w:ascii="宋体" w:hAnsi="宋体"/>
                <w:highlight w:val="none"/>
                <w:lang w:eastAsia="zh-CN"/>
              </w:rPr>
              <w:t>，</w:t>
            </w:r>
            <w:r>
              <w:rPr>
                <w:rFonts w:hint="eastAsia" w:ascii="宋体" w:hAnsi="宋体"/>
                <w:highlight w:val="none"/>
              </w:rPr>
              <w:t>至少担任过1</w:t>
            </w:r>
            <w:r>
              <w:rPr>
                <w:rFonts w:hint="eastAsia" w:ascii="宋体" w:hAnsi="宋体"/>
                <w:highlight w:val="none"/>
                <w:lang w:eastAsia="zh-CN"/>
              </w:rPr>
              <w:t>项</w:t>
            </w:r>
            <w:r>
              <w:rPr>
                <w:rFonts w:hint="eastAsia" w:ascii="宋体" w:hAnsi="宋体"/>
                <w:highlight w:val="none"/>
                <w:lang w:val="en-US" w:eastAsia="zh-CN"/>
              </w:rPr>
              <w:t>公路机电</w:t>
            </w:r>
            <w:r>
              <w:rPr>
                <w:rFonts w:hint="eastAsia" w:ascii="宋体" w:hAnsi="宋体"/>
                <w:highlight w:val="none"/>
              </w:rPr>
              <w:t>工程施工</w:t>
            </w:r>
            <w:r>
              <w:rPr>
                <w:rFonts w:hint="eastAsia" w:ascii="宋体" w:hAnsi="宋体"/>
                <w:highlight w:val="none"/>
                <w:lang w:eastAsia="zh-CN"/>
              </w:rPr>
              <w:t>的</w:t>
            </w:r>
            <w:r>
              <w:rPr>
                <w:rFonts w:hint="eastAsia" w:ascii="宋体" w:hAnsi="宋体"/>
                <w:highlight w:val="none"/>
              </w:rPr>
              <w:t>项目总工或项目副总工。</w:t>
            </w:r>
          </w:p>
        </w:tc>
        <w:tc>
          <w:tcPr>
            <w:tcW w:w="1670" w:type="dxa"/>
            <w:vMerge w:val="continue"/>
            <w:tcBorders>
              <w:top w:val="single" w:color="auto" w:sz="6" w:space="0"/>
              <w:left w:val="single" w:color="auto" w:sz="6" w:space="0"/>
              <w:bottom w:val="single" w:color="auto" w:sz="6" w:space="0"/>
              <w:right w:val="single" w:color="auto" w:sz="2" w:space="0"/>
            </w:tcBorders>
            <w:noWrap w:val="0"/>
            <w:vAlign w:val="center"/>
          </w:tcPr>
          <w:p>
            <w:pPr>
              <w:widowControl/>
              <w:jc w:val="left"/>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1865" w:type="dxa"/>
            <w:tcBorders>
              <w:top w:val="single" w:color="auto" w:sz="6" w:space="0"/>
              <w:left w:val="single" w:color="auto" w:sz="2" w:space="0"/>
              <w:bottom w:val="single" w:color="auto" w:sz="2" w:space="0"/>
              <w:right w:val="single" w:color="auto" w:sz="6" w:space="0"/>
            </w:tcBorders>
            <w:noWrap w:val="0"/>
            <w:vAlign w:val="center"/>
          </w:tcPr>
          <w:p>
            <w:pPr>
              <w:spacing w:line="400" w:lineRule="exact"/>
              <w:jc w:val="center"/>
              <w:rPr>
                <w:rFonts w:ascii="宋体" w:hAnsi="宋体"/>
                <w:highlight w:val="none"/>
              </w:rPr>
            </w:pPr>
            <w:r>
              <w:rPr>
                <w:rFonts w:hint="eastAsia" w:ascii="宋体" w:hAnsi="宋体"/>
                <w:highlight w:val="none"/>
              </w:rPr>
              <w:t>设计负责人</w:t>
            </w:r>
          </w:p>
        </w:tc>
        <w:tc>
          <w:tcPr>
            <w:tcW w:w="829" w:type="dxa"/>
            <w:tcBorders>
              <w:top w:val="single" w:color="auto" w:sz="6" w:space="0"/>
              <w:left w:val="single" w:color="auto" w:sz="6" w:space="0"/>
              <w:bottom w:val="single" w:color="auto" w:sz="2" w:space="0"/>
              <w:right w:val="single" w:color="auto" w:sz="6" w:space="0"/>
            </w:tcBorders>
            <w:noWrap w:val="0"/>
            <w:vAlign w:val="center"/>
          </w:tcPr>
          <w:p>
            <w:pPr>
              <w:spacing w:line="400" w:lineRule="exact"/>
              <w:jc w:val="center"/>
              <w:rPr>
                <w:rFonts w:ascii="宋体" w:hAnsi="宋体"/>
                <w:highlight w:val="none"/>
              </w:rPr>
            </w:pPr>
            <w:r>
              <w:rPr>
                <w:rFonts w:hint="eastAsia" w:ascii="宋体" w:hAnsi="宋体"/>
                <w:highlight w:val="none"/>
              </w:rPr>
              <w:t>1</w:t>
            </w:r>
          </w:p>
        </w:tc>
        <w:tc>
          <w:tcPr>
            <w:tcW w:w="5352" w:type="dxa"/>
            <w:tcBorders>
              <w:top w:val="single" w:color="auto" w:sz="6" w:space="0"/>
              <w:left w:val="single" w:color="auto" w:sz="6" w:space="0"/>
              <w:bottom w:val="single" w:color="auto" w:sz="2" w:space="0"/>
              <w:right w:val="single" w:color="auto" w:sz="6" w:space="0"/>
            </w:tcBorders>
            <w:noWrap w:val="0"/>
            <w:vAlign w:val="center"/>
          </w:tcPr>
          <w:p>
            <w:pPr>
              <w:pStyle w:val="4"/>
              <w:rPr>
                <w:rFonts w:ascii="宋体" w:hAnsi="宋体"/>
                <w:highlight w:val="none"/>
              </w:rPr>
            </w:pPr>
            <w:r>
              <w:rPr>
                <w:rFonts w:hint="eastAsia" w:ascii="宋体" w:hAnsi="宋体"/>
                <w:highlight w:val="none"/>
              </w:rPr>
              <w:t>高级工程师</w:t>
            </w:r>
          </w:p>
          <w:p>
            <w:pPr>
              <w:pStyle w:val="4"/>
              <w:rPr>
                <w:rFonts w:hint="eastAsia"/>
                <w:highlight w:val="none"/>
              </w:rPr>
            </w:pPr>
            <w:r>
              <w:rPr>
                <w:rFonts w:hint="eastAsia" w:ascii="宋体" w:hAnsi="宋体"/>
                <w:highlight w:val="none"/>
              </w:rPr>
              <w:t>近5年(20</w:t>
            </w:r>
            <w:r>
              <w:rPr>
                <w:rFonts w:hint="eastAsia" w:ascii="宋体" w:hAnsi="宋体"/>
                <w:highlight w:val="none"/>
                <w:lang w:val="en-US" w:eastAsia="zh-CN"/>
              </w:rPr>
              <w:t>20</w:t>
            </w:r>
            <w:r>
              <w:rPr>
                <w:rFonts w:hint="eastAsia" w:ascii="宋体" w:hAnsi="宋体"/>
                <w:highlight w:val="none"/>
              </w:rPr>
              <w:t>年</w:t>
            </w:r>
            <w:r>
              <w:rPr>
                <w:rFonts w:hint="eastAsia" w:ascii="宋体" w:hAnsi="宋体"/>
                <w:highlight w:val="none"/>
                <w:lang w:val="en-US" w:eastAsia="zh-CN"/>
              </w:rPr>
              <w:t>3月</w:t>
            </w:r>
            <w:r>
              <w:rPr>
                <w:rFonts w:hint="eastAsia" w:ascii="宋体" w:hAnsi="宋体"/>
                <w:highlight w:val="none"/>
              </w:rPr>
              <w:t>1日至今，以项目施工图设计批复时间为准)</w:t>
            </w:r>
            <w:r>
              <w:rPr>
                <w:rFonts w:hint="eastAsia" w:ascii="宋体" w:hAnsi="宋体"/>
                <w:highlight w:val="none"/>
                <w:lang w:eastAsia="zh-CN"/>
              </w:rPr>
              <w:t>，</w:t>
            </w:r>
            <w:r>
              <w:rPr>
                <w:rFonts w:hint="eastAsia" w:ascii="宋体" w:hAnsi="宋体"/>
                <w:highlight w:val="none"/>
              </w:rPr>
              <w:t>至少担任过1</w:t>
            </w:r>
            <w:r>
              <w:rPr>
                <w:rFonts w:hint="eastAsia" w:ascii="宋体" w:hAnsi="宋体"/>
                <w:highlight w:val="none"/>
                <w:lang w:eastAsia="zh-CN"/>
              </w:rPr>
              <w:t>项</w:t>
            </w:r>
            <w:r>
              <w:rPr>
                <w:rFonts w:hint="eastAsia" w:ascii="宋体" w:hAnsi="宋体"/>
                <w:highlight w:val="none"/>
                <w:lang w:val="en-US" w:eastAsia="zh-CN"/>
              </w:rPr>
              <w:t>公路机电</w:t>
            </w:r>
            <w:r>
              <w:rPr>
                <w:rFonts w:hint="eastAsia" w:ascii="宋体" w:hAnsi="宋体"/>
                <w:highlight w:val="none"/>
              </w:rPr>
              <w:t>工程</w:t>
            </w:r>
            <w:r>
              <w:rPr>
                <w:rFonts w:hint="eastAsia" w:ascii="宋体" w:hAnsi="宋体"/>
                <w:highlight w:val="none"/>
                <w:lang w:eastAsia="zh-CN"/>
              </w:rPr>
              <w:t>施工图</w:t>
            </w:r>
            <w:r>
              <w:rPr>
                <w:rFonts w:hint="eastAsia" w:ascii="宋体" w:hAnsi="宋体"/>
                <w:highlight w:val="none"/>
              </w:rPr>
              <w:t>设计的项目负责人或设计负责人。</w:t>
            </w:r>
          </w:p>
        </w:tc>
        <w:tc>
          <w:tcPr>
            <w:tcW w:w="1670" w:type="dxa"/>
            <w:tcBorders>
              <w:top w:val="single" w:color="auto" w:sz="4" w:space="0"/>
              <w:left w:val="single" w:color="auto" w:sz="6" w:space="0"/>
              <w:bottom w:val="single" w:color="auto" w:sz="2" w:space="0"/>
              <w:right w:val="single" w:color="auto" w:sz="2" w:space="0"/>
            </w:tcBorders>
            <w:noWrap w:val="0"/>
            <w:vAlign w:val="center"/>
          </w:tcPr>
          <w:p>
            <w:pPr>
              <w:adjustRightInd w:val="0"/>
              <w:snapToGrid w:val="0"/>
              <w:spacing w:line="400" w:lineRule="exact"/>
              <w:jc w:val="center"/>
              <w:rPr>
                <w:rFonts w:ascii="宋体" w:hAnsi="宋体"/>
                <w:highlight w:val="none"/>
              </w:rPr>
            </w:pPr>
            <w:r>
              <w:rPr>
                <w:rFonts w:hint="eastAsia" w:ascii="宋体" w:hAnsi="宋体"/>
                <w:highlight w:val="none"/>
              </w:rPr>
              <w:t>无</w:t>
            </w:r>
          </w:p>
        </w:tc>
      </w:tr>
    </w:tbl>
    <w:p>
      <w:pPr>
        <w:spacing w:line="400" w:lineRule="exact"/>
        <w:ind w:right="-44" w:rightChars="-21"/>
        <w:jc w:val="left"/>
        <w:rPr>
          <w:rFonts w:hint="eastAsia" w:ascii="宋体" w:hAnsi="宋体"/>
          <w:highlight w:val="none"/>
        </w:rPr>
      </w:pPr>
      <w:r>
        <w:rPr>
          <w:rFonts w:hint="eastAsia" w:ascii="宋体" w:hAnsi="宋体"/>
          <w:highlight w:val="none"/>
        </w:rPr>
        <w:t>注：</w:t>
      </w:r>
      <w:r>
        <w:rPr>
          <w:rFonts w:hint="eastAsia" w:ascii="宋体" w:hAnsi="宋体"/>
          <w:highlight w:val="none"/>
          <w:lang w:val="en-US" w:eastAsia="zh-CN"/>
        </w:rPr>
        <w:t>1.</w:t>
      </w:r>
      <w:r>
        <w:rPr>
          <w:rFonts w:hint="eastAsia" w:ascii="宋体" w:hAnsi="宋体"/>
          <w:highlight w:val="none"/>
        </w:rPr>
        <w:t>设计业绩包括单独设计业绩或设计施工总承包中相应设计业绩；</w:t>
      </w:r>
    </w:p>
    <w:p>
      <w:pPr>
        <w:spacing w:line="400" w:lineRule="exact"/>
        <w:ind w:right="-44" w:rightChars="-21" w:firstLine="420" w:firstLineChars="200"/>
        <w:jc w:val="left"/>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施工业绩包括单独施工业绩或设计施工总承包中相应施工业绩；</w:t>
      </w:r>
    </w:p>
    <w:p>
      <w:pPr>
        <w:spacing w:line="400" w:lineRule="exact"/>
        <w:ind w:right="-44" w:rightChars="-21" w:firstLine="420" w:firstLineChars="200"/>
        <w:jc w:val="left"/>
        <w:rPr>
          <w:rFonts w:ascii="宋体" w:hAnsi="宋体"/>
          <w:highlight w:val="none"/>
        </w:rPr>
      </w:pPr>
      <w:r>
        <w:rPr>
          <w:rFonts w:hint="eastAsia" w:ascii="宋体" w:hAnsi="宋体"/>
          <w:highlight w:val="none"/>
          <w:lang w:val="en-US" w:eastAsia="zh-CN"/>
        </w:rPr>
        <w:t>3.</w:t>
      </w:r>
      <w:r>
        <w:rPr>
          <w:rFonts w:hint="eastAsia" w:ascii="宋体" w:hAnsi="宋体"/>
          <w:highlight w:val="none"/>
        </w:rPr>
        <w:t>以联合体形式投标的，</w:t>
      </w:r>
      <w:r>
        <w:rPr>
          <w:rFonts w:ascii="宋体" w:hAnsi="宋体"/>
          <w:highlight w:val="none"/>
        </w:rPr>
        <w:t>项目经理</w:t>
      </w:r>
      <w:r>
        <w:rPr>
          <w:rFonts w:hint="eastAsia" w:ascii="宋体" w:hAnsi="宋体"/>
          <w:highlight w:val="none"/>
        </w:rPr>
        <w:t>（兼施工负责人）和项目总工</w:t>
      </w:r>
      <w:r>
        <w:rPr>
          <w:rFonts w:ascii="宋体" w:hAnsi="宋体"/>
          <w:highlight w:val="none"/>
        </w:rPr>
        <w:t>必须是联合体牵头人单位人员。</w:t>
      </w:r>
    </w:p>
    <w:p>
      <w:pPr>
        <w:pStyle w:val="4"/>
        <w:widowControl/>
        <w:jc w:val="left"/>
        <w:rPr>
          <w:rFonts w:ascii="宋体" w:hAnsi="宋体"/>
          <w:highlight w:val="none"/>
        </w:rPr>
      </w:pPr>
    </w:p>
    <w:p>
      <w:pPr>
        <w:pStyle w:val="4"/>
        <w:widowControl/>
        <w:jc w:val="left"/>
        <w:rPr>
          <w:highlight w:val="none"/>
        </w:rPr>
      </w:pPr>
    </w:p>
    <w:p>
      <w:pPr>
        <w:pStyle w:val="4"/>
        <w:widowControl/>
        <w:jc w:val="left"/>
        <w:rPr>
          <w:highlight w:val="none"/>
        </w:rPr>
      </w:pPr>
    </w:p>
    <w:p>
      <w:pPr>
        <w:pStyle w:val="4"/>
        <w:widowControl/>
        <w:jc w:val="left"/>
        <w:rPr>
          <w:highlight w:val="none"/>
        </w:rPr>
      </w:pPr>
    </w:p>
    <w:p>
      <w:pPr>
        <w:pStyle w:val="4"/>
        <w:widowControl/>
        <w:jc w:val="left"/>
        <w:rPr>
          <w:highlight w:val="none"/>
        </w:rPr>
      </w:pPr>
      <w:r>
        <w:rPr>
          <w:highlight w:val="none"/>
        </w:rPr>
        <w:br w:type="page"/>
      </w:r>
    </w:p>
    <w:p>
      <w:pPr>
        <w:pStyle w:val="2"/>
        <w:spacing w:before="0" w:after="0" w:line="312" w:lineRule="auto"/>
        <w:rPr>
          <w:rFonts w:ascii="宋体" w:hAnsi="宋体" w:eastAsia="宋体"/>
          <w:sz w:val="28"/>
          <w:szCs w:val="28"/>
          <w:highlight w:val="none"/>
        </w:rPr>
      </w:pPr>
      <w:bookmarkStart w:id="4" w:name="_Toc115360828"/>
      <w:bookmarkStart w:id="5" w:name="_Toc27282"/>
      <w:bookmarkStart w:id="6" w:name="_Toc115354983"/>
      <w:r>
        <w:rPr>
          <w:rFonts w:hint="eastAsia" w:ascii="宋体" w:hAnsi="宋体" w:eastAsia="宋体"/>
          <w:sz w:val="28"/>
          <w:szCs w:val="28"/>
          <w:highlight w:val="none"/>
        </w:rPr>
        <w:t>附件2：随机确定评标基准价计算方法的规则与程序</w:t>
      </w:r>
      <w:bookmarkEnd w:id="4"/>
      <w:bookmarkEnd w:id="5"/>
      <w:bookmarkEnd w:id="6"/>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一、随机抽取确定评标基准价计算方法规则</w:t>
      </w:r>
    </w:p>
    <w:p>
      <w:pPr>
        <w:spacing w:line="360" w:lineRule="auto"/>
        <w:ind w:firstLine="480" w:firstLineChars="200"/>
        <w:rPr>
          <w:rFonts w:hint="eastAsia" w:ascii="宋体" w:hAnsi="宋体"/>
          <w:sz w:val="24"/>
          <w:highlight w:val="none"/>
        </w:rPr>
      </w:pPr>
      <w:r>
        <w:rPr>
          <w:rFonts w:hint="eastAsia" w:ascii="宋体" w:hAnsi="宋体"/>
          <w:sz w:val="24"/>
          <w:highlight w:val="none"/>
        </w:rPr>
        <w:t>参与随机确定评标基准价计算方法的各方当事人（以下简称“各方”）应当严格遵守以下规则：</w:t>
      </w:r>
    </w:p>
    <w:p>
      <w:pPr>
        <w:spacing w:line="360" w:lineRule="auto"/>
        <w:ind w:firstLine="480" w:firstLineChars="200"/>
        <w:rPr>
          <w:rFonts w:hint="eastAsia" w:ascii="宋体" w:hAnsi="宋体"/>
          <w:sz w:val="24"/>
          <w:highlight w:val="none"/>
        </w:rPr>
      </w:pPr>
      <w:r>
        <w:rPr>
          <w:rFonts w:hint="eastAsia" w:ascii="宋体" w:hAnsi="宋体"/>
          <w:sz w:val="24"/>
          <w:highlight w:val="none"/>
        </w:rPr>
        <w:t>（一）各方必须严格遵守公开、公平、公正和诚实信用原则；</w:t>
      </w:r>
    </w:p>
    <w:p>
      <w:pPr>
        <w:spacing w:line="360" w:lineRule="auto"/>
        <w:ind w:firstLine="480" w:firstLineChars="200"/>
        <w:rPr>
          <w:rFonts w:hint="eastAsia" w:ascii="宋体" w:hAnsi="宋体"/>
          <w:sz w:val="24"/>
          <w:highlight w:val="none"/>
        </w:rPr>
      </w:pPr>
      <w:r>
        <w:rPr>
          <w:rFonts w:hint="eastAsia" w:ascii="宋体" w:hAnsi="宋体"/>
          <w:sz w:val="24"/>
          <w:highlight w:val="none"/>
        </w:rPr>
        <w:t>（二）随机抽取活动在招标人的主持下进行，招标人做好影像记录，并存档备查；</w:t>
      </w:r>
    </w:p>
    <w:p>
      <w:pPr>
        <w:spacing w:line="360" w:lineRule="auto"/>
        <w:ind w:firstLine="480" w:firstLineChars="200"/>
        <w:rPr>
          <w:rFonts w:hint="eastAsia" w:ascii="宋体" w:hAnsi="宋体"/>
          <w:sz w:val="24"/>
          <w:highlight w:val="none"/>
        </w:rPr>
      </w:pPr>
      <w:r>
        <w:rPr>
          <w:rFonts w:hint="eastAsia" w:ascii="宋体" w:hAnsi="宋体"/>
          <w:sz w:val="24"/>
          <w:highlight w:val="none"/>
        </w:rPr>
        <w:t>（三）用于随机抽取的器具由招标人提供；</w:t>
      </w:r>
    </w:p>
    <w:p>
      <w:pPr>
        <w:spacing w:line="360" w:lineRule="auto"/>
        <w:ind w:firstLine="480" w:firstLineChars="200"/>
        <w:rPr>
          <w:rFonts w:hint="eastAsia" w:ascii="宋体" w:hAnsi="宋体"/>
          <w:sz w:val="24"/>
          <w:highlight w:val="none"/>
        </w:rPr>
      </w:pPr>
      <w:r>
        <w:rPr>
          <w:rFonts w:hint="eastAsia" w:ascii="宋体" w:hAnsi="宋体"/>
          <w:sz w:val="24"/>
          <w:highlight w:val="none"/>
        </w:rPr>
        <w:t>（四）各方必须严格遵守现场纪律，确保随机抽取活动有序进行；</w:t>
      </w:r>
    </w:p>
    <w:p>
      <w:pPr>
        <w:spacing w:line="360" w:lineRule="auto"/>
        <w:ind w:firstLine="480" w:firstLineChars="200"/>
        <w:rPr>
          <w:rFonts w:hint="eastAsia" w:ascii="宋体" w:hAnsi="宋体"/>
          <w:sz w:val="24"/>
          <w:highlight w:val="none"/>
        </w:rPr>
      </w:pPr>
      <w:r>
        <w:rPr>
          <w:rFonts w:hint="eastAsia" w:ascii="宋体" w:hAnsi="宋体"/>
          <w:sz w:val="24"/>
          <w:highlight w:val="none"/>
        </w:rPr>
        <w:t>（五）投标人对随机抽取过程有异议的，在“</w:t>
      </w:r>
      <w:r>
        <w:rPr>
          <w:rFonts w:hint="eastAsia" w:ascii="宋体" w:hAnsi="宋体"/>
          <w:sz w:val="24"/>
          <w:highlight w:val="none"/>
          <w:lang w:eastAsia="zh-CN"/>
        </w:rPr>
        <w:t>九安电子招投标交易平台</w:t>
      </w:r>
      <w:r>
        <w:rPr>
          <w:rFonts w:hint="eastAsia" w:ascii="宋体" w:hAnsi="宋体"/>
          <w:sz w:val="24"/>
          <w:highlight w:val="none"/>
        </w:rPr>
        <w:t>”的项目流程中点异议按钮在线提出异议，招标人当场作出答复，并作好记录。</w:t>
      </w:r>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rPr>
        <w:t>二、随机抽取确定评标基准价计算方法的程序</w:t>
      </w:r>
    </w:p>
    <w:p>
      <w:pPr>
        <w:spacing w:line="360" w:lineRule="auto"/>
        <w:ind w:firstLine="480" w:firstLineChars="200"/>
        <w:rPr>
          <w:rFonts w:hint="eastAsia" w:ascii="宋体" w:hAnsi="宋体"/>
          <w:sz w:val="24"/>
          <w:highlight w:val="none"/>
        </w:rPr>
      </w:pPr>
      <w:r>
        <w:rPr>
          <w:rFonts w:hint="eastAsia" w:ascii="宋体" w:hAnsi="宋体"/>
          <w:sz w:val="24"/>
          <w:highlight w:val="none"/>
        </w:rPr>
        <w:t>（一）确定随机抽取代码球</w:t>
      </w:r>
    </w:p>
    <w:p>
      <w:pPr>
        <w:spacing w:line="360" w:lineRule="auto"/>
        <w:ind w:firstLine="480" w:firstLineChars="200"/>
        <w:rPr>
          <w:rFonts w:hint="eastAsia" w:ascii="宋体" w:hAnsi="宋体"/>
          <w:sz w:val="24"/>
          <w:highlight w:val="none"/>
        </w:rPr>
      </w:pPr>
      <w:r>
        <w:rPr>
          <w:rFonts w:hint="eastAsia" w:ascii="宋体" w:hAnsi="宋体"/>
          <w:sz w:val="24"/>
          <w:highlight w:val="none"/>
        </w:rPr>
        <w:t>用抽取器具随机确定抽取代码球一套，作为本次随机抽取确定评标基准价计算方法的代码球。</w:t>
      </w:r>
    </w:p>
    <w:p>
      <w:pPr>
        <w:spacing w:line="360" w:lineRule="auto"/>
        <w:ind w:firstLine="480" w:firstLineChars="200"/>
        <w:rPr>
          <w:rFonts w:hint="eastAsia" w:ascii="宋体" w:hAnsi="宋体"/>
          <w:sz w:val="24"/>
          <w:highlight w:val="none"/>
        </w:rPr>
      </w:pPr>
      <w:r>
        <w:rPr>
          <w:rFonts w:hint="eastAsia" w:ascii="宋体" w:hAnsi="宋体"/>
          <w:sz w:val="24"/>
          <w:highlight w:val="none"/>
        </w:rPr>
        <w:t>（二）本次招标共设置三种评标基准价计算方法（详见评标办法）。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确定评标基准价计算方法的编号及代码球，1号球代表评标基准价计算方法1；2号球代表评标基准价计算方法2；3号球代表评标基准价计算方法3。</w:t>
      </w:r>
    </w:p>
    <w:p>
      <w:pPr>
        <w:spacing w:line="360" w:lineRule="auto"/>
        <w:ind w:firstLine="480" w:firstLineChars="200"/>
        <w:rPr>
          <w:rFonts w:hint="eastAsia" w:ascii="宋体" w:hAnsi="宋体"/>
          <w:sz w:val="24"/>
          <w:highlight w:val="none"/>
        </w:rPr>
      </w:pPr>
      <w:r>
        <w:rPr>
          <w:rFonts w:hint="eastAsia" w:ascii="宋体" w:hAnsi="宋体"/>
          <w:sz w:val="24"/>
          <w:highlight w:val="none"/>
        </w:rPr>
        <w:t>（三）在投标文件第一信封（商务及技术文件）开标现场，将编号1、2、3代码球全部放入随机抽取器具中，由抽取器具随机抽取产生本次招标评标基准价计算方法。</w:t>
      </w:r>
    </w:p>
    <w:p>
      <w:pPr>
        <w:spacing w:line="360" w:lineRule="auto"/>
        <w:ind w:firstLine="480" w:firstLineChars="200"/>
        <w:rPr>
          <w:rFonts w:hint="eastAsia" w:ascii="宋体" w:hAnsi="宋体"/>
          <w:sz w:val="24"/>
          <w:highlight w:val="none"/>
        </w:rPr>
      </w:pPr>
      <w:r>
        <w:rPr>
          <w:rFonts w:hint="eastAsia" w:ascii="宋体" w:hAnsi="宋体"/>
          <w:sz w:val="24"/>
          <w:highlight w:val="none"/>
        </w:rPr>
        <w:t>（四）确定评标基准价计算方法需要的系数（如有）。</w:t>
      </w:r>
    </w:p>
    <w:p>
      <w:pPr>
        <w:spacing w:line="360" w:lineRule="auto"/>
        <w:ind w:firstLine="480" w:firstLineChars="200"/>
        <w:rPr>
          <w:rFonts w:hint="eastAsia" w:ascii="宋体" w:hAnsi="宋体"/>
          <w:sz w:val="24"/>
          <w:highlight w:val="none"/>
        </w:rPr>
      </w:pPr>
      <w:r>
        <w:rPr>
          <w:rFonts w:hint="eastAsia" w:ascii="宋体" w:hAnsi="宋体"/>
          <w:sz w:val="24"/>
          <w:highlight w:val="none"/>
        </w:rPr>
        <w:t>1、如果抽取的评标基准价计算方法为方法</w:t>
      </w:r>
      <w:r>
        <w:rPr>
          <w:rFonts w:hint="eastAsia" w:ascii="宋体" w:hAnsi="宋体"/>
          <w:sz w:val="24"/>
          <w:highlight w:val="none"/>
          <w:lang w:val="en-US" w:eastAsia="zh-CN"/>
        </w:rPr>
        <w:t>二</w:t>
      </w:r>
      <w:r>
        <w:rPr>
          <w:rFonts w:hint="eastAsia" w:ascii="宋体" w:hAnsi="宋体"/>
          <w:sz w:val="24"/>
          <w:highlight w:val="none"/>
        </w:rPr>
        <w:t>，则需要抽取评标基准价系数 K。K取值范围为</w:t>
      </w:r>
      <w:r>
        <w:rPr>
          <w:rFonts w:hint="eastAsia" w:ascii="宋体" w:hAnsi="宋体"/>
          <w:sz w:val="24"/>
          <w:highlight w:val="none"/>
          <w:lang w:val="en-US" w:eastAsia="zh-CN"/>
        </w:rPr>
        <w:t>0.975、</w:t>
      </w:r>
      <w:r>
        <w:rPr>
          <w:rFonts w:hint="eastAsia" w:ascii="宋体" w:hAnsi="宋体"/>
          <w:sz w:val="24"/>
          <w:highlight w:val="none"/>
        </w:rPr>
        <w:t>0.98、0.985、0.99、0.995共5个数值。将编号为1～5的代码球放入抽取器具，由抽取器具随机抽取1个代码球。</w:t>
      </w:r>
      <w:r>
        <w:rPr>
          <w:rFonts w:hint="eastAsia" w:ascii="宋体" w:hAnsi="宋体"/>
          <w:sz w:val="24"/>
          <w:highlight w:val="none"/>
          <w:lang w:val="en-US" w:eastAsia="zh-CN"/>
        </w:rPr>
        <w:t>1</w:t>
      </w:r>
      <w:r>
        <w:rPr>
          <w:rFonts w:hint="eastAsia" w:ascii="宋体" w:hAnsi="宋体"/>
          <w:sz w:val="24"/>
          <w:highlight w:val="none"/>
        </w:rPr>
        <w:t>号球代表K值为0.9</w:t>
      </w:r>
      <w:r>
        <w:rPr>
          <w:rFonts w:hint="eastAsia" w:ascii="宋体" w:hAnsi="宋体"/>
          <w:sz w:val="24"/>
          <w:highlight w:val="none"/>
          <w:lang w:val="en-US" w:eastAsia="zh-CN"/>
        </w:rPr>
        <w:t>75</w:t>
      </w: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rPr>
        <w:t>号球代表K值为0.98；</w:t>
      </w:r>
      <w:r>
        <w:rPr>
          <w:rFonts w:hint="eastAsia" w:ascii="宋体" w:hAnsi="宋体"/>
          <w:sz w:val="24"/>
          <w:highlight w:val="none"/>
          <w:lang w:val="en-US" w:eastAsia="zh-CN"/>
        </w:rPr>
        <w:t>3</w:t>
      </w:r>
      <w:r>
        <w:rPr>
          <w:rFonts w:hint="eastAsia" w:ascii="宋体" w:hAnsi="宋体"/>
          <w:sz w:val="24"/>
          <w:highlight w:val="none"/>
        </w:rPr>
        <w:t>号球代表K值为0.985；</w:t>
      </w:r>
      <w:r>
        <w:rPr>
          <w:rFonts w:hint="eastAsia" w:ascii="宋体" w:hAnsi="宋体"/>
          <w:sz w:val="24"/>
          <w:highlight w:val="none"/>
          <w:lang w:val="en-US" w:eastAsia="zh-CN"/>
        </w:rPr>
        <w:t>4</w:t>
      </w:r>
      <w:r>
        <w:rPr>
          <w:rFonts w:hint="eastAsia" w:ascii="宋体" w:hAnsi="宋体"/>
          <w:sz w:val="24"/>
          <w:highlight w:val="none"/>
        </w:rPr>
        <w:t>号球代表K值为0.99；</w:t>
      </w:r>
      <w:r>
        <w:rPr>
          <w:rFonts w:hint="eastAsia" w:ascii="宋体" w:hAnsi="宋体"/>
          <w:sz w:val="24"/>
          <w:highlight w:val="none"/>
          <w:lang w:val="en-US" w:eastAsia="zh-CN"/>
        </w:rPr>
        <w:t>5</w:t>
      </w:r>
      <w:r>
        <w:rPr>
          <w:rFonts w:hint="eastAsia" w:ascii="宋体" w:hAnsi="宋体"/>
          <w:sz w:val="24"/>
          <w:highlight w:val="none"/>
        </w:rPr>
        <w:t>号球代表K值为0.995。在投标文件第一信封（商务及技术文件）开标现场通过随机抽取方式确定一个评标基准价系数K，并当场公布。</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、如果抽取的评标基准价计算方法为方法</w:t>
      </w:r>
      <w:r>
        <w:rPr>
          <w:rFonts w:hint="eastAsia" w:ascii="宋体" w:hAnsi="宋体"/>
          <w:sz w:val="24"/>
          <w:highlight w:val="none"/>
          <w:lang w:val="en-US" w:eastAsia="zh-CN"/>
        </w:rPr>
        <w:t>一或方法</w:t>
      </w:r>
      <w:r>
        <w:rPr>
          <w:rFonts w:hint="eastAsia" w:ascii="宋体" w:hAnsi="宋体"/>
          <w:sz w:val="24"/>
          <w:highlight w:val="none"/>
        </w:rPr>
        <w:t>三，则不需要抽取系数。</w:t>
      </w:r>
    </w:p>
    <w:p>
      <w:pPr>
        <w:spacing w:line="360" w:lineRule="auto"/>
        <w:ind w:firstLine="482" w:firstLineChars="200"/>
        <w:rPr>
          <w:rFonts w:ascii="宋体" w:hAnsi="宋体"/>
          <w:sz w:val="24"/>
          <w:highlight w:val="none"/>
        </w:rPr>
      </w:pPr>
      <w:r>
        <w:rPr>
          <w:rFonts w:hint="eastAsia" w:ascii="宋体" w:hAnsi="宋体"/>
          <w:b/>
          <w:bCs/>
          <w:sz w:val="24"/>
          <w:highlight w:val="none"/>
        </w:rPr>
        <w:t>三、</w:t>
      </w:r>
      <w:r>
        <w:rPr>
          <w:rFonts w:hint="eastAsia" w:ascii="宋体" w:hAnsi="宋体"/>
          <w:sz w:val="24"/>
          <w:highlight w:val="none"/>
        </w:rPr>
        <w:t>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pPr>
        <w:snapToGrid w:val="0"/>
        <w:spacing w:line="360" w:lineRule="auto"/>
        <w:ind w:firstLine="480" w:firstLineChars="200"/>
        <w:rPr>
          <w:rFonts w:ascii="宋体" w:hAnsi="宋体"/>
          <w:sz w:val="24"/>
          <w:highlight w:val="none"/>
        </w:rPr>
      </w:pPr>
    </w:p>
    <w:p>
      <w:pPr>
        <w:pStyle w:val="4"/>
        <w:rPr>
          <w:rFonts w:ascii="宋体" w:hAnsi="宋体"/>
          <w:sz w:val="24"/>
          <w:highlight w:val="none"/>
        </w:rPr>
      </w:pPr>
    </w:p>
    <w:p>
      <w:pPr>
        <w:pStyle w:val="2"/>
        <w:spacing w:before="0" w:after="0" w:line="312" w:lineRule="auto"/>
        <w:rPr>
          <w:rFonts w:ascii="宋体" w:hAnsi="宋体" w:eastAsia="宋体"/>
          <w:sz w:val="24"/>
          <w:szCs w:val="24"/>
          <w:highlight w:val="none"/>
        </w:rPr>
      </w:pPr>
      <w:r>
        <w:rPr>
          <w:rFonts w:hint="eastAsia" w:ascii="宋体" w:hAnsi="宋体" w:eastAsia="宋体"/>
          <w:sz w:val="24"/>
          <w:szCs w:val="24"/>
          <w:highlight w:val="none"/>
        </w:rPr>
        <w:br w:type="page"/>
      </w:r>
      <w:bookmarkStart w:id="7" w:name="_Toc115360829"/>
      <w:bookmarkStart w:id="8" w:name="_Toc16237"/>
      <w:bookmarkStart w:id="9" w:name="_Toc115354984"/>
      <w:r>
        <w:rPr>
          <w:rFonts w:hint="eastAsia" w:ascii="宋体" w:hAnsi="宋体" w:eastAsia="宋体"/>
          <w:sz w:val="24"/>
          <w:szCs w:val="24"/>
          <w:highlight w:val="none"/>
        </w:rPr>
        <w:t>附件</w:t>
      </w:r>
      <w:r>
        <w:rPr>
          <w:rFonts w:ascii="宋体" w:hAnsi="宋体" w:eastAsia="宋体"/>
          <w:sz w:val="24"/>
          <w:szCs w:val="24"/>
          <w:highlight w:val="none"/>
        </w:rPr>
        <w:t>3</w:t>
      </w:r>
      <w:r>
        <w:rPr>
          <w:rFonts w:hint="eastAsia" w:ascii="宋体" w:hAnsi="宋体" w:eastAsia="宋体"/>
          <w:sz w:val="24"/>
          <w:szCs w:val="24"/>
          <w:highlight w:val="none"/>
        </w:rPr>
        <w:t>：评标办法</w:t>
      </w:r>
      <w:bookmarkEnd w:id="7"/>
      <w:bookmarkEnd w:id="8"/>
      <w:bookmarkEnd w:id="9"/>
    </w:p>
    <w:p>
      <w:pPr>
        <w:pStyle w:val="4"/>
        <w:spacing w:line="360" w:lineRule="auto"/>
        <w:jc w:val="center"/>
        <w:rPr>
          <w:rFonts w:ascii="宋体" w:hAnsi="宋体"/>
          <w:b/>
          <w:sz w:val="28"/>
          <w:szCs w:val="28"/>
          <w:highlight w:val="none"/>
        </w:rPr>
      </w:pPr>
      <w:bookmarkStart w:id="10" w:name="_Hlk88057076"/>
      <w:r>
        <w:rPr>
          <w:rFonts w:hint="eastAsia" w:ascii="宋体" w:hAnsi="宋体"/>
          <w:b/>
          <w:sz w:val="28"/>
          <w:szCs w:val="28"/>
          <w:highlight w:val="none"/>
        </w:rPr>
        <w:t>评标办法（综合评估法）</w:t>
      </w:r>
    </w:p>
    <w:p>
      <w:pPr>
        <w:pStyle w:val="4"/>
        <w:snapToGrid w:val="0"/>
        <w:spacing w:after="0"/>
        <w:rPr>
          <w:rFonts w:ascii="宋体" w:hAnsi="宋体"/>
          <w:b/>
          <w:sz w:val="24"/>
          <w:highlight w:val="none"/>
        </w:rPr>
      </w:pPr>
      <w:r>
        <w:rPr>
          <w:rFonts w:ascii="宋体" w:hAnsi="宋体"/>
          <w:b/>
          <w:sz w:val="24"/>
          <w:highlight w:val="none"/>
        </w:rPr>
        <w:t>评标办法前附表</w:t>
      </w:r>
    </w:p>
    <w:tbl>
      <w:tblPr>
        <w:tblStyle w:val="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1246"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条款名称</w:t>
            </w:r>
          </w:p>
        </w:tc>
        <w:tc>
          <w:tcPr>
            <w:tcW w:w="7106"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46"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评标办法</w:t>
            </w:r>
          </w:p>
        </w:tc>
        <w:tc>
          <w:tcPr>
            <w:tcW w:w="7106" w:type="dxa"/>
            <w:noWrap w:val="0"/>
            <w:vAlign w:val="center"/>
          </w:tcPr>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本次评标采用综合评估法。评标委员会对满足招标文件实质性要求的投标文件，按照本章第 2.2 款规定的评分标准进行打分，并按综合得分由高到低顺序推荐1-3名中标候选人。综合评分相等时，评标委员会依次按照以下优先顺序推荐中标候选人：</w:t>
            </w:r>
          </w:p>
          <w:p>
            <w:pPr>
              <w:keepNext w:val="0"/>
              <w:keepLines w:val="0"/>
              <w:pageBreakBefore w:val="0"/>
              <w:widowControl w:val="0"/>
              <w:kinsoku/>
              <w:wordWrap/>
              <w:overflowPunct/>
              <w:topLinePunct w:val="0"/>
              <w:bidi w:val="0"/>
              <w:snapToGrid w:val="0"/>
              <w:spacing w:line="300" w:lineRule="exact"/>
              <w:ind w:firstLine="117" w:firstLineChars="5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（1）评标价低的投标人优先；</w:t>
            </w:r>
          </w:p>
          <w:p>
            <w:pPr>
              <w:keepNext w:val="0"/>
              <w:keepLines w:val="0"/>
              <w:pageBreakBefore w:val="0"/>
              <w:widowControl w:val="0"/>
              <w:kinsoku/>
              <w:wordWrap/>
              <w:overflowPunct/>
              <w:topLinePunct w:val="0"/>
              <w:bidi w:val="0"/>
              <w:snapToGrid w:val="0"/>
              <w:spacing w:line="300" w:lineRule="exact"/>
              <w:ind w:firstLine="117" w:firstLineChars="5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（2）承包人建议书</w:t>
            </w:r>
            <w:r>
              <w:rPr>
                <w:rFonts w:hint="eastAsia" w:ascii="宋体" w:hAnsi="宋体" w:eastAsia="宋体" w:cs="宋体"/>
                <w:sz w:val="21"/>
                <w:szCs w:val="21"/>
                <w:highlight w:val="none"/>
                <w:lang w:eastAsia="zh-CN"/>
              </w:rPr>
              <w:t>和承包人实施方案合计得分</w:t>
            </w:r>
            <w:r>
              <w:rPr>
                <w:rFonts w:hint="eastAsia" w:ascii="宋体" w:hAnsi="宋体" w:eastAsia="宋体" w:cs="宋体"/>
                <w:sz w:val="21"/>
                <w:szCs w:val="21"/>
                <w:highlight w:val="none"/>
              </w:rPr>
              <w:t>较高的投标人优先；</w:t>
            </w:r>
          </w:p>
          <w:p>
            <w:pPr>
              <w:keepNext w:val="0"/>
              <w:keepLines w:val="0"/>
              <w:pageBreakBefore w:val="0"/>
              <w:widowControl w:val="0"/>
              <w:kinsoku/>
              <w:wordWrap/>
              <w:overflowPunct/>
              <w:topLinePunct w:val="0"/>
              <w:bidi w:val="0"/>
              <w:snapToGrid w:val="0"/>
              <w:spacing w:line="300" w:lineRule="exact"/>
              <w:ind w:firstLine="117" w:firstLineChars="5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（3）满足资格审查条件(业绩最低要求)</w:t>
            </w:r>
            <w:r>
              <w:rPr>
                <w:rFonts w:hint="eastAsia" w:ascii="宋体" w:hAnsi="宋体" w:eastAsia="宋体" w:cs="宋体"/>
                <w:sz w:val="21"/>
                <w:szCs w:val="21"/>
                <w:highlight w:val="none"/>
                <w:lang w:eastAsia="zh-CN"/>
              </w:rPr>
              <w:t>中</w:t>
            </w:r>
            <w:r>
              <w:rPr>
                <w:rFonts w:hint="eastAsia" w:ascii="宋体" w:hAnsi="宋体" w:eastAsia="宋体" w:cs="宋体"/>
                <w:sz w:val="21"/>
                <w:szCs w:val="21"/>
                <w:highlight w:val="none"/>
              </w:rPr>
              <w:t>所附</w:t>
            </w:r>
            <w:r>
              <w:rPr>
                <w:rFonts w:hint="eastAsia" w:ascii="宋体" w:hAnsi="宋体" w:eastAsia="宋体" w:cs="宋体"/>
                <w:sz w:val="21"/>
                <w:szCs w:val="21"/>
                <w:highlight w:val="none"/>
                <w:lang w:eastAsia="zh-CN"/>
              </w:rPr>
              <w:t>施工业绩累计合同金额较高的</w:t>
            </w:r>
            <w:r>
              <w:rPr>
                <w:rFonts w:hint="eastAsia" w:ascii="宋体" w:hAnsi="宋体" w:eastAsia="宋体" w:cs="宋体"/>
                <w:sz w:val="21"/>
                <w:szCs w:val="21"/>
                <w:highlight w:val="none"/>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246"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106" w:type="dxa"/>
            <w:noWrap w:val="0"/>
            <w:vAlign w:val="top"/>
          </w:tcPr>
          <w:p>
            <w:pPr>
              <w:keepNext w:val="0"/>
              <w:keepLines w:val="0"/>
              <w:pageBreakBefore w:val="0"/>
              <w:widowControl w:val="0"/>
              <w:tabs>
                <w:tab w:val="left" w:pos="3060"/>
              </w:tabs>
              <w:kinsoku/>
              <w:wordWrap/>
              <w:overflowPunct/>
              <w:topLinePunct w:val="0"/>
              <w:bidi w:val="0"/>
              <w:snapToGrid w:val="0"/>
              <w:spacing w:line="3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第一个信封（商务文件）评审标准:</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a.投标函按招标文件规定填报了项目名称、补遗书编号（如有）、工程质量、安全目标、工期、项目经理（兼施工负责人）、项目总工和设计负责人信息；</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b.投标函附录的所有数据均符合招标文件规定；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c.投标文件组成齐全完整，内容均按规定填写。</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（2）投标文件上法定代表人或其授权代理人的签字、投标人的单位章盖章齐全，符合招标文件规定。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（3）投标人按照招标文件的规定提供了投标保证金，并符合投标人须知前附表3.4.1项的相关规定。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（4）投标人法定代表人授权委托代理人签署投标文件的，须提交授权委托书，授权委托书符合招标文件规定。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（5）投标人法定代表人亲自签署投标文件的，须提供法定代表人身份证明，法定代表人身份证明符合招标文件规定。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（6）投标人以联合体形式投标时，联合体满足招标文件的要求。</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）同一投标人未对本项目提交两个以上不同的投标文件。</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）投标文件第一个信封（商务及技术文件）中未出现有关投标报价的内容。</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）投标文件载明的招标项目完成期限，符合招标文件规定。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）投标文件对招标文件的实质性要求和条件作出响应。</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）权利义务符合招标文件规定：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b.投标人未增加发包人的责任范围，或减少投标人义务；</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0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第一个信封（技术文件）评审标准:</w:t>
            </w:r>
          </w:p>
          <w:p>
            <w:pPr>
              <w:keepNext w:val="0"/>
              <w:keepLines w:val="0"/>
              <w:pageBreakBefore w:val="0"/>
              <w:widowControl w:val="0"/>
              <w:tabs>
                <w:tab w:val="left" w:pos="3060"/>
              </w:tabs>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（1）承包人建议书（暗标），承包人实施方案（暗标）</w:t>
            </w:r>
            <w:r>
              <w:rPr>
                <w:rFonts w:hint="eastAsia" w:ascii="宋体" w:hAnsi="宋体" w:eastAsia="宋体" w:cs="宋体"/>
                <w:sz w:val="21"/>
                <w:szCs w:val="21"/>
                <w:highlight w:val="none"/>
                <w:lang w:val="en-US" w:eastAsia="zh-CN"/>
              </w:rPr>
              <w:t>编制</w:t>
            </w:r>
            <w:r>
              <w:rPr>
                <w:rFonts w:hint="eastAsia" w:ascii="宋体" w:hAnsi="宋体" w:eastAsia="宋体" w:cs="宋体"/>
                <w:sz w:val="21"/>
                <w:szCs w:val="21"/>
                <w:highlight w:val="none"/>
              </w:rPr>
              <w:t>符合招标文件第二章“投标人须知前附表”第9.4款的规定。</w:t>
            </w:r>
          </w:p>
          <w:p>
            <w:pPr>
              <w:keepNext w:val="0"/>
              <w:keepLines w:val="0"/>
              <w:pageBreakBefore w:val="0"/>
              <w:widowControl w:val="0"/>
              <w:tabs>
                <w:tab w:val="left" w:pos="3060"/>
              </w:tabs>
              <w:kinsoku/>
              <w:wordWrap/>
              <w:overflowPunct/>
              <w:topLinePunct w:val="0"/>
              <w:bidi w:val="0"/>
              <w:snapToGrid w:val="0"/>
              <w:spacing w:line="3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第二个信封（报价文件）评审标准：</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（1）投标文件按照招标文件规定的格式、内容填写，字迹清晰可辨：</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a.投标函按招标文件规定填报了项目名称、补遗书编号（如有）、投标价（包括大写金额和小写金额）；</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b.已标价工程量清单说明文字与招标文件规定一致，未进行实质性修改和删减；</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c.投标</w:t>
            </w:r>
            <w:r>
              <w:rPr>
                <w:rFonts w:hint="eastAsia" w:ascii="宋体" w:hAnsi="宋体" w:eastAsia="宋体" w:cs="宋体"/>
                <w:sz w:val="21"/>
                <w:szCs w:val="21"/>
                <w:highlight w:val="none"/>
              </w:rPr>
              <w:t>文件</w:t>
            </w:r>
            <w:r>
              <w:rPr>
                <w:rFonts w:hint="eastAsia" w:ascii="宋体" w:hAnsi="宋体" w:eastAsia="宋体" w:cs="宋体"/>
                <w:bCs/>
                <w:sz w:val="21"/>
                <w:szCs w:val="21"/>
                <w:highlight w:val="none"/>
              </w:rPr>
              <w:t>组成齐全完整，内容均按规定填写。</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sz w:val="21"/>
                <w:szCs w:val="21"/>
                <w:highlight w:val="none"/>
              </w:rPr>
              <w:t>投标文件上法定代表人或其授权代理人的签字、投标人的单位章盖章齐全，符合招标文件规定</w:t>
            </w:r>
            <w:r>
              <w:rPr>
                <w:rFonts w:hint="eastAsia" w:ascii="宋体" w:hAnsi="宋体" w:eastAsia="宋体" w:cs="宋体"/>
                <w:bCs/>
                <w:sz w:val="21"/>
                <w:szCs w:val="21"/>
                <w:highlight w:val="none"/>
              </w:rPr>
              <w:t>。</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（3）投标报价未超过招标文件设定的最高投标限价</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分项最高限价</w:t>
            </w:r>
            <w:r>
              <w:rPr>
                <w:rFonts w:hint="eastAsia" w:ascii="宋体" w:hAnsi="宋体" w:eastAsia="宋体" w:cs="宋体"/>
                <w:bCs/>
                <w:sz w:val="21"/>
                <w:szCs w:val="21"/>
                <w:highlight w:val="none"/>
              </w:rPr>
              <w:t>。</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w:t>
            </w:r>
            <w:r>
              <w:rPr>
                <w:rFonts w:hint="eastAsia" w:ascii="宋体" w:hAnsi="宋体" w:eastAsia="宋体" w:cs="宋体"/>
                <w:sz w:val="21"/>
                <w:szCs w:val="21"/>
                <w:highlight w:val="none"/>
              </w:rPr>
              <w:t>报价</w:t>
            </w:r>
            <w:r>
              <w:rPr>
                <w:rFonts w:hint="eastAsia" w:ascii="宋体" w:hAnsi="宋体" w:eastAsia="宋体" w:cs="宋体"/>
                <w:bCs/>
                <w:sz w:val="21"/>
                <w:szCs w:val="21"/>
                <w:highlight w:val="none"/>
              </w:rPr>
              <w:t>的大写金额能够确定具体数值。</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（5）同一</w:t>
            </w:r>
            <w:r>
              <w:rPr>
                <w:rFonts w:hint="eastAsia" w:ascii="宋体" w:hAnsi="宋体" w:eastAsia="宋体" w:cs="宋体"/>
                <w:sz w:val="21"/>
                <w:szCs w:val="21"/>
                <w:highlight w:val="none"/>
              </w:rPr>
              <w:t>投标人</w:t>
            </w:r>
            <w:r>
              <w:rPr>
                <w:rFonts w:hint="eastAsia" w:ascii="宋体" w:hAnsi="宋体" w:eastAsia="宋体" w:cs="宋体"/>
                <w:bCs/>
                <w:sz w:val="21"/>
                <w:szCs w:val="21"/>
                <w:highlight w:val="none"/>
              </w:rPr>
              <w:t>未提交两个以上不同的投标报价。</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（6）投标人未提交调价函。</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bCs/>
                <w:szCs w:val="21"/>
                <w:highlight w:val="none"/>
              </w:rPr>
              <w:t>（</w:t>
            </w:r>
            <w:r>
              <w:rPr>
                <w:rFonts w:hint="eastAsia" w:ascii="宋体" w:hAnsi="宋体" w:eastAsia="宋体"/>
                <w:bCs/>
                <w:szCs w:val="21"/>
                <w:highlight w:val="none"/>
                <w:lang w:val="en-US" w:eastAsia="zh-CN"/>
              </w:rPr>
              <w:t>7</w:t>
            </w:r>
            <w:r>
              <w:rPr>
                <w:rFonts w:hint="eastAsia" w:ascii="宋体" w:hAnsi="宋体" w:eastAsia="宋体"/>
                <w:bCs/>
                <w:szCs w:val="21"/>
                <w:highlight w:val="none"/>
              </w:rPr>
              <w:t>）</w:t>
            </w:r>
            <w:r>
              <w:rPr>
                <w:rFonts w:hint="eastAsia" w:ascii="宋体" w:hAnsi="宋体" w:eastAsia="宋体"/>
                <w:szCs w:val="21"/>
                <w:highlight w:val="none"/>
              </w:rPr>
              <w:t>投标人填写完毕的工程量清单未对招标人提供的工程量固化清单电子文件中的数据、格式和运算定义进行修改；工程量清单中的投标报价和投标函大写金额报价一致</w:t>
            </w:r>
            <w:r>
              <w:rPr>
                <w:rFonts w:hint="eastAsia" w:ascii="宋体" w:hAnsi="宋体" w:eastAsia="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1246"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tc>
        <w:tc>
          <w:tcPr>
            <w:tcW w:w="7106" w:type="dxa"/>
            <w:noWrap w:val="0"/>
            <w:vAlign w:val="center"/>
          </w:tcPr>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（1）投标</w:t>
            </w:r>
            <w:r>
              <w:rPr>
                <w:rFonts w:hint="eastAsia" w:ascii="宋体" w:hAnsi="宋体" w:eastAsia="宋体" w:cs="宋体"/>
                <w:bCs/>
                <w:sz w:val="21"/>
                <w:szCs w:val="21"/>
                <w:highlight w:val="none"/>
              </w:rPr>
              <w:t>人具备有效的营业执照、资质证书、安全生产许可证和基本账户开户许可证（或基本存款账户信息）。</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（2）投标人的资质等级符合招标文件规定。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（3）投标人的财务状况符合招标文件规定。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（4）投标人的业绩符合招标文件规定。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（5）投标人的信誉符合招标文件规定。</w:t>
            </w:r>
          </w:p>
          <w:p>
            <w:pPr>
              <w:keepNext w:val="0"/>
              <w:keepLines w:val="0"/>
              <w:pageBreakBefore w:val="0"/>
              <w:widowControl w:val="0"/>
              <w:kinsoku/>
              <w:wordWrap/>
              <w:overflowPunct/>
              <w:topLinePunct w:val="0"/>
              <w:bidi w:val="0"/>
              <w:snapToGrid w:val="0"/>
              <w:spacing w:line="300" w:lineRule="exact"/>
              <w:ind w:right="-63" w:rightChars="-30"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（6）投标人的项目经理</w:t>
            </w:r>
            <w:r>
              <w:rPr>
                <w:rFonts w:hint="eastAsia" w:ascii="宋体" w:hAnsi="宋体" w:eastAsia="宋体" w:cs="宋体"/>
                <w:sz w:val="21"/>
                <w:szCs w:val="21"/>
                <w:highlight w:val="none"/>
              </w:rPr>
              <w:t>（兼施工负责人）</w:t>
            </w:r>
            <w:r>
              <w:rPr>
                <w:rFonts w:hint="eastAsia" w:ascii="宋体" w:hAnsi="宋体" w:eastAsia="宋体" w:cs="宋体"/>
                <w:bCs/>
                <w:sz w:val="21"/>
                <w:szCs w:val="21"/>
                <w:highlight w:val="none"/>
              </w:rPr>
              <w:t>、项目总工、设计负责人符合招标文件规定。</w:t>
            </w:r>
          </w:p>
          <w:p>
            <w:pPr>
              <w:keepNext w:val="0"/>
              <w:keepLines w:val="0"/>
              <w:pageBreakBefore w:val="0"/>
              <w:widowControl w:val="0"/>
              <w:kinsoku/>
              <w:wordWrap/>
              <w:overflowPunct/>
              <w:topLinePunct w:val="0"/>
              <w:bidi w:val="0"/>
              <w:snapToGrid w:val="0"/>
              <w:spacing w:line="300" w:lineRule="exact"/>
              <w:ind w:right="-59" w:rightChars="-28"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（7）投标人不存在第二章“投标人须知”第 1.4.3 项、第 1.4.4项、第 1.4.5 项规定的任何一种情形。</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（8）投标人符合第二章“投标人须知”第1.4.6项规定。</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（9）以联合体形式参与投标的，联合体各方均未再以自己名义单独或参加其他联合体的投标</w:t>
            </w:r>
            <w:r>
              <w:rPr>
                <w:rFonts w:hint="eastAsia" w:ascii="宋体" w:hAnsi="宋体" w:eastAsia="宋体" w:cs="宋体"/>
                <w:sz w:val="21"/>
                <w:szCs w:val="21"/>
                <w:highlight w:val="none"/>
              </w:rPr>
              <w:t>；独立参与投标的，投标人未同时参加联合体的投标。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1246"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分值构成（总分值100分）</w:t>
            </w:r>
          </w:p>
        </w:tc>
        <w:tc>
          <w:tcPr>
            <w:tcW w:w="7106" w:type="dxa"/>
            <w:noWrap w:val="0"/>
            <w:vAlign w:val="center"/>
          </w:tcPr>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本款修改为：</w:t>
            </w:r>
          </w:p>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第一个信封（商务及技术文件）评分分值构成：</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（1）承包人建议书（暗标）：20分</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（2）资信业绩部分：10分</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（3）承包人实施方案（暗标）：20分</w:t>
            </w:r>
          </w:p>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第二个信封（报价文件）评分分值构成：</w:t>
            </w:r>
          </w:p>
          <w:p>
            <w:pPr>
              <w:keepNext w:val="0"/>
              <w:keepLines w:val="0"/>
              <w:pageBreakBefore w:val="0"/>
              <w:widowControl w:val="0"/>
              <w:kinsoku/>
              <w:wordWrap/>
              <w:overflowPunct/>
              <w:topLinePunct w:val="0"/>
              <w:bidi w:val="0"/>
              <w:snapToGrid w:val="0"/>
              <w:spacing w:line="300" w:lineRule="exact"/>
              <w:ind w:firstLine="386" w:firstLineChars="184"/>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（4）评标价：50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2" w:hRule="atLeast"/>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1246" w:type="dxa"/>
            <w:noWrap w:val="0"/>
            <w:vAlign w:val="center"/>
          </w:tcPr>
          <w:p>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7106" w:type="dxa"/>
            <w:noWrap w:val="0"/>
            <w:vAlign w:val="center"/>
          </w:tcPr>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在第二个信封开标现场，招标人将按照第一信封开标现场抽取的评标基准价的计算方法当场计算并宣布评标基准价。</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（1）评标价的确定：评标价＝投标函文字报价</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除按第二章“投标人须知”第5.2.3项规定开标现场被宣布为不进入评标基准价计算的投标报价</w:t>
            </w:r>
            <w:r>
              <w:rPr>
                <w:rFonts w:hint="eastAsia" w:ascii="宋体" w:hAnsi="宋体" w:eastAsia="宋体" w:cs="宋体"/>
                <w:sz w:val="21"/>
                <w:szCs w:val="21"/>
                <w:highlight w:val="none"/>
                <w:lang w:val="en-US" w:eastAsia="zh-CN"/>
              </w:rPr>
              <w:t>之外</w:t>
            </w:r>
            <w:r>
              <w:rPr>
                <w:rFonts w:hint="eastAsia" w:ascii="宋体" w:hAnsi="宋体" w:eastAsia="宋体" w:cs="宋体"/>
                <w:sz w:val="21"/>
                <w:szCs w:val="21"/>
                <w:highlight w:val="none"/>
              </w:rPr>
              <w:t>，所有投标人的评标价去掉n1个最高评标价和n2个最低评标价后的算术平均值即为评标价平均值（评标价平均值保留小数点后两位，小数点后第三位四舍五入）：</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如果参与评标价平均值计算的投标人数量＜6家时，n1=0，n2=0；</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6家≤参与评标价平均值计算的投标人数量＜10家时，n1=1，n2=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10家≤参与评标价平均值计算的投标人数量＜20家时，n1=2，n2=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20家≤参与评标价平均值计算的投标人数量＜30家时，n1=3，n2=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p>
          <w:p>
            <w:pPr>
              <w:pStyle w:val="4"/>
              <w:keepNext w:val="0"/>
              <w:keepLines w:val="0"/>
              <w:pageBreakBefore w:val="0"/>
              <w:widowControl w:val="0"/>
              <w:kinsoku/>
              <w:wordWrap/>
              <w:overflowPunct/>
              <w:topLinePunct w:val="0"/>
              <w:bidi w:val="0"/>
              <w:snapToGrid w:val="0"/>
              <w:spacing w:after="0"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30家≤参与评标价平均值计算的投标人数量＜50家时，n1=4，n2=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参与评标价平均值计算的投标人数量≥50家时，n1=5，n2=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采取随机抽取的方式从下列方法中确定评标基准价的计算方法：</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方法一：评标价平均值</w:t>
            </w:r>
            <w:r>
              <w:rPr>
                <w:rFonts w:hint="eastAsia" w:ascii="宋体" w:hAnsi="宋体" w:eastAsia="宋体" w:cs="宋体"/>
                <w:sz w:val="21"/>
                <w:szCs w:val="21"/>
                <w:highlight w:val="none"/>
                <w:lang w:val="en-US" w:eastAsia="zh-CN"/>
              </w:rPr>
              <w:t>直接</w:t>
            </w:r>
            <w:r>
              <w:rPr>
                <w:rFonts w:hint="eastAsia" w:ascii="宋体" w:hAnsi="宋体" w:eastAsia="宋体" w:cs="宋体"/>
                <w:sz w:val="21"/>
                <w:szCs w:val="21"/>
                <w:highlight w:val="none"/>
                <w:lang w:val="zh-CN"/>
              </w:rPr>
              <w:t>作为评标基准价 P。</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方法二：评标价平均值乘以评标基准价系数 K，作为评标基准价 P。招标人设置评标基准价系数 K（取 </w:t>
            </w:r>
            <w:r>
              <w:rPr>
                <w:rFonts w:hint="eastAsia" w:ascii="宋体" w:hAnsi="宋体" w:eastAsia="宋体" w:cs="宋体"/>
                <w:sz w:val="21"/>
                <w:szCs w:val="21"/>
                <w:highlight w:val="none"/>
                <w:lang w:val="en-US" w:eastAsia="zh-CN"/>
              </w:rPr>
              <w:t>0.975、</w:t>
            </w:r>
            <w:r>
              <w:rPr>
                <w:rFonts w:hint="eastAsia" w:ascii="宋体" w:hAnsi="宋体" w:eastAsia="宋体" w:cs="宋体"/>
                <w:sz w:val="21"/>
                <w:szCs w:val="21"/>
                <w:highlight w:val="none"/>
                <w:lang w:val="zh-CN"/>
              </w:rPr>
              <w:t>0.98、0.985、0.99、0.995， 共 5 个数值）。在开标现场随机抽取确定。</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方法三：评标价平均值与投标人报价的中位数的平均值作为评标基准价。中位数：把所有评标价按高低排序后找出正中间的一个作为中位数。如果评标价有偶数个，取最中间的两个数值的平均值作为中位数（平均值均保留 2 位小数）。</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pageBreakBefore w:val="0"/>
              <w:widowControl w:val="0"/>
              <w:kinsoku/>
              <w:wordWrap/>
              <w:overflowPunct/>
              <w:topLinePunct w:val="0"/>
              <w:bidi w:val="0"/>
              <w:snapToGrid w:val="0"/>
              <w:spacing w:line="300" w:lineRule="exact"/>
              <w:ind w:firstLine="404" w:firstLineChars="200"/>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2.2.3</w:t>
            </w:r>
          </w:p>
        </w:tc>
        <w:tc>
          <w:tcPr>
            <w:tcW w:w="1246"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7106" w:type="dxa"/>
            <w:noWrap w:val="0"/>
            <w:vAlign w:val="center"/>
          </w:tcPr>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tc>
        <w:tc>
          <w:tcPr>
            <w:tcW w:w="1246" w:type="dxa"/>
            <w:noWrap w:val="0"/>
            <w:vAlign w:val="center"/>
          </w:tcPr>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7106" w:type="dxa"/>
            <w:noWrap w:val="0"/>
            <w:vAlign w:val="center"/>
          </w:tcPr>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（1）承包人建议书标准：见本表后具体评分标准；</w:t>
            </w:r>
          </w:p>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（2）资信业绩部分标准：见本表后具体评分标准；</w:t>
            </w:r>
          </w:p>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（3）承包人实施方案标准：见本表后具体评分标准；</w:t>
            </w:r>
          </w:p>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246" w:type="dxa"/>
            <w:noWrap w:val="0"/>
            <w:vAlign w:val="center"/>
          </w:tcPr>
          <w:p>
            <w:pPr>
              <w:keepNext w:val="0"/>
              <w:keepLines w:val="0"/>
              <w:pageBreakBefore w:val="0"/>
              <w:widowControl w:val="0"/>
              <w:kinsoku/>
              <w:wordWrap/>
              <w:overflowPunct/>
              <w:topLinePunct w:val="0"/>
              <w:bidi w:val="0"/>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评标程序</w:t>
            </w:r>
          </w:p>
        </w:tc>
        <w:tc>
          <w:tcPr>
            <w:tcW w:w="7106" w:type="dxa"/>
            <w:noWrap w:val="0"/>
            <w:vAlign w:val="center"/>
          </w:tcPr>
          <w:p>
            <w:pPr>
              <w:keepNext w:val="0"/>
              <w:keepLines w:val="0"/>
              <w:pageBreakBefore w:val="0"/>
              <w:widowControl w:val="0"/>
              <w:tabs>
                <w:tab w:val="left" w:pos="3060"/>
              </w:tabs>
              <w:kinsoku/>
              <w:wordWrap/>
              <w:overflowPunct/>
              <w:topLinePunct w:val="0"/>
              <w:bidi w:val="0"/>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本款修改为：</w:t>
            </w:r>
          </w:p>
          <w:p>
            <w:pPr>
              <w:keepNext w:val="0"/>
              <w:keepLines w:val="0"/>
              <w:pageBreakBefore w:val="0"/>
              <w:widowControl w:val="0"/>
              <w:kinsoku/>
              <w:wordWrap/>
              <w:overflowPunct/>
              <w:topLinePunct w:val="0"/>
              <w:bidi w:val="0"/>
              <w:snapToGrid w:val="0"/>
              <w:spacing w:line="3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 评标程序</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3.1 第一个信封初步评审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3.2 第一个信封详细评审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3.2.1 评标委员会按本章第 2.2 款规定的量化因素和分值进行打分，并计算出各投标人的商务和技术得分。</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（1）按本章第2.2.4（1）目规定的评审因素和分值对承包人建议书计算出得分A；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（2）按本章第2.2.4（2）目规定的评审因素和分值对资信业绩部分计算出得分B；</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（3）按本章第2.2.4（3）目规定的评审因素和分值对承包人实施方案计算出得分C；</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3.2.2 投标人的商务和技术得分分值计算保留小数点后两位，小数点后第三位 “四舍五入”。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3.2.3 投标人的商务和技术得分= A+B+C。</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3.3 第二个信封开标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3.4 第二个信封初步评审</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3.4.1 评标委员会依据本章第 2.1.1 项、第 2.1.3 项规定的评审标准对投标文件第二个信封（报价文件）进行初步评审。有一项不符合评审标准的，评标委员会应否决其投标。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3.4.2 投标报价有算术错误的，评标委员会按以下原则对投标报价进行修正，修正的价格经投标人书面确认后具有约束力。投标人不接受修正价格的，评标委员会应否决其投标。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（1）投标文件中的大写金额与小写金额不一致的，以大写金额为准。</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3.4.3修正后的最终投标报价若超过最高投标限价，评标委员会应否决其投标。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3.4.4修正后的最终投标报价仅作为签订合同的一个依据，不参与评标价得分的计算。</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3.5 第二个信封详细评审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3.5.1 评标委员会按本章第 2.2.4（4）目规定的评审因素和分值对评标价计算出得分D。评标价得分分值计算保留小数点后两位，小数点后第三位“四舍五入”。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3.5.2 投标人综合得分=投标人的商务和技术得分+D。 </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3.6 投标文件相关信息的核查</w:t>
            </w:r>
          </w:p>
          <w:p>
            <w:pPr>
              <w:keepNext w:val="0"/>
              <w:keepLines w:val="0"/>
              <w:pageBreakBefore w:val="0"/>
              <w:widowControl w:val="0"/>
              <w:kinsoku/>
              <w:wordWrap/>
              <w:overflowPunct/>
              <w:topLinePunct w:val="0"/>
              <w:autoSpaceDE w:val="0"/>
              <w:autoSpaceDN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3.6.1</w:t>
            </w:r>
            <w:r>
              <w:rPr>
                <w:rFonts w:hint="eastAsia" w:ascii="宋体" w:hAnsi="宋体" w:eastAsia="宋体" w:cs="宋体"/>
                <w:b/>
                <w:sz w:val="21"/>
                <w:szCs w:val="21"/>
                <w:highlight w:val="none"/>
              </w:rPr>
              <w:t>在评标过程中，评标委员会应对投标人以下信息进行查询：</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val="0"/>
              <w:autoSpaceDN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（1）投标人名称和资质与“全国公路建设市场监督管理系统 (https://hwdms.mot.gov.cn/)”的复核结果一致（设计综合资质除外）； </w:t>
            </w:r>
          </w:p>
          <w:p>
            <w:pPr>
              <w:keepNext w:val="0"/>
              <w:keepLines w:val="0"/>
              <w:pageBreakBefore w:val="0"/>
              <w:widowControl w:val="0"/>
              <w:kinsoku/>
              <w:wordWrap/>
              <w:overflowPunct/>
              <w:topLinePunct w:val="0"/>
              <w:autoSpaceDE w:val="0"/>
              <w:autoSpaceDN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）所附项目经理（兼施工负责人）一级注册建造师信息的网页截图复印件与“全国建筑市场监管公共服务平台（http://jzsc.mohurd.gov.cn/） ”核查的结果一致，并满足招标文件资格审查条件要求。项目经理（兼施工负责人）的一级建造师注册证书的注册单位名称必须与投标人名称一致；</w:t>
            </w:r>
          </w:p>
          <w:p>
            <w:pPr>
              <w:keepNext w:val="0"/>
              <w:keepLines w:val="0"/>
              <w:pageBreakBefore w:val="0"/>
              <w:widowControl w:val="0"/>
              <w:kinsoku/>
              <w:wordWrap/>
              <w:overflowPunct/>
              <w:topLinePunct w:val="0"/>
              <w:autoSpaceDE w:val="0"/>
              <w:autoSpaceDN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所附项目经理（兼施工负责人）的安全生产考核合格证的网页截图复印件与“交通运输部公路水运工程企业负责人和安全生产管理人员信息公共平台查询网站（http://219.143.235.78:8080/khglui/） ”</w:t>
            </w:r>
            <w:r>
              <w:rPr>
                <w:rFonts w:hint="eastAsia" w:ascii="宋体" w:hAnsi="宋体"/>
                <w:color w:val="auto"/>
                <w:highlight w:val="none"/>
                <w:lang w:val="en-US" w:eastAsia="zh-CN"/>
              </w:rPr>
              <w:t>或“交通运输工程施工单位安管人员安全生产考核管理系统公共查询平台”</w:t>
            </w:r>
            <w:r>
              <w:rPr>
                <w:rFonts w:hint="eastAsia" w:ascii="宋体" w:hAnsi="宋体" w:eastAsia="宋体" w:cs="宋体"/>
                <w:sz w:val="21"/>
                <w:szCs w:val="21"/>
                <w:highlight w:val="none"/>
              </w:rPr>
              <w:t xml:space="preserve"> 核查的结果一致，并满足招标文件资格审查条件要求。项目经理（兼施工负责人）的安全生产考核合格证的登记单位名称必须与投标人名称一致；</w:t>
            </w:r>
          </w:p>
          <w:p>
            <w:pPr>
              <w:keepNext w:val="0"/>
              <w:keepLines w:val="0"/>
              <w:pageBreakBefore w:val="0"/>
              <w:widowControl w:val="0"/>
              <w:kinsoku/>
              <w:wordWrap/>
              <w:overflowPunct/>
              <w:topLinePunct w:val="0"/>
              <w:autoSpaceDE w:val="0"/>
              <w:autoSpaceDN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信用情况网页截图内容与在“国家企业信用信息公示系统”中严重违法失信名单（黑名单）（不含分公司）和在“信用中国”网站“中失信被执行人、经营(活动)异常名录、重大税收违法失信主体、政府采购严重违法失信行为记录名单和安全生产严重失信主体名单的投标人（均不含分公司）的复核结果一致。</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前述（1）、（2）、（3）项如投标人未提供相关网页截图或所附截图与复核结果不一致导致其不满足资格条件，评标委员会应按照其不满足资格条件否决其投标。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）评标委员会在评标时按照投标人提供的验证方式对电子保证保险或电子保函进行验证。如投标人未提供电子保证保险或电子保函在线验证方式，或根据提供的验证方式无法核实的，评标委员会应否决其投标。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（1）有下列情形之一的，属于投标人相互串通投标：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a.投标人之间协商投标报价等投标文件的实质性内容；</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b.投标人之间约定中标人；</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c.投标人之间约定部分投标人放弃投标或中标；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d.属于同一集团、协会、商会等组织成员的投标人按照该组织要求协同投标；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e.投标人之间为谋取中标或排斥特定投标人而采取的其他联合行动。</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（2）有下列情形之一的，视为投标人相互串通投标：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a.不同投标人的投标文件由同一单位或个人编制；</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b.不同投标人委托同一单位或个人办理投标事宜；</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c.不同投标人的投标文件载明的项目管理成员为同一人；</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d.不同投标人的投标文件异常一致或投标报价呈规律性差异；</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e.不同投标人的投标文件相互混装；</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f.不同投标人的投标保证金从同一单位或个人的账户转出；</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（3）有下列情形之一的，属于招标人与投标人串通投标：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a.招标人在开标前开启投标文件并将有关信息泄露给其他投标人;</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b.招标人直接或间接向投标人泄露标底、评标委员会成员等信息；</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c.招标人明示或暗示投标人压低或抬高投标报价；</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d.招标人授意投标人撤换、修改投标文件；</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e.招标人明示或暗示投标人为特定投标人中标提供方便；</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f.招标人与投标人为谋求特定投标人中标而采取的其他串通行为。</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（4）投标人有下列情形之一的，属于弄虚作假的行为：</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a.使用通过受让或租借等方式获取的资格、资质证书投标；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b.使用伪造、变造的许可证件；</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c.提供虚假的财务状况或业绩；</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d.提供虚假的项目负责人或主要技术人员简历、劳动关系证明；</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e.提供虚假的信用状况；</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f.其他弄虚作假的行为。</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3.7 投标文件的澄清和说明</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3.7.2 澄清和说明不得超出投标文件的范围或改变投标文件的实质性内容。投标人的书面澄清、说明属于投标文件的组成部分。</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3.7.3 评标委员会不得暗示或诱导投标人作出澄清、说明，对投标人提交的澄清、说明有疑问的，可以要求投标人进一步澄清或说明，直至满足评标委员会的要求。</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3.7.4 凡超出招标文件规定的或给发包人带来未曾要求的利益的变化、偏差或其他因素在评标时不予考虑。</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3.8不得否决投标的情形</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投标文件存在第二章“投标人须知”第 1.12.3 项所列情形的，均视为细微偏差，评标委员会不得否决投标人的投标，应按照第二章“投标人须知”第 1.12.4 项规定的原则处理。</w:t>
            </w:r>
          </w:p>
          <w:p>
            <w:pPr>
              <w:keepNext w:val="0"/>
              <w:keepLines w:val="0"/>
              <w:pageBreakBefore w:val="0"/>
              <w:widowControl w:val="0"/>
              <w:kinsoku/>
              <w:wordWrap/>
              <w:overflowPunct/>
              <w:topLinePunct w:val="0"/>
              <w:bidi w:val="0"/>
              <w:snapToGrid w:val="0"/>
              <w:spacing w:line="30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3.9 评标结果</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3.9.1评标委员会按照综合得分由高到低的顺序推荐中标候选人，并标明排序。</w:t>
            </w:r>
          </w:p>
          <w:p>
            <w:pPr>
              <w:keepNext w:val="0"/>
              <w:keepLines w:val="0"/>
              <w:pageBreakBefore w:val="0"/>
              <w:widowControl w:val="0"/>
              <w:kinsoku/>
              <w:wordWrap/>
              <w:overflowPunct/>
              <w:topLinePunct w:val="0"/>
              <w:bidi w:val="0"/>
              <w:snapToGrid w:val="0"/>
              <w:spacing w:line="3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3.9.2 评标委员会完成评标后，应向招标人提交书面评标报告。</w:t>
            </w:r>
          </w:p>
        </w:tc>
      </w:tr>
    </w:tbl>
    <w:p>
      <w:pPr>
        <w:spacing w:line="320" w:lineRule="exact"/>
        <w:jc w:val="left"/>
        <w:rPr>
          <w:rFonts w:ascii="宋体" w:hAnsi="宋体"/>
          <w:sz w:val="24"/>
          <w:highlight w:val="none"/>
        </w:rPr>
      </w:pPr>
    </w:p>
    <w:p>
      <w:pPr>
        <w:widowControl/>
        <w:jc w:val="left"/>
        <w:rPr>
          <w:rFonts w:hint="eastAsia" w:ascii="宋体" w:hAnsi="宋体"/>
          <w:szCs w:val="21"/>
          <w:highlight w:val="none"/>
        </w:rPr>
      </w:pPr>
    </w:p>
    <w:p>
      <w:pPr>
        <w:widowControl/>
        <w:jc w:val="left"/>
        <w:rPr>
          <w:rFonts w:hint="eastAsia" w:ascii="宋体" w:hAnsi="宋体"/>
          <w:szCs w:val="21"/>
          <w:highlight w:val="none"/>
        </w:rPr>
      </w:pPr>
    </w:p>
    <w:p>
      <w:pPr>
        <w:widowControl/>
        <w:jc w:val="left"/>
        <w:rPr>
          <w:rFonts w:hint="eastAsia" w:ascii="宋体" w:hAnsi="宋体"/>
          <w:szCs w:val="21"/>
          <w:highlight w:val="none"/>
        </w:rPr>
      </w:pPr>
    </w:p>
    <w:p>
      <w:pPr>
        <w:widowControl/>
        <w:jc w:val="left"/>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具体评分标准如下：</w:t>
      </w:r>
    </w:p>
    <w:tbl>
      <w:tblPr>
        <w:tblStyle w:val="7"/>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00"/>
        <w:gridCol w:w="691"/>
        <w:gridCol w:w="800"/>
        <w:gridCol w:w="992"/>
        <w:gridCol w:w="700"/>
        <w:gridCol w:w="4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4948" w:type="dxa"/>
            <w:gridSpan w:val="6"/>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4679"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65"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0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91"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792" w:type="dxa"/>
            <w:gridSpan w:val="2"/>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mallCaps/>
                <w:sz w:val="21"/>
                <w:szCs w:val="21"/>
                <w:highlight w:val="none"/>
              </w:rPr>
              <w:t>各评分因素细分项</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4679"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765"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1000"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承包人建议书（暗标）</w:t>
            </w:r>
          </w:p>
        </w:tc>
        <w:tc>
          <w:tcPr>
            <w:tcW w:w="691"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1792" w:type="dxa"/>
            <w:gridSpan w:val="2"/>
            <w:noWrap w:val="0"/>
            <w:vAlign w:val="center"/>
          </w:tcPr>
          <w:p>
            <w:pPr>
              <w:keepNext w:val="0"/>
              <w:keepLines w:val="0"/>
              <w:pageBreakBefore w:val="0"/>
              <w:kinsoku/>
              <w:wordWrap/>
              <w:overflowPunct/>
              <w:topLinePunct w:val="0"/>
              <w:bidi w:val="0"/>
              <w:adjustRightInd/>
              <w:snapToGrid w:val="0"/>
              <w:spacing w:line="300" w:lineRule="exact"/>
              <w:ind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对项目的理解和总体设计思路</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c>
          <w:tcPr>
            <w:tcW w:w="4679" w:type="dxa"/>
            <w:noWrap w:val="0"/>
            <w:vAlign w:val="center"/>
          </w:tcPr>
          <w:p>
            <w:pPr>
              <w:keepNext w:val="0"/>
              <w:keepLines w:val="0"/>
              <w:pageBreakBefore w:val="0"/>
              <w:kinsoku/>
              <w:wordWrap/>
              <w:overflowPunct/>
              <w:topLinePunct w:val="0"/>
              <w:bidi w:val="0"/>
              <w:adjustRightInd/>
              <w:snapToGrid w:val="0"/>
              <w:spacing w:line="300" w:lineRule="exact"/>
              <w:ind w:right="-105" w:righ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对招标项目的总体设计理解准确，思路与</w:t>
            </w:r>
            <w:r>
              <w:rPr>
                <w:rFonts w:hint="eastAsia" w:ascii="宋体" w:hAnsi="宋体" w:eastAsia="宋体" w:cs="宋体"/>
                <w:sz w:val="21"/>
                <w:szCs w:val="21"/>
                <w:highlight w:val="none"/>
                <w:lang w:eastAsia="zh-CN"/>
              </w:rPr>
              <w:t>工可方案</w:t>
            </w:r>
            <w:r>
              <w:rPr>
                <w:rFonts w:hint="eastAsia" w:ascii="宋体" w:hAnsi="宋体" w:eastAsia="宋体" w:cs="宋体"/>
                <w:sz w:val="21"/>
                <w:szCs w:val="21"/>
                <w:highlight w:val="none"/>
              </w:rPr>
              <w:t>的设计理念、思路高度吻合，得</w:t>
            </w: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（不含）－</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p>
          <w:p>
            <w:pPr>
              <w:keepNext w:val="0"/>
              <w:keepLines w:val="0"/>
              <w:pageBreakBefore w:val="0"/>
              <w:kinsoku/>
              <w:wordWrap/>
              <w:overflowPunct/>
              <w:topLinePunct w:val="0"/>
              <w:bidi w:val="0"/>
              <w:adjustRightInd/>
              <w:snapToGrid w:val="0"/>
              <w:spacing w:line="300" w:lineRule="exact"/>
              <w:ind w:right="-105" w:righ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对招标项目的总体设计理解较准确，思路与</w:t>
            </w:r>
            <w:r>
              <w:rPr>
                <w:rFonts w:hint="eastAsia" w:ascii="宋体" w:hAnsi="宋体" w:eastAsia="宋体" w:cs="宋体"/>
                <w:sz w:val="21"/>
                <w:szCs w:val="21"/>
                <w:highlight w:val="none"/>
                <w:lang w:eastAsia="zh-CN"/>
              </w:rPr>
              <w:t>工可方案</w:t>
            </w:r>
            <w:r>
              <w:rPr>
                <w:rFonts w:hint="eastAsia" w:ascii="宋体" w:hAnsi="宋体" w:eastAsia="宋体" w:cs="宋体"/>
                <w:sz w:val="21"/>
                <w:szCs w:val="21"/>
                <w:highlight w:val="none"/>
              </w:rPr>
              <w:t>的设计理念、思路吻合，得</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（不含）－</w:t>
            </w: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（含）分；</w:t>
            </w:r>
          </w:p>
          <w:p>
            <w:pPr>
              <w:keepNext w:val="0"/>
              <w:keepLines w:val="0"/>
              <w:pageBreakBefore w:val="0"/>
              <w:kinsoku/>
              <w:wordWrap/>
              <w:overflowPunct/>
              <w:topLinePunct w:val="0"/>
              <w:bidi w:val="0"/>
              <w:adjustRightInd/>
              <w:snapToGrid w:val="0"/>
              <w:spacing w:line="300" w:lineRule="exact"/>
              <w:ind w:right="-105" w:righ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对招标项目的总体设计理解一般，思路与</w:t>
            </w:r>
            <w:r>
              <w:rPr>
                <w:rFonts w:hint="eastAsia" w:ascii="宋体" w:hAnsi="宋体" w:eastAsia="宋体" w:cs="宋体"/>
                <w:sz w:val="21"/>
                <w:szCs w:val="21"/>
                <w:highlight w:val="none"/>
                <w:lang w:eastAsia="zh-CN"/>
              </w:rPr>
              <w:t>工可方案</w:t>
            </w:r>
            <w:r>
              <w:rPr>
                <w:rFonts w:hint="eastAsia" w:ascii="宋体" w:hAnsi="宋体" w:eastAsia="宋体" w:cs="宋体"/>
                <w:sz w:val="21"/>
                <w:szCs w:val="21"/>
                <w:highlight w:val="none"/>
              </w:rPr>
              <w:t>的设计理念、思路基本吻合，得</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765" w:type="dxa"/>
            <w:vMerge w:val="continue"/>
            <w:noWrap w:val="0"/>
            <w:vAlign w:val="center"/>
          </w:tcPr>
          <w:p>
            <w:pPr>
              <w:pStyle w:val="3"/>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pStyle w:val="3"/>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792" w:type="dxa"/>
            <w:gridSpan w:val="2"/>
            <w:noWrap w:val="0"/>
            <w:vAlign w:val="center"/>
          </w:tcPr>
          <w:p>
            <w:pPr>
              <w:keepNext w:val="0"/>
              <w:keepLines w:val="0"/>
              <w:pageBreakBefore w:val="0"/>
              <w:kinsoku/>
              <w:wordWrap/>
              <w:overflowPunct/>
              <w:topLinePunct w:val="0"/>
              <w:bidi w:val="0"/>
              <w:adjustRightInd/>
              <w:snapToGrid w:val="0"/>
              <w:spacing w:line="300" w:lineRule="exact"/>
              <w:ind w:right="-105" w:rightChars="-50"/>
              <w:jc w:val="both"/>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施工图设计方案</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4679" w:type="dxa"/>
            <w:noWrap w:val="0"/>
            <w:vAlign w:val="center"/>
          </w:tcPr>
          <w:p>
            <w:pPr>
              <w:keepNext w:val="0"/>
              <w:keepLines w:val="0"/>
              <w:pageBreakBefore w:val="0"/>
              <w:kinsoku/>
              <w:wordWrap/>
              <w:overflowPunct/>
              <w:topLinePunct w:val="0"/>
              <w:bidi w:val="0"/>
              <w:adjustRightInd/>
              <w:snapToGrid w:val="0"/>
              <w:spacing w:line="300" w:lineRule="exact"/>
              <w:ind w:right="-105" w:righ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总体设计方案优，适合现场条件、满足施工要求、总体布局科学合理，得8.0（不含）-10.0分；</w:t>
            </w:r>
          </w:p>
          <w:p>
            <w:pPr>
              <w:keepNext w:val="0"/>
              <w:keepLines w:val="0"/>
              <w:pageBreakBefore w:val="0"/>
              <w:kinsoku/>
              <w:wordWrap/>
              <w:overflowPunct/>
              <w:topLinePunct w:val="0"/>
              <w:bidi w:val="0"/>
              <w:adjustRightInd/>
              <w:snapToGrid w:val="0"/>
              <w:spacing w:line="300" w:lineRule="exact"/>
              <w:ind w:right="-105" w:righ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总体设计方案较好，满足施工要求、总体布局合理，得6.0（不含）-8.0（含）分；</w:t>
            </w:r>
          </w:p>
          <w:p>
            <w:pPr>
              <w:keepNext w:val="0"/>
              <w:keepLines w:val="0"/>
              <w:pageBreakBefore w:val="0"/>
              <w:kinsoku/>
              <w:wordWrap/>
              <w:overflowPunct/>
              <w:topLinePunct w:val="0"/>
              <w:bidi w:val="0"/>
              <w:adjustRightInd/>
              <w:snapToGrid w:val="0"/>
              <w:spacing w:line="300" w:lineRule="exact"/>
              <w:ind w:right="-105" w:rightChars="-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总体设计方案一般，基本满足施工要求、总体布局基本合理，得6.0分。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65" w:type="dxa"/>
            <w:vMerge w:val="continue"/>
            <w:noWrap w:val="0"/>
            <w:vAlign w:val="center"/>
          </w:tcPr>
          <w:p>
            <w:pPr>
              <w:pStyle w:val="3"/>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pStyle w:val="3"/>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792" w:type="dxa"/>
            <w:gridSpan w:val="2"/>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128" w:right="12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设计质量保证措施</w:t>
            </w:r>
          </w:p>
        </w:tc>
        <w:tc>
          <w:tcPr>
            <w:tcW w:w="700" w:type="dxa"/>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Chars="-47" w:hanging="98" w:hangingChars="47"/>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4679" w:type="dxa"/>
            <w:noWrap w:val="0"/>
            <w:vAlign w:val="center"/>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保证措施具体、全面合理，得1.6（不含）-2.0分；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保证措施较具体、较合理，得1.2（不含）-1.6（含）分；</w:t>
            </w:r>
          </w:p>
          <w:p>
            <w:pPr>
              <w:keepNext w:val="0"/>
              <w:keepLines w:val="0"/>
              <w:pageBreakBefore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765" w:type="dxa"/>
            <w:vMerge w:val="continue"/>
            <w:noWrap w:val="0"/>
            <w:vAlign w:val="center"/>
          </w:tcPr>
          <w:p>
            <w:pPr>
              <w:pStyle w:val="3"/>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pStyle w:val="3"/>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792" w:type="dxa"/>
            <w:gridSpan w:val="2"/>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132" w:right="125"/>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设计进度计划保证措施</w:t>
            </w:r>
          </w:p>
        </w:tc>
        <w:tc>
          <w:tcPr>
            <w:tcW w:w="700" w:type="dxa"/>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Chars="-47" w:hanging="98" w:hangingChars="47"/>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4679" w:type="dxa"/>
            <w:noWrap w:val="0"/>
            <w:vAlign w:val="center"/>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保证措施具体、全面合理，得1.6（不含）-2.0分；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保证措施较具体、较合理，得1.2（不含）-1.6（含）分；</w:t>
            </w:r>
          </w:p>
          <w:p>
            <w:pPr>
              <w:keepNext w:val="0"/>
              <w:keepLines w:val="0"/>
              <w:pageBreakBefore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765" w:type="dxa"/>
            <w:vMerge w:val="continue"/>
            <w:noWrap w:val="0"/>
            <w:vAlign w:val="center"/>
          </w:tcPr>
          <w:p>
            <w:pPr>
              <w:pStyle w:val="3"/>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pStyle w:val="3"/>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792" w:type="dxa"/>
            <w:gridSpan w:val="2"/>
            <w:vMerge w:val="restart"/>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14" w:leftChars="-7" w:right="-105" w:hanging="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设计工作的重点、难点分析</w:t>
            </w:r>
          </w:p>
        </w:tc>
        <w:tc>
          <w:tcPr>
            <w:tcW w:w="700"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Chars="-47" w:hanging="98" w:hangingChars="47"/>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4679" w:type="dxa"/>
            <w:noWrap w:val="0"/>
            <w:vAlign w:val="center"/>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分析透彻，把握准确，可行性强，得1.6（不含）-2.0分；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分析较透彻，把握较准确，可行性较强，得1.2（不含）-1.6（含）分；</w:t>
            </w:r>
          </w:p>
          <w:p>
            <w:pPr>
              <w:keepNext w:val="0"/>
              <w:keepLines w:val="0"/>
              <w:pageBreakBefore w:val="0"/>
              <w:kinsoku/>
              <w:wordWrap/>
              <w:overflowPunct/>
              <w:topLinePunct w:val="0"/>
              <w:autoSpaceDE w:val="0"/>
              <w:autoSpaceDN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分析一般，可行性一般，得1.2分。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65"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1000"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资信</w:t>
            </w:r>
          </w:p>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691"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1792" w:type="dxa"/>
            <w:gridSpan w:val="2"/>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企业业绩</w:t>
            </w:r>
          </w:p>
        </w:tc>
        <w:tc>
          <w:tcPr>
            <w:tcW w:w="700"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4679" w:type="dxa"/>
            <w:noWrap w:val="0"/>
            <w:vAlign w:val="center"/>
          </w:tcPr>
          <w:p>
            <w:pPr>
              <w:keepNext w:val="0"/>
              <w:keepLines w:val="0"/>
              <w:pageBreakBefore w:val="0"/>
              <w:widowControl/>
              <w:kinsoku/>
              <w:wordWrap/>
              <w:overflowPunct/>
              <w:topLinePunct w:val="0"/>
              <w:bidi w:val="0"/>
              <w:adjustRightInd/>
              <w:snapToGrid w:val="0"/>
              <w:spacing w:line="3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满足资格审查条件业绩最低要求，得6分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65"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792" w:type="dxa"/>
            <w:gridSpan w:val="2"/>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700"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4679" w:type="dxa"/>
            <w:noWrap w:val="0"/>
            <w:vAlign w:val="center"/>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投标人每增加1项满足资格审查条件（业绩最低要求）的业绩（“1项”指一项设计业绩和一项施工业绩）加2分，最多加4分。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1000" w:type="dxa"/>
            <w:vMerge w:val="restart"/>
            <w:noWrap w:val="0"/>
            <w:vAlign w:val="center"/>
          </w:tcPr>
          <w:p>
            <w:pPr>
              <w:keepNext w:val="0"/>
              <w:keepLines w:val="0"/>
              <w:pageBreakBefore w:val="0"/>
              <w:kinsoku/>
              <w:wordWrap/>
              <w:overflowPunct/>
              <w:topLinePunct w:val="0"/>
              <w:bidi w:val="0"/>
              <w:adjustRightInd/>
              <w:snapToGrid w:val="0"/>
              <w:spacing w:line="300" w:lineRule="exact"/>
              <w:ind w:left="-78" w:leftChars="-37" w:right="-120" w:rightChars="-57"/>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承包人实施方案</w:t>
            </w:r>
          </w:p>
          <w:p>
            <w:pPr>
              <w:keepNext w:val="0"/>
              <w:keepLines w:val="0"/>
              <w:pageBreakBefore w:val="0"/>
              <w:kinsoku/>
              <w:wordWrap/>
              <w:overflowPunct/>
              <w:topLinePunct w:val="0"/>
              <w:bidi w:val="0"/>
              <w:adjustRightInd/>
              <w:snapToGrid w:val="0"/>
              <w:spacing w:line="300" w:lineRule="exact"/>
              <w:ind w:left="-78" w:leftChars="-37" w:right="-120" w:rightChars="-57"/>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（暗标）</w:t>
            </w:r>
          </w:p>
        </w:tc>
        <w:tc>
          <w:tcPr>
            <w:tcW w:w="691"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1792" w:type="dxa"/>
            <w:gridSpan w:val="2"/>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总承包管理</w:t>
            </w:r>
          </w:p>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c>
          <w:tcPr>
            <w:tcW w:w="4679" w:type="dxa"/>
            <w:noWrap w:val="0"/>
            <w:vAlign w:val="top"/>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内容完整，编制科学合理，可行性强，得</w:t>
            </w: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（不含）-</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内容较完整，编制较合理，可行性较强，得</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（不含）-</w:t>
            </w: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（含）分；</w:t>
            </w:r>
          </w:p>
          <w:p>
            <w:pPr>
              <w:keepNext w:val="0"/>
              <w:keepLines w:val="0"/>
              <w:pageBreakBefore w:val="0"/>
              <w:widowControl/>
              <w:kinsoku/>
              <w:wordWrap/>
              <w:overflowPunct/>
              <w:topLinePunct w:val="0"/>
              <w:bidi w:val="0"/>
              <w:adjustRightInd/>
              <w:snapToGrid w:val="0"/>
              <w:spacing w:line="3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内容基本完整，编制基本合理，可行性一般，得</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800" w:type="dxa"/>
            <w:vMerge w:val="restart"/>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施工组织设计</w:t>
            </w:r>
          </w:p>
        </w:tc>
        <w:tc>
          <w:tcPr>
            <w:tcW w:w="992" w:type="dxa"/>
            <w:noWrap w:val="0"/>
            <w:vAlign w:val="center"/>
          </w:tcPr>
          <w:p>
            <w:pPr>
              <w:keepNext w:val="0"/>
              <w:keepLines w:val="0"/>
              <w:pageBreakBefore w:val="0"/>
              <w:kinsoku/>
              <w:wordWrap/>
              <w:overflowPunct/>
              <w:topLinePunct w:val="0"/>
              <w:bidi w:val="0"/>
              <w:adjustRightInd/>
              <w:snapToGrid w:val="0"/>
              <w:spacing w:line="300" w:lineRule="exact"/>
              <w:ind w:left="-90" w:leftChars="-4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总体施工组织布置及规划</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4679" w:type="dxa"/>
            <w:noWrap w:val="0"/>
            <w:vAlign w:val="top"/>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组织布置完备，规划详细具体、全面合理，得1.6（不含）-2.0分；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组织布置较完备，规划较具体、较合理，得1.2（不含）-1.6（含）分；</w:t>
            </w:r>
          </w:p>
          <w:p>
            <w:pPr>
              <w:keepNext w:val="0"/>
              <w:keepLines w:val="0"/>
              <w:pageBreakBefore w:val="0"/>
              <w:widowControl/>
              <w:kinsoku/>
              <w:wordWrap/>
              <w:overflowPunct/>
              <w:topLinePunct w:val="0"/>
              <w:bidi w:val="0"/>
              <w:adjustRightInd/>
              <w:snapToGrid w:val="0"/>
              <w:spacing w:line="3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组织布置一般，规划基本合理，得1.2分。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800"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132" w:right="125"/>
              <w:jc w:val="center"/>
              <w:textAlignment w:val="auto"/>
              <w:rPr>
                <w:rFonts w:hint="eastAsia" w:ascii="宋体" w:hAnsi="宋体" w:eastAsia="宋体" w:cs="宋体"/>
                <w:sz w:val="21"/>
                <w:szCs w:val="21"/>
                <w:highlight w:val="none"/>
              </w:rPr>
            </w:pPr>
          </w:p>
        </w:tc>
        <w:tc>
          <w:tcPr>
            <w:tcW w:w="992" w:type="dxa"/>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90" w:leftChars="-43"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主要工程项目的施工方案、方法与技术措施</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4分</w:t>
            </w:r>
          </w:p>
        </w:tc>
        <w:tc>
          <w:tcPr>
            <w:tcW w:w="4679" w:type="dxa"/>
            <w:noWrap w:val="0"/>
            <w:vAlign w:val="top"/>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方案详尽，措施合理，可行性较强，得3.2（不含）-4.0分；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方案较详尽，措施较合理，可行性较强，得</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rPr>
              <w:t>（不含）-</w:t>
            </w: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（含）分；</w:t>
            </w:r>
          </w:p>
          <w:p>
            <w:pPr>
              <w:keepNext w:val="0"/>
              <w:keepLines w:val="0"/>
              <w:pageBreakBefore w:val="0"/>
              <w:widowControl/>
              <w:kinsoku/>
              <w:wordWrap/>
              <w:overflowPunct/>
              <w:topLinePunct w:val="0"/>
              <w:bidi w:val="0"/>
              <w:adjustRightInd/>
              <w:snapToGrid w:val="0"/>
              <w:spacing w:line="3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方案一般，措施基本合理，可行性一般，得2.4分。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800"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132" w:right="125"/>
              <w:jc w:val="center"/>
              <w:textAlignment w:val="auto"/>
              <w:rPr>
                <w:rFonts w:hint="eastAsia" w:ascii="宋体" w:hAnsi="宋体" w:eastAsia="宋体" w:cs="宋体"/>
                <w:sz w:val="21"/>
                <w:szCs w:val="21"/>
                <w:highlight w:val="none"/>
              </w:rPr>
            </w:pPr>
          </w:p>
        </w:tc>
        <w:tc>
          <w:tcPr>
            <w:tcW w:w="992" w:type="dxa"/>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90" w:leftChars="-4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工期保证、工程质量管理、安全生产管理体系及保证措施</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6分</w:t>
            </w:r>
          </w:p>
        </w:tc>
        <w:tc>
          <w:tcPr>
            <w:tcW w:w="4679" w:type="dxa"/>
            <w:noWrap w:val="0"/>
            <w:vAlign w:val="top"/>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体系完备，保证措施具体、全面合理，得4.8（不含）-</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体系较完备，措施较具体，得3.6（不含）-4.8（含）分；</w:t>
            </w:r>
          </w:p>
          <w:p>
            <w:pPr>
              <w:keepNext w:val="0"/>
              <w:keepLines w:val="0"/>
              <w:pageBreakBefore w:val="0"/>
              <w:widowControl/>
              <w:kinsoku/>
              <w:wordWrap/>
              <w:overflowPunct/>
              <w:topLinePunct w:val="0"/>
              <w:bidi w:val="0"/>
              <w:adjustRightInd/>
              <w:snapToGrid w:val="0"/>
              <w:spacing w:line="3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体系基本完备，保证措施一般，得3.6分。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800"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132" w:right="125"/>
              <w:jc w:val="center"/>
              <w:textAlignment w:val="auto"/>
              <w:rPr>
                <w:rFonts w:hint="eastAsia" w:ascii="宋体" w:hAnsi="宋体" w:eastAsia="宋体" w:cs="宋体"/>
                <w:sz w:val="21"/>
                <w:szCs w:val="21"/>
                <w:highlight w:val="none"/>
              </w:rPr>
            </w:pPr>
          </w:p>
        </w:tc>
        <w:tc>
          <w:tcPr>
            <w:tcW w:w="992" w:type="dxa"/>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90" w:leftChars="-4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环境保护、文明施工保证体系及保证措施</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4679" w:type="dxa"/>
            <w:noWrap w:val="0"/>
            <w:vAlign w:val="top"/>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体系完备，保证措施具体、全面合理，得1.6（不含）-2.0分；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体系较完备，措施较具体，得1.2（不含）-1.6（含）分；</w:t>
            </w:r>
          </w:p>
          <w:p>
            <w:pPr>
              <w:keepNext w:val="0"/>
              <w:keepLines w:val="0"/>
              <w:pageBreakBefore w:val="0"/>
              <w:widowControl/>
              <w:kinsoku/>
              <w:wordWrap/>
              <w:overflowPunct/>
              <w:topLinePunct w:val="0"/>
              <w:bidi w:val="0"/>
              <w:adjustRightInd/>
              <w:snapToGrid w:val="0"/>
              <w:spacing w:line="3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体系基本完备，保证措施一般，得1.2分。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1000"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691" w:type="dxa"/>
            <w:vMerge w:val="continue"/>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p>
        </w:tc>
        <w:tc>
          <w:tcPr>
            <w:tcW w:w="800"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132" w:right="125"/>
              <w:jc w:val="center"/>
              <w:textAlignment w:val="auto"/>
              <w:rPr>
                <w:rFonts w:hint="eastAsia" w:ascii="宋体" w:hAnsi="宋体" w:eastAsia="宋体" w:cs="宋体"/>
                <w:sz w:val="21"/>
                <w:szCs w:val="21"/>
                <w:highlight w:val="none"/>
              </w:rPr>
            </w:pPr>
          </w:p>
        </w:tc>
        <w:tc>
          <w:tcPr>
            <w:tcW w:w="992" w:type="dxa"/>
            <w:noWrap w:val="0"/>
            <w:vAlign w:val="center"/>
          </w:tcPr>
          <w:p>
            <w:pPr>
              <w:keepNext w:val="0"/>
              <w:keepLines w:val="0"/>
              <w:pageBreakBefore w:val="0"/>
              <w:kinsoku/>
              <w:wordWrap/>
              <w:overflowPunct/>
              <w:topLinePunct w:val="0"/>
              <w:autoSpaceDE w:val="0"/>
              <w:autoSpaceDN w:val="0"/>
              <w:bidi w:val="0"/>
              <w:adjustRightInd/>
              <w:snapToGrid w:val="0"/>
              <w:spacing w:line="300" w:lineRule="exact"/>
              <w:ind w:left="-90" w:leftChars="-4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项目风险预测与防范，事故应急预案</w:t>
            </w:r>
          </w:p>
        </w:tc>
        <w:tc>
          <w:tcPr>
            <w:tcW w:w="7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4679" w:type="dxa"/>
            <w:noWrap w:val="0"/>
            <w:vAlign w:val="top"/>
          </w:tcPr>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分析透彻，把握准确，可行性强，得</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（不含）-</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.0分；</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分析较透彻，把握较准确，可行性较强，得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（不含）-</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（含）分；</w:t>
            </w:r>
          </w:p>
          <w:p>
            <w:pPr>
              <w:keepNext w:val="0"/>
              <w:keepLines w:val="0"/>
              <w:pageBreakBefore w:val="0"/>
              <w:widowControl/>
              <w:kinsoku/>
              <w:wordWrap/>
              <w:overflowPunct/>
              <w:topLinePunct w:val="0"/>
              <w:bidi w:val="0"/>
              <w:adjustRightInd/>
              <w:snapToGrid w:val="0"/>
              <w:spacing w:line="3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分析一般，可行性一般，得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kern w:val="0"/>
                <w:sz w:val="21"/>
                <w:szCs w:val="21"/>
                <w:highlight w:val="none"/>
                <w:lang w:val="zh-CN"/>
              </w:rPr>
            </w:pPr>
            <w:r>
              <w:rPr>
                <w:rFonts w:hint="eastAsia" w:ascii="宋体" w:hAnsi="宋体" w:eastAsia="宋体" w:cs="宋体"/>
                <w:sz w:val="21"/>
                <w:szCs w:val="21"/>
                <w:highlight w:val="none"/>
              </w:rPr>
              <w:t>2.2.4（4）</w:t>
            </w:r>
          </w:p>
        </w:tc>
        <w:tc>
          <w:tcPr>
            <w:tcW w:w="1000"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kern w:val="0"/>
                <w:sz w:val="21"/>
                <w:szCs w:val="21"/>
                <w:highlight w:val="none"/>
                <w:lang w:val="zh-CN"/>
              </w:rPr>
            </w:pPr>
            <w:r>
              <w:rPr>
                <w:rFonts w:hint="eastAsia" w:ascii="宋体" w:hAnsi="宋体" w:eastAsia="宋体" w:cs="宋体"/>
                <w:sz w:val="21"/>
                <w:szCs w:val="21"/>
                <w:highlight w:val="none"/>
              </w:rPr>
              <w:t>评标价</w:t>
            </w:r>
          </w:p>
        </w:tc>
        <w:tc>
          <w:tcPr>
            <w:tcW w:w="691" w:type="dxa"/>
            <w:noWrap w:val="0"/>
            <w:vAlign w:val="center"/>
          </w:tcPr>
          <w:p>
            <w:pPr>
              <w:keepNext w:val="0"/>
              <w:keepLines w:val="0"/>
              <w:pageBreakBefore w:val="0"/>
              <w:kinsoku/>
              <w:wordWrap/>
              <w:overflowPunct/>
              <w:topLinePunct w:val="0"/>
              <w:bidi w:val="0"/>
              <w:adjustRightInd/>
              <w:snapToGrid w:val="0"/>
              <w:spacing w:line="300" w:lineRule="exact"/>
              <w:jc w:val="center"/>
              <w:textAlignment w:val="auto"/>
              <w:rPr>
                <w:rFonts w:hint="eastAsia" w:ascii="宋体" w:hAnsi="宋体" w:eastAsia="宋体" w:cs="宋体"/>
                <w:kern w:val="0"/>
                <w:sz w:val="21"/>
                <w:szCs w:val="21"/>
                <w:highlight w:val="none"/>
                <w:lang w:val="zh-CN"/>
              </w:rPr>
            </w:pPr>
            <w:r>
              <w:rPr>
                <w:rFonts w:hint="eastAsia" w:ascii="宋体" w:hAnsi="宋体" w:eastAsia="宋体" w:cs="宋体"/>
                <w:sz w:val="21"/>
                <w:szCs w:val="21"/>
                <w:highlight w:val="none"/>
              </w:rPr>
              <w:t>50分</w:t>
            </w:r>
          </w:p>
        </w:tc>
        <w:tc>
          <w:tcPr>
            <w:tcW w:w="7171" w:type="dxa"/>
            <w:gridSpan w:val="4"/>
            <w:noWrap w:val="0"/>
            <w:vAlign w:val="center"/>
          </w:tcPr>
          <w:p>
            <w:pPr>
              <w:keepNext w:val="0"/>
              <w:keepLines w:val="0"/>
              <w:pageBreakBefore w:val="0"/>
              <w:tabs>
                <w:tab w:val="left" w:pos="3060"/>
              </w:tabs>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w:t>
            </w:r>
          </w:p>
          <w:p>
            <w:pPr>
              <w:keepNext w:val="0"/>
              <w:keepLines w:val="0"/>
              <w:pageBreakBefore w:val="0"/>
              <w:tabs>
                <w:tab w:val="left" w:pos="3060"/>
              </w:tabs>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（1）如果投标人的评标价＞评标基准价，则评标价得分＝50－偏差率×100×0.6；</w:t>
            </w:r>
          </w:p>
          <w:p>
            <w:pPr>
              <w:keepNext w:val="0"/>
              <w:keepLines w:val="0"/>
              <w:pageBreakBefore w:val="0"/>
              <w:tabs>
                <w:tab w:val="left" w:pos="3060"/>
              </w:tabs>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（2）如果投标人的评标价≤评标基准价，则评标价得分＝50＋偏差率×100×0.3；</w:t>
            </w:r>
          </w:p>
          <w:p>
            <w:pPr>
              <w:keepNext w:val="0"/>
              <w:keepLines w:val="0"/>
              <w:pageBreakBefore w:val="0"/>
              <w:kinsoku/>
              <w:wordWrap/>
              <w:overflowPunct/>
              <w:topLinePunct w:val="0"/>
              <w:bidi w:val="0"/>
              <w:adjustRightInd/>
              <w:snapToGrid w:val="0"/>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评标价最低得分为0分，</w:t>
            </w:r>
            <w:r>
              <w:rPr>
                <w:rFonts w:hint="eastAsia" w:ascii="宋体" w:hAnsi="宋体" w:eastAsia="宋体" w:cs="宋体"/>
                <w:bCs/>
                <w:sz w:val="21"/>
                <w:szCs w:val="21"/>
                <w:highlight w:val="none"/>
              </w:rPr>
              <w:t>评标价得分保留两位小数，第三位四舍五入。</w:t>
            </w:r>
          </w:p>
        </w:tc>
      </w:tr>
    </w:tbl>
    <w:p>
      <w:pPr>
        <w:pStyle w:val="5"/>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hAnsi="宋体" w:cs="宋体"/>
          <w:b/>
          <w:bCs/>
          <w:highlight w:val="none"/>
        </w:rPr>
      </w:pPr>
      <w:r>
        <w:rPr>
          <w:rFonts w:hint="eastAsia" w:hAnsi="宋体" w:cs="宋体"/>
          <w:b/>
          <w:bCs/>
          <w:highlight w:val="none"/>
        </w:rPr>
        <w:t>注：（1）第2.2.4（1）、（3）各项评委打分保留1位小数，各评分因素得分应以评标委员会各成员的平均值确定，汇总得分保留小数点后两位。</w:t>
      </w:r>
    </w:p>
    <w:p>
      <w:pPr>
        <w:pStyle w:val="4"/>
        <w:keepNext w:val="0"/>
        <w:keepLines w:val="0"/>
        <w:pageBreakBefore w:val="0"/>
        <w:widowControl w:val="0"/>
        <w:kinsoku/>
        <w:wordWrap/>
        <w:overflowPunct/>
        <w:topLinePunct w:val="0"/>
        <w:autoSpaceDE/>
        <w:autoSpaceDN/>
        <w:bidi w:val="0"/>
        <w:adjustRightInd/>
        <w:snapToGrid w:val="0"/>
        <w:spacing w:before="0" w:after="0" w:line="300" w:lineRule="auto"/>
        <w:textAlignment w:val="auto"/>
        <w:rPr>
          <w:rFonts w:hint="eastAsia" w:ascii="宋体" w:hAnsi="宋体" w:cs="宋体"/>
          <w:b/>
          <w:bCs/>
          <w:highlight w:val="none"/>
        </w:rPr>
      </w:pPr>
      <w:r>
        <w:rPr>
          <w:rFonts w:hint="eastAsia" w:ascii="宋体" w:hAnsi="宋体" w:cs="宋体"/>
          <w:b/>
          <w:bCs/>
          <w:highlight w:val="none"/>
        </w:rPr>
        <w:t>（2）</w:t>
      </w:r>
      <w:bookmarkEnd w:id="10"/>
      <w:r>
        <w:rPr>
          <w:rFonts w:hint="eastAsia" w:ascii="宋体" w:hAnsi="宋体" w:cs="宋体"/>
          <w:b/>
          <w:bCs/>
          <w:highlight w:val="none"/>
        </w:rPr>
        <w:t>承包人建议书和承包人实施方案各打分项缺项，则该项得0分。</w:t>
      </w:r>
    </w:p>
    <w:p>
      <w:pPr>
        <w:pStyle w:val="4"/>
        <w:keepNext w:val="0"/>
        <w:keepLines w:val="0"/>
        <w:pageBreakBefore w:val="0"/>
        <w:widowControl w:val="0"/>
        <w:kinsoku/>
        <w:wordWrap/>
        <w:overflowPunct/>
        <w:topLinePunct w:val="0"/>
        <w:autoSpaceDE/>
        <w:autoSpaceDN/>
        <w:bidi w:val="0"/>
        <w:adjustRightInd/>
        <w:snapToGrid w:val="0"/>
        <w:spacing w:before="0" w:after="0" w:line="300" w:lineRule="auto"/>
        <w:textAlignment w:val="auto"/>
        <w:rPr>
          <w:rFonts w:hint="eastAsia" w:ascii="宋体" w:hAnsi="宋体" w:cs="宋体"/>
          <w:b/>
          <w:bCs/>
          <w:highlight w:val="none"/>
        </w:rPr>
      </w:pPr>
      <w:r>
        <w:rPr>
          <w:rFonts w:hint="eastAsia" w:ascii="宋体" w:hAnsi="宋体" w:cs="宋体"/>
          <w:b/>
          <w:bCs/>
          <w:highlight w:val="none"/>
        </w:rPr>
        <w:t>（3）各评分因素（评标价除外）得分一般不得低于其权重分值的 60%，评标委员会成员对某一项评分因素的评分低于权重分值 60%的，应在评标报告中作出说明。</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4E020B"/>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Document Map"/>
    <w:basedOn w:val="1"/>
    <w:qFormat/>
    <w:uiPriority w:val="0"/>
    <w:pPr>
      <w:shd w:val="clear" w:color="auto" w:fill="000080"/>
    </w:pPr>
    <w:rPr>
      <w:rFonts w:ascii="Times New Roman" w:hAnsi="Times New Roman" w:eastAsia="宋体" w:cs="Times New Roman"/>
    </w:rPr>
  </w:style>
  <w:style w:type="paragraph" w:styleId="4">
    <w:name w:val="Body Text"/>
    <w:basedOn w:val="1"/>
    <w:qFormat/>
    <w:uiPriority w:val="99"/>
    <w:pPr>
      <w:widowControl w:val="0"/>
      <w:spacing w:before="0" w:after="120"/>
      <w:ind w:left="0" w:right="0"/>
      <w:jc w:val="both"/>
    </w:pPr>
    <w:rPr>
      <w:rFonts w:ascii="Times New Roman" w:hAnsi="Times New Roman" w:eastAsia="宋体" w:cs="Times New Roman"/>
      <w:kern w:val="2"/>
      <w:sz w:val="21"/>
      <w:szCs w:val="24"/>
    </w:rPr>
  </w:style>
  <w:style w:type="paragraph" w:styleId="5">
    <w:name w:val="Plain Text"/>
    <w:basedOn w:val="1"/>
    <w:qFormat/>
    <w:uiPriority w:val="0"/>
    <w:rPr>
      <w:rFonts w:ascii="宋体" w:hAnsi="Courier New" w:eastAsia="宋体" w:cs="Times New Roman"/>
      <w:szCs w:val="21"/>
    </w:rPr>
  </w:style>
  <w:style w:type="paragraph" w:styleId="6">
    <w:name w:val="Body Text 2"/>
    <w:basedOn w:val="1"/>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2025-03-29T00:43:28Z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