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068E4">
      <w:pPr>
        <w:adjustRightInd w:val="0"/>
        <w:snapToGrid w:val="0"/>
        <w:spacing w:before="120" w:beforeLines="50" w:line="276" w:lineRule="auto"/>
        <w:rPr>
          <w:b/>
          <w:sz w:val="24"/>
          <w:highlight w:val="none"/>
        </w:rPr>
      </w:pPr>
      <w:r>
        <w:rPr>
          <w:b/>
          <w:sz w:val="24"/>
          <w:highlight w:val="none"/>
        </w:rPr>
        <w:t>附件1：资格审查条件</w:t>
      </w:r>
    </w:p>
    <w:p w14:paraId="3B510918">
      <w:pPr>
        <w:adjustRightInd w:val="0"/>
        <w:spacing w:line="400" w:lineRule="exact"/>
        <w:jc w:val="center"/>
        <w:rPr>
          <w:b/>
          <w:sz w:val="24"/>
          <w:szCs w:val="24"/>
          <w:highlight w:val="none"/>
        </w:rPr>
      </w:pPr>
    </w:p>
    <w:p w14:paraId="4A7901D3">
      <w:pPr>
        <w:adjustRightInd w:val="0"/>
        <w:spacing w:line="400" w:lineRule="exact"/>
        <w:jc w:val="center"/>
        <w:rPr>
          <w:b/>
          <w:sz w:val="24"/>
          <w:szCs w:val="24"/>
          <w:highlight w:val="none"/>
        </w:rPr>
      </w:pPr>
      <w:r>
        <w:rPr>
          <w:b/>
          <w:sz w:val="24"/>
          <w:szCs w:val="24"/>
          <w:highlight w:val="none"/>
        </w:rPr>
        <w:t xml:space="preserve">附录1 </w:t>
      </w:r>
      <w:bookmarkStart w:id="0" w:name="_Hlk515531673"/>
      <w:r>
        <w:rPr>
          <w:b/>
          <w:sz w:val="24"/>
          <w:highlight w:val="none"/>
        </w:rPr>
        <w:t>资格</w:t>
      </w:r>
      <w:r>
        <w:rPr>
          <w:b/>
          <w:sz w:val="24"/>
          <w:szCs w:val="24"/>
          <w:highlight w:val="none"/>
        </w:rPr>
        <w:t>审查条件（</w:t>
      </w:r>
      <w:bookmarkStart w:id="1" w:name="_Hlk93741047"/>
      <w:r>
        <w:rPr>
          <w:b/>
          <w:sz w:val="24"/>
          <w:szCs w:val="24"/>
          <w:highlight w:val="none"/>
        </w:rPr>
        <w:t>资质最低要求</w:t>
      </w:r>
      <w:bookmarkEnd w:id="1"/>
      <w:r>
        <w:rPr>
          <w:b/>
          <w:sz w:val="24"/>
          <w:szCs w:val="24"/>
          <w:highlight w:val="none"/>
        </w:rPr>
        <w:t>）</w:t>
      </w:r>
      <w:bookmarkEnd w:id="0"/>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31D37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2E3FC014">
            <w:pPr>
              <w:pStyle w:val="6"/>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资质要求</w:t>
            </w:r>
          </w:p>
        </w:tc>
      </w:tr>
      <w:tr w14:paraId="061D9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2" w:hRule="atLeast"/>
          <w:jc w:val="center"/>
        </w:trPr>
        <w:tc>
          <w:tcPr>
            <w:tcW w:w="9286" w:type="dxa"/>
            <w:noWrap w:val="0"/>
            <w:vAlign w:val="center"/>
          </w:tcPr>
          <w:p w14:paraId="7204C1A3">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eastAsia="宋体"/>
                <w:sz w:val="21"/>
                <w:szCs w:val="21"/>
                <w:highlight w:val="none"/>
                <w:lang w:val="en-US" w:eastAsia="zh-CN"/>
              </w:rPr>
            </w:pPr>
            <w:bookmarkStart w:id="2" w:name="_Hlk93741073"/>
            <w:r>
              <w:rPr>
                <w:rFonts w:hint="eastAsia" w:eastAsia="宋体"/>
                <w:sz w:val="21"/>
                <w:szCs w:val="21"/>
                <w:highlight w:val="none"/>
                <w:lang w:val="en-US" w:eastAsia="zh-CN"/>
              </w:rPr>
              <w:t>1.</w:t>
            </w:r>
            <w:r>
              <w:rPr>
                <w:rFonts w:hint="eastAsia"/>
                <w:sz w:val="21"/>
                <w:szCs w:val="21"/>
                <w:highlight w:val="none"/>
                <w:lang w:val="en-US" w:eastAsia="zh-CN"/>
              </w:rPr>
              <w:t>投标人应为</w:t>
            </w:r>
            <w:r>
              <w:rPr>
                <w:rFonts w:hint="eastAsia" w:eastAsia="宋体"/>
                <w:sz w:val="21"/>
                <w:szCs w:val="21"/>
                <w:highlight w:val="none"/>
                <w:lang w:val="en-US" w:eastAsia="zh-CN"/>
              </w:rPr>
              <w:t>独立法人</w:t>
            </w:r>
            <w:r>
              <w:rPr>
                <w:rFonts w:hint="eastAsia"/>
                <w:sz w:val="21"/>
                <w:szCs w:val="21"/>
                <w:highlight w:val="none"/>
                <w:lang w:val="en-US" w:eastAsia="zh-CN"/>
              </w:rPr>
              <w:t>或其他组织</w:t>
            </w:r>
            <w:r>
              <w:rPr>
                <w:rFonts w:hint="eastAsia" w:eastAsia="宋体"/>
                <w:sz w:val="21"/>
                <w:szCs w:val="21"/>
                <w:highlight w:val="none"/>
                <w:lang w:val="en-US" w:eastAsia="zh-CN"/>
              </w:rPr>
              <w:t>，具有有效的营业执照</w:t>
            </w:r>
            <w:r>
              <w:rPr>
                <w:rFonts w:hint="eastAsia"/>
                <w:sz w:val="21"/>
                <w:szCs w:val="21"/>
                <w:highlight w:val="none"/>
                <w:lang w:val="en-US" w:eastAsia="zh-CN"/>
              </w:rPr>
              <w:t>；</w:t>
            </w:r>
          </w:p>
          <w:p w14:paraId="000AD652">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eastAsia="宋体"/>
                <w:sz w:val="21"/>
                <w:szCs w:val="21"/>
                <w:highlight w:val="none"/>
                <w:lang w:val="en-US" w:eastAsia="zh-CN"/>
              </w:rPr>
            </w:pPr>
            <w:r>
              <w:rPr>
                <w:rFonts w:hint="eastAsia" w:eastAsia="宋体"/>
                <w:sz w:val="21"/>
                <w:szCs w:val="21"/>
                <w:highlight w:val="none"/>
                <w:lang w:val="en-US" w:eastAsia="zh-CN"/>
              </w:rPr>
              <w:t>2.具</w:t>
            </w:r>
            <w:r>
              <w:rPr>
                <w:rFonts w:hint="eastAsia"/>
                <w:sz w:val="21"/>
                <w:szCs w:val="21"/>
                <w:highlight w:val="none"/>
                <w:lang w:val="en-US" w:eastAsia="zh-CN"/>
              </w:rPr>
              <w:t>有中国人民银行颁发的《支付业务许可证》或国家金融监管总局颁发的《金融许可证》。</w:t>
            </w:r>
          </w:p>
          <w:p w14:paraId="10C0EAEC">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eastAsia="宋体"/>
                <w:sz w:val="21"/>
                <w:szCs w:val="21"/>
                <w:highlight w:val="none"/>
                <w:lang w:val="en-US" w:eastAsia="zh-CN"/>
              </w:rPr>
            </w:pPr>
            <w:r>
              <w:rPr>
                <w:rFonts w:hint="eastAsia" w:ascii="宋体" w:hAnsi="宋体" w:eastAsia="宋体" w:cs="宋体"/>
                <w:b w:val="0"/>
                <w:bCs w:val="0"/>
                <w:color w:val="auto"/>
                <w:sz w:val="21"/>
                <w:szCs w:val="21"/>
                <w:highlight w:val="none"/>
                <w:lang w:eastAsia="zh-CN"/>
              </w:rPr>
              <w:t>以联合体形式投标的，</w:t>
            </w:r>
            <w:r>
              <w:rPr>
                <w:rFonts w:hint="eastAsia" w:ascii="宋体" w:hAnsi="宋体" w:eastAsia="宋体" w:cs="宋体"/>
                <w:color w:val="auto"/>
                <w:sz w:val="21"/>
                <w:szCs w:val="21"/>
                <w:highlight w:val="none"/>
              </w:rPr>
              <w:t>联合体所有成员数量不</w:t>
            </w:r>
            <w:r>
              <w:rPr>
                <w:rFonts w:hint="eastAsia" w:hAnsi="宋体" w:cs="宋体"/>
                <w:color w:val="auto"/>
                <w:sz w:val="21"/>
                <w:szCs w:val="21"/>
                <w:highlight w:val="none"/>
                <w:lang w:val="en-US" w:eastAsia="zh-CN"/>
              </w:rPr>
              <w:t>得超过2</w:t>
            </w:r>
            <w:r>
              <w:rPr>
                <w:rFonts w:hint="eastAsia" w:ascii="宋体" w:hAnsi="宋体" w:eastAsia="宋体" w:cs="宋体"/>
                <w:color w:val="auto"/>
                <w:sz w:val="21"/>
                <w:szCs w:val="21"/>
                <w:highlight w:val="none"/>
              </w:rPr>
              <w:t>家，联合体应满足本项规定的资格条件，联合体所有成员均需满足第1项要求</w:t>
            </w:r>
            <w:r>
              <w:rPr>
                <w:rFonts w:hint="eastAsia" w:hAnsi="宋体" w:cs="宋体"/>
                <w:color w:val="auto"/>
                <w:sz w:val="21"/>
                <w:szCs w:val="21"/>
                <w:highlight w:val="none"/>
                <w:lang w:eastAsia="zh-CN"/>
              </w:rPr>
              <w:t>。</w:t>
            </w:r>
          </w:p>
        </w:tc>
      </w:tr>
      <w:bookmarkEnd w:id="2"/>
    </w:tbl>
    <w:p w14:paraId="181FEEAE">
      <w:pPr>
        <w:adjustRightInd w:val="0"/>
        <w:spacing w:line="400" w:lineRule="exact"/>
        <w:jc w:val="center"/>
        <w:rPr>
          <w:b/>
          <w:sz w:val="24"/>
          <w:szCs w:val="24"/>
          <w:highlight w:val="none"/>
        </w:rPr>
      </w:pPr>
    </w:p>
    <w:p w14:paraId="793D6A2A">
      <w:pPr>
        <w:pStyle w:val="5"/>
        <w:rPr>
          <w:highlight w:val="none"/>
        </w:rPr>
      </w:pPr>
    </w:p>
    <w:p w14:paraId="1BBCF55E">
      <w:pPr>
        <w:adjustRightInd w:val="0"/>
        <w:spacing w:line="400" w:lineRule="exact"/>
        <w:jc w:val="center"/>
        <w:rPr>
          <w:b/>
          <w:sz w:val="24"/>
          <w:szCs w:val="24"/>
          <w:highlight w:val="none"/>
        </w:rPr>
      </w:pPr>
      <w:r>
        <w:rPr>
          <w:b/>
          <w:sz w:val="24"/>
          <w:szCs w:val="24"/>
          <w:highlight w:val="none"/>
        </w:rPr>
        <w:t>附录2 资格审查条件（业绩最低要求）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4E8E2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3AFC64B7">
            <w:pPr>
              <w:pStyle w:val="6"/>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业绩要求</w:t>
            </w:r>
          </w:p>
        </w:tc>
      </w:tr>
      <w:tr w14:paraId="69E4B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2" w:hRule="atLeast"/>
          <w:jc w:val="center"/>
        </w:trPr>
        <w:tc>
          <w:tcPr>
            <w:tcW w:w="9286" w:type="dxa"/>
            <w:noWrap w:val="0"/>
            <w:vAlign w:val="center"/>
          </w:tcPr>
          <w:p w14:paraId="6E19C172">
            <w:pPr>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sz w:val="21"/>
                <w:szCs w:val="21"/>
                <w:highlight w:val="none"/>
              </w:rPr>
            </w:pPr>
            <w:r>
              <w:rPr>
                <w:rFonts w:hint="eastAsia"/>
                <w:sz w:val="21"/>
                <w:szCs w:val="21"/>
                <w:highlight w:val="none"/>
              </w:rPr>
              <w:t>近</w:t>
            </w:r>
            <w:r>
              <w:rPr>
                <w:rFonts w:hint="eastAsia"/>
                <w:sz w:val="21"/>
                <w:szCs w:val="21"/>
                <w:highlight w:val="none"/>
                <w:lang w:val="en-US" w:eastAsia="zh-CN"/>
              </w:rPr>
              <w:t>3</w:t>
            </w:r>
            <w:r>
              <w:rPr>
                <w:rFonts w:hint="eastAsia"/>
                <w:sz w:val="21"/>
                <w:szCs w:val="21"/>
                <w:highlight w:val="none"/>
              </w:rPr>
              <w:t>年（20</w:t>
            </w:r>
            <w:r>
              <w:rPr>
                <w:rFonts w:hint="eastAsia"/>
                <w:sz w:val="21"/>
                <w:szCs w:val="21"/>
                <w:highlight w:val="none"/>
                <w:lang w:val="en-US" w:eastAsia="zh-CN"/>
              </w:rPr>
              <w:t>22</w:t>
            </w:r>
            <w:r>
              <w:rPr>
                <w:rFonts w:hint="eastAsia"/>
                <w:sz w:val="21"/>
                <w:szCs w:val="21"/>
                <w:highlight w:val="none"/>
              </w:rPr>
              <w:t>年</w:t>
            </w:r>
            <w:r>
              <w:rPr>
                <w:rFonts w:hint="eastAsia"/>
                <w:sz w:val="21"/>
                <w:szCs w:val="21"/>
                <w:highlight w:val="none"/>
                <w:lang w:val="en-US" w:eastAsia="zh-CN"/>
              </w:rPr>
              <w:t>3月</w:t>
            </w:r>
            <w:r>
              <w:rPr>
                <w:rFonts w:hint="eastAsia"/>
                <w:sz w:val="21"/>
                <w:szCs w:val="21"/>
                <w:highlight w:val="none"/>
              </w:rPr>
              <w:t>1日</w:t>
            </w:r>
            <w:r>
              <w:rPr>
                <w:rFonts w:hint="eastAsia"/>
                <w:sz w:val="21"/>
                <w:szCs w:val="21"/>
                <w:highlight w:val="none"/>
                <w:lang w:eastAsia="zh-CN"/>
              </w:rPr>
              <w:t>至投标截止时间</w:t>
            </w:r>
            <w:r>
              <w:rPr>
                <w:rFonts w:hint="eastAsia"/>
                <w:sz w:val="21"/>
                <w:szCs w:val="21"/>
                <w:highlight w:val="none"/>
              </w:rPr>
              <w:t>，以合同签订时间为准）</w:t>
            </w:r>
            <w:r>
              <w:rPr>
                <w:rFonts w:hint="eastAsia"/>
                <w:sz w:val="21"/>
                <w:szCs w:val="21"/>
                <w:highlight w:val="none"/>
                <w:lang w:eastAsia="zh-CN"/>
              </w:rPr>
              <w:t>投标人至少具有一项现金收款服务业绩</w:t>
            </w:r>
            <w:r>
              <w:rPr>
                <w:rFonts w:hint="eastAsia"/>
                <w:sz w:val="21"/>
                <w:szCs w:val="21"/>
                <w:highlight w:val="none"/>
              </w:rPr>
              <w:t>。</w:t>
            </w:r>
          </w:p>
          <w:p w14:paraId="68A4A77F">
            <w:pPr>
              <w:pStyle w:val="2"/>
              <w:pageBreakBefore w:val="0"/>
              <w:widowControl w:val="0"/>
              <w:kinsoku/>
              <w:wordWrap/>
              <w:overflowPunct/>
              <w:topLinePunct w:val="0"/>
              <w:autoSpaceDE/>
              <w:autoSpaceDN/>
              <w:bidi w:val="0"/>
              <w:adjustRightInd/>
              <w:snapToGrid w:val="0"/>
              <w:spacing w:before="0" w:after="0" w:line="300" w:lineRule="auto"/>
              <w:ind w:firstLine="420" w:firstLineChars="200"/>
              <w:textAlignment w:val="auto"/>
              <w:rPr>
                <w:highlight w:val="none"/>
              </w:rPr>
            </w:pPr>
            <w:r>
              <w:rPr>
                <w:rFonts w:hint="eastAsia" w:ascii="宋体" w:hAnsi="宋体" w:eastAsia="宋体" w:cs="宋体"/>
                <w:b w:val="0"/>
                <w:bCs w:val="0"/>
                <w:color w:val="auto"/>
                <w:sz w:val="21"/>
                <w:szCs w:val="21"/>
                <w:highlight w:val="none"/>
                <w:lang w:eastAsia="zh-CN"/>
              </w:rPr>
              <w:t>以联合体形式投标的，联合体应满足本项规定的资格条件。</w:t>
            </w:r>
          </w:p>
        </w:tc>
      </w:tr>
    </w:tbl>
    <w:p w14:paraId="6958C739">
      <w:pPr>
        <w:pStyle w:val="5"/>
        <w:rPr>
          <w:b/>
          <w:sz w:val="24"/>
          <w:highlight w:val="none"/>
        </w:rPr>
      </w:pPr>
    </w:p>
    <w:p w14:paraId="3E3B5AB0">
      <w:pPr>
        <w:pStyle w:val="5"/>
        <w:rPr>
          <w:b/>
          <w:sz w:val="24"/>
          <w:highlight w:val="none"/>
        </w:rPr>
      </w:pPr>
    </w:p>
    <w:p w14:paraId="4581BF1D">
      <w:pPr>
        <w:adjustRightInd w:val="0"/>
        <w:spacing w:line="400" w:lineRule="exact"/>
        <w:jc w:val="center"/>
        <w:rPr>
          <w:b/>
          <w:sz w:val="24"/>
          <w:szCs w:val="24"/>
          <w:highlight w:val="none"/>
        </w:rPr>
      </w:pPr>
      <w:r>
        <w:rPr>
          <w:b/>
          <w:sz w:val="24"/>
          <w:szCs w:val="24"/>
          <w:highlight w:val="none"/>
        </w:rPr>
        <w:t>附录3 资格审查条件（信誉最低要求）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686C8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14:paraId="432CD320">
            <w:pPr>
              <w:pStyle w:val="6"/>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信誉要求</w:t>
            </w:r>
          </w:p>
        </w:tc>
      </w:tr>
      <w:tr w14:paraId="69AB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8" w:hRule="atLeast"/>
          <w:jc w:val="center"/>
        </w:trPr>
        <w:tc>
          <w:tcPr>
            <w:tcW w:w="9286" w:type="dxa"/>
            <w:noWrap w:val="0"/>
            <w:vAlign w:val="center"/>
          </w:tcPr>
          <w:p w14:paraId="5BAA46C1">
            <w:pPr>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sz w:val="21"/>
                <w:szCs w:val="21"/>
                <w:highlight w:val="none"/>
              </w:rPr>
            </w:pPr>
            <w:r>
              <w:rPr>
                <w:rFonts w:hint="eastAsia"/>
                <w:sz w:val="21"/>
                <w:szCs w:val="21"/>
                <w:highlight w:val="none"/>
              </w:rPr>
              <w:t>投标人在过去1年中（202</w:t>
            </w:r>
            <w:r>
              <w:rPr>
                <w:rFonts w:hint="eastAsia"/>
                <w:sz w:val="21"/>
                <w:szCs w:val="21"/>
                <w:highlight w:val="none"/>
                <w:lang w:val="en-US" w:eastAsia="zh-CN"/>
              </w:rPr>
              <w:t>4</w:t>
            </w:r>
            <w:r>
              <w:rPr>
                <w:rFonts w:hint="eastAsia"/>
                <w:sz w:val="21"/>
                <w:szCs w:val="21"/>
                <w:highlight w:val="none"/>
              </w:rPr>
              <w:t>年</w:t>
            </w:r>
            <w:r>
              <w:rPr>
                <w:rFonts w:hint="eastAsia"/>
                <w:sz w:val="21"/>
                <w:szCs w:val="21"/>
                <w:highlight w:val="none"/>
                <w:lang w:val="en-US" w:eastAsia="zh-CN"/>
              </w:rPr>
              <w:t>3月1</w:t>
            </w:r>
            <w:r>
              <w:rPr>
                <w:rFonts w:hint="eastAsia"/>
                <w:sz w:val="21"/>
                <w:szCs w:val="21"/>
                <w:highlight w:val="none"/>
              </w:rPr>
              <w:t>日至投标截止时间）不</w:t>
            </w:r>
            <w:r>
              <w:rPr>
                <w:rFonts w:hint="eastAsia"/>
                <w:sz w:val="21"/>
                <w:szCs w:val="21"/>
                <w:highlight w:val="none"/>
                <w:lang w:eastAsia="zh-CN"/>
              </w:rPr>
              <w:t>曾在</w:t>
            </w:r>
            <w:r>
              <w:rPr>
                <w:rFonts w:hint="eastAsia"/>
                <w:sz w:val="21"/>
                <w:szCs w:val="21"/>
                <w:highlight w:val="none"/>
                <w:lang w:val="en-US" w:eastAsia="zh-CN"/>
              </w:rPr>
              <w:t>现金收款服务</w:t>
            </w:r>
            <w:r>
              <w:rPr>
                <w:rFonts w:hint="eastAsia"/>
                <w:sz w:val="21"/>
                <w:szCs w:val="21"/>
                <w:highlight w:val="none"/>
                <w:lang w:eastAsia="zh-CN"/>
              </w:rPr>
              <w:t>合同</w:t>
            </w:r>
            <w:r>
              <w:rPr>
                <w:sz w:val="21"/>
                <w:szCs w:val="21"/>
                <w:highlight w:val="none"/>
              </w:rPr>
              <w:t>中违约而被驱逐或因投标人自身的原因而使</w:t>
            </w:r>
            <w:r>
              <w:rPr>
                <w:rFonts w:hint="eastAsia"/>
                <w:sz w:val="21"/>
                <w:szCs w:val="21"/>
                <w:highlight w:val="none"/>
                <w:lang w:val="en-US" w:eastAsia="zh-CN"/>
              </w:rPr>
              <w:t>现金收款服务</w:t>
            </w:r>
            <w:r>
              <w:rPr>
                <w:rFonts w:hint="eastAsia"/>
                <w:sz w:val="21"/>
                <w:szCs w:val="21"/>
                <w:highlight w:val="none"/>
              </w:rPr>
              <w:t>合同</w:t>
            </w:r>
            <w:r>
              <w:rPr>
                <w:sz w:val="21"/>
                <w:szCs w:val="21"/>
                <w:highlight w:val="none"/>
              </w:rPr>
              <w:t>被解除</w:t>
            </w:r>
            <w:r>
              <w:rPr>
                <w:rFonts w:hint="eastAsia"/>
                <w:sz w:val="21"/>
                <w:szCs w:val="21"/>
                <w:highlight w:val="none"/>
              </w:rPr>
              <w:t>。</w:t>
            </w:r>
          </w:p>
          <w:p w14:paraId="193B5748">
            <w:pPr>
              <w:pStyle w:val="2"/>
              <w:pageBreakBefore w:val="0"/>
              <w:widowControl w:val="0"/>
              <w:kinsoku/>
              <w:wordWrap/>
              <w:overflowPunct/>
              <w:topLinePunct w:val="0"/>
              <w:autoSpaceDE/>
              <w:autoSpaceDN/>
              <w:bidi w:val="0"/>
              <w:adjustRightInd/>
              <w:snapToGrid w:val="0"/>
              <w:spacing w:before="0" w:after="0" w:line="300" w:lineRule="auto"/>
              <w:ind w:firstLine="420" w:firstLineChars="200"/>
              <w:textAlignment w:val="auto"/>
              <w:rPr>
                <w:highlight w:val="none"/>
              </w:rPr>
            </w:pPr>
            <w:r>
              <w:rPr>
                <w:rFonts w:hint="eastAsia" w:ascii="宋体" w:hAnsi="宋体" w:eastAsia="宋体" w:cs="宋体"/>
                <w:b w:val="0"/>
                <w:bCs w:val="0"/>
                <w:color w:val="auto"/>
                <w:sz w:val="21"/>
                <w:szCs w:val="21"/>
                <w:highlight w:val="none"/>
                <w:lang w:eastAsia="zh-CN"/>
              </w:rPr>
              <w:t>以联合体形式投标的，联合体</w:t>
            </w:r>
            <w:r>
              <w:rPr>
                <w:rFonts w:hint="eastAsia" w:ascii="宋体" w:hAnsi="宋体" w:eastAsia="宋体" w:cs="宋体"/>
                <w:b w:val="0"/>
                <w:bCs w:val="0"/>
                <w:color w:val="auto"/>
                <w:sz w:val="21"/>
                <w:szCs w:val="21"/>
                <w:highlight w:val="none"/>
                <w:lang w:val="en-US" w:eastAsia="zh-CN"/>
              </w:rPr>
              <w:t>所有成员均应</w:t>
            </w:r>
            <w:r>
              <w:rPr>
                <w:rFonts w:hint="eastAsia" w:ascii="宋体" w:hAnsi="宋体" w:eastAsia="宋体" w:cs="宋体"/>
                <w:b w:val="0"/>
                <w:bCs w:val="0"/>
                <w:color w:val="auto"/>
                <w:sz w:val="21"/>
                <w:szCs w:val="21"/>
                <w:highlight w:val="none"/>
                <w:lang w:eastAsia="zh-CN"/>
              </w:rPr>
              <w:t>满足本项规定的资格条件。</w:t>
            </w:r>
          </w:p>
        </w:tc>
      </w:tr>
    </w:tbl>
    <w:p w14:paraId="21D00241">
      <w:pPr>
        <w:adjustRightInd w:val="0"/>
        <w:spacing w:line="400" w:lineRule="exact"/>
        <w:jc w:val="center"/>
        <w:rPr>
          <w:b/>
          <w:sz w:val="24"/>
          <w:szCs w:val="24"/>
          <w:highlight w:val="none"/>
        </w:rPr>
      </w:pPr>
    </w:p>
    <w:p w14:paraId="6B8D7647">
      <w:pPr>
        <w:tabs>
          <w:tab w:val="left" w:pos="4080"/>
        </w:tabs>
        <w:spacing w:line="360" w:lineRule="auto"/>
        <w:rPr>
          <w:highlight w:val="none"/>
        </w:rPr>
      </w:pPr>
    </w:p>
    <w:p w14:paraId="63865758">
      <w:pPr>
        <w:spacing w:line="360" w:lineRule="auto"/>
        <w:rPr>
          <w:b/>
          <w:sz w:val="24"/>
          <w:highlight w:val="none"/>
        </w:rPr>
      </w:pPr>
      <w:r>
        <w:rPr>
          <w:highlight w:val="none"/>
        </w:rPr>
        <w:br w:type="page"/>
      </w:r>
      <w:r>
        <w:rPr>
          <w:b/>
          <w:sz w:val="24"/>
          <w:highlight w:val="none"/>
        </w:rPr>
        <w:t>附件2：评标办法</w:t>
      </w:r>
    </w:p>
    <w:p w14:paraId="664A6C45">
      <w:pPr>
        <w:pStyle w:val="9"/>
        <w:spacing w:line="276" w:lineRule="auto"/>
        <w:rPr>
          <w:rFonts w:ascii="Times New Roman" w:hAnsi="Times New Roman" w:eastAsia="宋体"/>
          <w:sz w:val="30"/>
          <w:szCs w:val="30"/>
          <w:highlight w:val="none"/>
        </w:rPr>
      </w:pPr>
      <w:bookmarkStart w:id="3" w:name="_Hlk93740604"/>
      <w:bookmarkStart w:id="4" w:name="_Toc502992691"/>
      <w:bookmarkStart w:id="5" w:name="_Toc514238202"/>
      <w:bookmarkStart w:id="6" w:name="_Toc459307890"/>
      <w:bookmarkStart w:id="7" w:name="_Toc509660966"/>
      <w:bookmarkStart w:id="8" w:name="_Toc450319202"/>
      <w:bookmarkStart w:id="9" w:name="_Toc509659998"/>
      <w:bookmarkStart w:id="10" w:name="_Toc444088432"/>
      <w:bookmarkStart w:id="11" w:name="_Toc445382083"/>
      <w:bookmarkStart w:id="12" w:name="_Toc445222503"/>
      <w:bookmarkStart w:id="13" w:name="_Toc444271617"/>
      <w:r>
        <w:rPr>
          <w:rFonts w:ascii="Times New Roman" w:hAnsi="Times New Roman" w:eastAsia="宋体"/>
          <w:sz w:val="30"/>
          <w:szCs w:val="30"/>
          <w:highlight w:val="none"/>
        </w:rPr>
        <w:t>评标办法</w:t>
      </w:r>
      <w:bookmarkEnd w:id="3"/>
      <w:r>
        <w:rPr>
          <w:rFonts w:ascii="Times New Roman" w:hAnsi="Times New Roman" w:eastAsia="宋体"/>
          <w:sz w:val="30"/>
          <w:szCs w:val="30"/>
          <w:highlight w:val="none"/>
        </w:rPr>
        <w:t>（综合评估法）</w:t>
      </w:r>
      <w:bookmarkEnd w:id="4"/>
      <w:bookmarkEnd w:id="5"/>
      <w:bookmarkEnd w:id="6"/>
      <w:bookmarkEnd w:id="7"/>
      <w:bookmarkEnd w:id="8"/>
      <w:bookmarkEnd w:id="9"/>
    </w:p>
    <w:bookmarkEnd w:id="10"/>
    <w:bookmarkEnd w:id="11"/>
    <w:bookmarkEnd w:id="12"/>
    <w:bookmarkEnd w:id="13"/>
    <w:p w14:paraId="5EF735DC">
      <w:pPr>
        <w:pStyle w:val="9"/>
        <w:spacing w:line="276" w:lineRule="auto"/>
        <w:jc w:val="both"/>
        <w:rPr>
          <w:rFonts w:ascii="Times New Roman" w:hAnsi="Times New Roman" w:eastAsia="宋体"/>
          <w:sz w:val="24"/>
          <w:szCs w:val="30"/>
          <w:highlight w:val="none"/>
        </w:rPr>
      </w:pPr>
      <w:r>
        <w:rPr>
          <w:rFonts w:ascii="Times New Roman" w:hAnsi="Times New Roman" w:eastAsia="宋体"/>
          <w:sz w:val="24"/>
          <w:szCs w:val="30"/>
          <w:highlight w:val="none"/>
        </w:rPr>
        <w:t>评标办法前附表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250"/>
      </w:tblGrid>
      <w:tr w14:paraId="58D3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59" w:type="dxa"/>
            <w:noWrap w:val="0"/>
            <w:vAlign w:val="center"/>
          </w:tcPr>
          <w:p w14:paraId="0BED21C6">
            <w:pPr>
              <w:snapToGrid w:val="0"/>
              <w:spacing w:line="320" w:lineRule="exact"/>
              <w:jc w:val="center"/>
              <w:rPr>
                <w:rFonts w:ascii="宋体" w:hAnsi="宋体"/>
                <w:sz w:val="21"/>
                <w:szCs w:val="21"/>
                <w:highlight w:val="none"/>
              </w:rPr>
            </w:pPr>
            <w:r>
              <w:rPr>
                <w:rFonts w:ascii="宋体" w:hAnsi="宋体"/>
                <w:sz w:val="21"/>
                <w:szCs w:val="21"/>
                <w:highlight w:val="none"/>
              </w:rPr>
              <w:t>条款号</w:t>
            </w:r>
          </w:p>
        </w:tc>
        <w:tc>
          <w:tcPr>
            <w:tcW w:w="1134" w:type="dxa"/>
            <w:noWrap w:val="0"/>
            <w:vAlign w:val="center"/>
          </w:tcPr>
          <w:p w14:paraId="7A861D2E">
            <w:pPr>
              <w:snapToGrid w:val="0"/>
              <w:spacing w:line="320" w:lineRule="exact"/>
              <w:jc w:val="center"/>
              <w:rPr>
                <w:rFonts w:ascii="宋体" w:hAnsi="宋体"/>
                <w:sz w:val="21"/>
                <w:szCs w:val="21"/>
                <w:highlight w:val="none"/>
              </w:rPr>
            </w:pPr>
            <w:r>
              <w:rPr>
                <w:rFonts w:ascii="宋体" w:hAnsi="宋体"/>
                <w:sz w:val="21"/>
                <w:szCs w:val="21"/>
                <w:highlight w:val="none"/>
              </w:rPr>
              <w:t>条款名称</w:t>
            </w:r>
          </w:p>
        </w:tc>
        <w:tc>
          <w:tcPr>
            <w:tcW w:w="7250" w:type="dxa"/>
            <w:noWrap w:val="0"/>
            <w:vAlign w:val="center"/>
          </w:tcPr>
          <w:p w14:paraId="3E182391">
            <w:pPr>
              <w:snapToGrid w:val="0"/>
              <w:spacing w:line="320" w:lineRule="exact"/>
              <w:jc w:val="center"/>
              <w:rPr>
                <w:rFonts w:ascii="宋体" w:hAnsi="宋体"/>
                <w:sz w:val="21"/>
                <w:szCs w:val="21"/>
                <w:highlight w:val="none"/>
              </w:rPr>
            </w:pPr>
            <w:r>
              <w:rPr>
                <w:rFonts w:ascii="宋体" w:hAnsi="宋体"/>
                <w:sz w:val="21"/>
                <w:szCs w:val="21"/>
                <w:highlight w:val="none"/>
              </w:rPr>
              <w:t>评审因素与评审标准</w:t>
            </w:r>
          </w:p>
        </w:tc>
      </w:tr>
      <w:tr w14:paraId="64DD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9" w:type="dxa"/>
            <w:noWrap w:val="0"/>
            <w:vAlign w:val="center"/>
          </w:tcPr>
          <w:p w14:paraId="380BAD1C">
            <w:pPr>
              <w:snapToGrid w:val="0"/>
              <w:spacing w:line="320" w:lineRule="exact"/>
              <w:jc w:val="center"/>
              <w:rPr>
                <w:rFonts w:ascii="宋体" w:hAnsi="宋体"/>
                <w:sz w:val="21"/>
                <w:szCs w:val="21"/>
                <w:highlight w:val="none"/>
              </w:rPr>
            </w:pPr>
            <w:r>
              <w:rPr>
                <w:rFonts w:ascii="宋体" w:hAnsi="宋体"/>
                <w:sz w:val="21"/>
                <w:szCs w:val="21"/>
                <w:highlight w:val="none"/>
              </w:rPr>
              <w:t>1</w:t>
            </w:r>
          </w:p>
        </w:tc>
        <w:tc>
          <w:tcPr>
            <w:tcW w:w="1134" w:type="dxa"/>
            <w:noWrap w:val="0"/>
            <w:vAlign w:val="center"/>
          </w:tcPr>
          <w:p w14:paraId="6BECD2B2">
            <w:pPr>
              <w:snapToGrid w:val="0"/>
              <w:spacing w:line="320" w:lineRule="exact"/>
              <w:jc w:val="center"/>
              <w:rPr>
                <w:rFonts w:ascii="宋体" w:hAnsi="宋体"/>
                <w:sz w:val="21"/>
                <w:szCs w:val="21"/>
                <w:highlight w:val="none"/>
              </w:rPr>
            </w:pPr>
            <w:r>
              <w:rPr>
                <w:rFonts w:ascii="宋体" w:hAnsi="宋体"/>
                <w:sz w:val="21"/>
                <w:szCs w:val="21"/>
                <w:highlight w:val="none"/>
              </w:rPr>
              <w:t>评标办法</w:t>
            </w:r>
          </w:p>
        </w:tc>
        <w:tc>
          <w:tcPr>
            <w:tcW w:w="7250" w:type="dxa"/>
            <w:noWrap w:val="0"/>
            <w:vAlign w:val="center"/>
          </w:tcPr>
          <w:p w14:paraId="546C13E1">
            <w:pPr>
              <w:snapToGrid w:val="0"/>
              <w:spacing w:line="320" w:lineRule="exact"/>
              <w:ind w:firstLine="404" w:firstLineChars="200"/>
              <w:jc w:val="left"/>
              <w:rPr>
                <w:rFonts w:ascii="宋体" w:hAnsi="宋体"/>
                <w:spacing w:val="-4"/>
                <w:sz w:val="21"/>
                <w:szCs w:val="21"/>
                <w:highlight w:val="none"/>
              </w:rPr>
            </w:pPr>
            <w:r>
              <w:rPr>
                <w:rFonts w:ascii="宋体" w:hAnsi="宋体"/>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57D54146">
            <w:pPr>
              <w:snapToGrid w:val="0"/>
              <w:spacing w:line="320" w:lineRule="exact"/>
              <w:ind w:left="273" w:leftChars="97" w:hanging="1"/>
              <w:jc w:val="left"/>
              <w:rPr>
                <w:rFonts w:ascii="宋体" w:hAnsi="宋体"/>
                <w:spacing w:val="-4"/>
                <w:sz w:val="21"/>
                <w:szCs w:val="21"/>
                <w:highlight w:val="none"/>
              </w:rPr>
            </w:pPr>
            <w:r>
              <w:rPr>
                <w:rFonts w:ascii="宋体" w:hAnsi="宋体"/>
                <w:spacing w:val="-4"/>
                <w:sz w:val="21"/>
                <w:szCs w:val="21"/>
                <w:highlight w:val="none"/>
              </w:rPr>
              <w:t>（1）评标价低的投标人优先；</w:t>
            </w:r>
          </w:p>
          <w:p w14:paraId="774D0B10">
            <w:pPr>
              <w:snapToGrid w:val="0"/>
              <w:spacing w:line="320" w:lineRule="exact"/>
              <w:ind w:left="273" w:leftChars="97" w:hanging="1"/>
              <w:jc w:val="left"/>
              <w:rPr>
                <w:rFonts w:ascii="宋体" w:hAnsi="宋体"/>
                <w:spacing w:val="-4"/>
                <w:sz w:val="21"/>
                <w:szCs w:val="21"/>
                <w:highlight w:val="none"/>
              </w:rPr>
            </w:pPr>
            <w:r>
              <w:rPr>
                <w:rFonts w:ascii="宋体" w:hAnsi="宋体"/>
                <w:spacing w:val="-4"/>
                <w:sz w:val="21"/>
                <w:szCs w:val="21"/>
                <w:highlight w:val="none"/>
              </w:rPr>
              <w:t>（2）</w:t>
            </w:r>
            <w:r>
              <w:rPr>
                <w:rFonts w:hint="eastAsia" w:ascii="宋体" w:hAnsi="宋体"/>
                <w:spacing w:val="-4"/>
                <w:sz w:val="21"/>
                <w:szCs w:val="21"/>
                <w:highlight w:val="none"/>
                <w:lang w:val="en-US" w:eastAsia="zh-CN"/>
              </w:rPr>
              <w:t>服务</w:t>
            </w:r>
            <w:r>
              <w:rPr>
                <w:rFonts w:ascii="宋体" w:hAnsi="宋体"/>
                <w:spacing w:val="-4"/>
                <w:sz w:val="21"/>
                <w:szCs w:val="21"/>
                <w:highlight w:val="none"/>
              </w:rPr>
              <w:t>方案得分较高的投标人优先；</w:t>
            </w:r>
          </w:p>
          <w:p w14:paraId="0099EEB4">
            <w:pPr>
              <w:snapToGrid w:val="0"/>
              <w:spacing w:line="320" w:lineRule="exact"/>
              <w:ind w:firstLine="272"/>
              <w:jc w:val="left"/>
              <w:rPr>
                <w:rFonts w:hint="eastAsia" w:ascii="宋体" w:hAnsi="宋体"/>
                <w:sz w:val="21"/>
                <w:szCs w:val="21"/>
                <w:highlight w:val="none"/>
              </w:rPr>
            </w:pPr>
            <w:r>
              <w:rPr>
                <w:rFonts w:ascii="宋体" w:hAnsi="宋体"/>
                <w:spacing w:val="-4"/>
                <w:sz w:val="21"/>
                <w:szCs w:val="21"/>
                <w:highlight w:val="none"/>
              </w:rPr>
              <w:t>（3）投标人满足资格审查条件（业绩最低</w:t>
            </w:r>
            <w:r>
              <w:rPr>
                <w:rFonts w:hint="eastAsia" w:ascii="宋体" w:hAnsi="宋体"/>
                <w:spacing w:val="-4"/>
                <w:sz w:val="21"/>
                <w:szCs w:val="21"/>
                <w:highlight w:val="none"/>
              </w:rPr>
              <w:t>要求</w:t>
            </w:r>
            <w:r>
              <w:rPr>
                <w:rFonts w:ascii="宋体" w:hAnsi="宋体"/>
                <w:spacing w:val="-4"/>
                <w:sz w:val="21"/>
                <w:szCs w:val="21"/>
                <w:highlight w:val="none"/>
              </w:rPr>
              <w:t>）的业绩</w:t>
            </w:r>
            <w:r>
              <w:rPr>
                <w:rFonts w:hint="eastAsia" w:ascii="宋体" w:hAnsi="宋体"/>
                <w:spacing w:val="-4"/>
                <w:sz w:val="21"/>
                <w:szCs w:val="21"/>
                <w:highlight w:val="none"/>
                <w:lang w:val="en-US" w:eastAsia="zh-CN"/>
              </w:rPr>
              <w:t>个数</w:t>
            </w:r>
            <w:r>
              <w:rPr>
                <w:rFonts w:ascii="宋体" w:hAnsi="宋体"/>
                <w:spacing w:val="-4"/>
                <w:sz w:val="21"/>
                <w:szCs w:val="21"/>
                <w:highlight w:val="none"/>
              </w:rPr>
              <w:t>较</w:t>
            </w:r>
            <w:r>
              <w:rPr>
                <w:rFonts w:hint="eastAsia" w:ascii="宋体" w:hAnsi="宋体"/>
                <w:spacing w:val="-4"/>
                <w:sz w:val="21"/>
                <w:szCs w:val="21"/>
                <w:highlight w:val="none"/>
                <w:lang w:val="en-US" w:eastAsia="zh-CN"/>
              </w:rPr>
              <w:t>多</w:t>
            </w:r>
            <w:r>
              <w:rPr>
                <w:rFonts w:ascii="宋体" w:hAnsi="宋体"/>
                <w:spacing w:val="-4"/>
                <w:sz w:val="21"/>
                <w:szCs w:val="21"/>
                <w:highlight w:val="none"/>
              </w:rPr>
              <w:t>的优先。</w:t>
            </w:r>
          </w:p>
        </w:tc>
      </w:tr>
      <w:tr w14:paraId="2BDB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59" w:type="dxa"/>
            <w:noWrap w:val="0"/>
            <w:vAlign w:val="center"/>
          </w:tcPr>
          <w:p w14:paraId="6CAD2429">
            <w:pPr>
              <w:snapToGrid w:val="0"/>
              <w:spacing w:line="320" w:lineRule="exact"/>
              <w:jc w:val="center"/>
              <w:rPr>
                <w:rFonts w:ascii="宋体" w:hAnsi="宋体"/>
                <w:sz w:val="21"/>
                <w:szCs w:val="21"/>
                <w:highlight w:val="none"/>
              </w:rPr>
            </w:pPr>
            <w:r>
              <w:rPr>
                <w:rFonts w:ascii="宋体" w:hAnsi="宋体"/>
                <w:sz w:val="21"/>
                <w:szCs w:val="21"/>
                <w:highlight w:val="none"/>
              </w:rPr>
              <w:t>2.1.1</w:t>
            </w:r>
          </w:p>
          <w:p w14:paraId="3A9F5A92">
            <w:pPr>
              <w:snapToGrid w:val="0"/>
              <w:spacing w:line="320" w:lineRule="exact"/>
              <w:jc w:val="center"/>
              <w:rPr>
                <w:rFonts w:ascii="宋体" w:hAnsi="宋体"/>
                <w:sz w:val="21"/>
                <w:szCs w:val="21"/>
                <w:highlight w:val="none"/>
              </w:rPr>
            </w:pPr>
            <w:r>
              <w:rPr>
                <w:rFonts w:ascii="宋体" w:hAnsi="宋体"/>
                <w:sz w:val="21"/>
                <w:szCs w:val="21"/>
                <w:highlight w:val="none"/>
              </w:rPr>
              <w:t>2.1.3</w:t>
            </w:r>
          </w:p>
        </w:tc>
        <w:tc>
          <w:tcPr>
            <w:tcW w:w="1134" w:type="dxa"/>
            <w:noWrap w:val="0"/>
            <w:vAlign w:val="center"/>
          </w:tcPr>
          <w:p w14:paraId="65166A3F">
            <w:pPr>
              <w:snapToGrid w:val="0"/>
              <w:spacing w:line="320" w:lineRule="exact"/>
              <w:jc w:val="center"/>
              <w:rPr>
                <w:rFonts w:ascii="宋体" w:hAnsi="宋体"/>
                <w:sz w:val="21"/>
                <w:szCs w:val="21"/>
                <w:highlight w:val="none"/>
              </w:rPr>
            </w:pPr>
            <w:r>
              <w:rPr>
                <w:rFonts w:ascii="宋体" w:hAnsi="宋体"/>
                <w:sz w:val="21"/>
                <w:szCs w:val="21"/>
                <w:highlight w:val="none"/>
              </w:rPr>
              <w:t>形式评审与响应性评审标准</w:t>
            </w:r>
          </w:p>
        </w:tc>
        <w:tc>
          <w:tcPr>
            <w:tcW w:w="7250" w:type="dxa"/>
            <w:noWrap w:val="0"/>
            <w:vAlign w:val="top"/>
          </w:tcPr>
          <w:p w14:paraId="544839A3">
            <w:pPr>
              <w:tabs>
                <w:tab w:val="left" w:pos="3060"/>
              </w:tabs>
              <w:snapToGrid w:val="0"/>
              <w:spacing w:line="320" w:lineRule="exact"/>
              <w:rPr>
                <w:rFonts w:ascii="宋体" w:hAnsi="宋体"/>
                <w:b/>
                <w:sz w:val="21"/>
                <w:szCs w:val="21"/>
                <w:highlight w:val="none"/>
              </w:rPr>
            </w:pPr>
            <w:r>
              <w:rPr>
                <w:rFonts w:ascii="宋体" w:hAnsi="宋体"/>
                <w:b/>
                <w:sz w:val="21"/>
                <w:szCs w:val="21"/>
                <w:highlight w:val="none"/>
              </w:rPr>
              <w:t>第一个信封（商务及技术文件）评审标准：</w:t>
            </w:r>
          </w:p>
          <w:p w14:paraId="0161ADC3">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（1）投标文件按照招标文件规定的格式、内容填写，字迹清晰可辨：</w:t>
            </w:r>
          </w:p>
          <w:p w14:paraId="356B1A5F">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a.投标函按招标文件规定填报了项目名称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补遗书编号（如有）、质量要求、安全目标、服务期限；</w:t>
            </w:r>
          </w:p>
          <w:p w14:paraId="45798A71">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b.投标文件组成齐全完整，内容均按规定填写。</w:t>
            </w:r>
          </w:p>
          <w:p w14:paraId="073BEFE7">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4839B7B3">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（3）投标人按照招标文件的规定提供了投标保证金，并符合投标人须知前附表3.4.1项的相关规定。</w:t>
            </w:r>
          </w:p>
          <w:p w14:paraId="12D6CD7C">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（4）投标人法定代表人授权委托代理人签署投标文件的，须提交授权委托书，</w:t>
            </w:r>
            <w:r>
              <w:rPr>
                <w:rFonts w:hint="eastAsia" w:ascii="宋体" w:hAnsi="宋体" w:cs="宋体"/>
                <w:color w:val="000000"/>
                <w:sz w:val="21"/>
                <w:szCs w:val="21"/>
                <w:highlight w:val="none"/>
              </w:rPr>
              <w:t>授权委托书符合招标文件规定</w:t>
            </w:r>
            <w:r>
              <w:rPr>
                <w:rFonts w:ascii="宋体" w:hAnsi="宋体"/>
                <w:sz w:val="21"/>
                <w:szCs w:val="21"/>
                <w:highlight w:val="none"/>
              </w:rPr>
              <w:t>。</w:t>
            </w:r>
          </w:p>
          <w:p w14:paraId="1E64026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（5）投标人法定代表人亲自签署投标文件的，提供了法定代表人身份证明，并符合招标文件的规定。</w:t>
            </w:r>
          </w:p>
          <w:p w14:paraId="2392BBC3">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sz w:val="21"/>
                <w:szCs w:val="21"/>
                <w:highlight w:val="none"/>
              </w:rPr>
            </w:pPr>
            <w:r>
              <w:rPr>
                <w:rFonts w:hint="eastAsia" w:ascii="宋体" w:hAnsi="宋体"/>
                <w:sz w:val="21"/>
                <w:szCs w:val="21"/>
                <w:highlight w:val="none"/>
              </w:rPr>
              <w:t>（6）投标人以联合体形式投标时，联合体满足招标文件的要求：</w:t>
            </w:r>
          </w:p>
          <w:p w14:paraId="7A260BC6">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sz w:val="21"/>
                <w:szCs w:val="21"/>
                <w:highlight w:val="none"/>
              </w:rPr>
            </w:pPr>
            <w:r>
              <w:rPr>
                <w:rFonts w:hint="eastAsia" w:ascii="宋体" w:hAnsi="宋体"/>
                <w:sz w:val="21"/>
                <w:szCs w:val="21"/>
                <w:highlight w:val="none"/>
                <w:lang w:val="en-US" w:eastAsia="zh-CN"/>
              </w:rPr>
              <w:t>a.联合体所有成员</w:t>
            </w:r>
            <w:r>
              <w:rPr>
                <w:rFonts w:hint="eastAsia" w:ascii="宋体" w:hAnsi="宋体"/>
                <w:sz w:val="21"/>
                <w:szCs w:val="21"/>
                <w:highlight w:val="none"/>
                <w:lang w:eastAsia="zh-CN"/>
              </w:rPr>
              <w:t>（</w:t>
            </w:r>
            <w:r>
              <w:rPr>
                <w:rFonts w:hint="eastAsia" w:ascii="宋体" w:hAnsi="宋体"/>
                <w:sz w:val="21"/>
                <w:szCs w:val="21"/>
                <w:highlight w:val="none"/>
                <w:lang w:val="en-US" w:eastAsia="zh-CN"/>
              </w:rPr>
              <w:t>含联合体牵头人）数量不得超过 2家。</w:t>
            </w:r>
          </w:p>
          <w:p w14:paraId="1A4575AE">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sz w:val="21"/>
                <w:szCs w:val="21"/>
                <w:highlight w:val="none"/>
              </w:rPr>
            </w:pPr>
            <w:r>
              <w:rPr>
                <w:rFonts w:hint="eastAsia" w:ascii="宋体" w:hAnsi="宋体"/>
                <w:sz w:val="21"/>
                <w:szCs w:val="21"/>
                <w:highlight w:val="none"/>
                <w:lang w:val="en-US" w:eastAsia="zh-CN"/>
              </w:rPr>
              <w:t>b.</w:t>
            </w:r>
            <w:r>
              <w:rPr>
                <w:rFonts w:hint="eastAsia" w:ascii="宋体" w:hAnsi="宋体"/>
                <w:sz w:val="21"/>
                <w:szCs w:val="21"/>
                <w:highlight w:val="none"/>
              </w:rPr>
              <w:t>投标人按照招标文件提供的格式和要求签订了联合体协议书，明确各方承担连带责任，并明确了联合体牵头人。</w:t>
            </w:r>
          </w:p>
          <w:p w14:paraId="57A394F8">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（7）</w:t>
            </w:r>
            <w:r>
              <w:rPr>
                <w:rFonts w:hint="eastAsia" w:ascii="宋体" w:hAnsi="宋体"/>
                <w:sz w:val="21"/>
                <w:szCs w:val="21"/>
                <w:highlight w:val="none"/>
              </w:rPr>
              <w:t>投标人未对本项目进行分包</w:t>
            </w:r>
            <w:r>
              <w:rPr>
                <w:rFonts w:ascii="宋体" w:hAnsi="宋体"/>
                <w:sz w:val="21"/>
                <w:szCs w:val="21"/>
                <w:highlight w:val="none"/>
              </w:rPr>
              <w:t>。</w:t>
            </w:r>
          </w:p>
          <w:p w14:paraId="43DABD93">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（8）</w:t>
            </w:r>
            <w:r>
              <w:rPr>
                <w:rFonts w:hint="eastAsia" w:ascii="宋体" w:hAnsi="宋体"/>
                <w:sz w:val="21"/>
                <w:szCs w:val="21"/>
                <w:highlight w:val="none"/>
              </w:rPr>
              <w:t>同一投标人未提交两个以上不同的投标文件</w:t>
            </w:r>
            <w:r>
              <w:rPr>
                <w:rFonts w:ascii="宋体" w:hAnsi="宋体"/>
                <w:sz w:val="21"/>
                <w:szCs w:val="21"/>
                <w:highlight w:val="none"/>
              </w:rPr>
              <w:t>。</w:t>
            </w:r>
          </w:p>
          <w:p w14:paraId="05077E5D">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（9）投标文件中未出现有关投标报价的内容。</w:t>
            </w:r>
          </w:p>
          <w:p w14:paraId="5B099D27">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（10）投标文件载明的招标项目完成期限未超过招标文件规定。</w:t>
            </w:r>
          </w:p>
          <w:p w14:paraId="34BCD8EE">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（11）投标文件对招标文件的实质性要求和条件作出响应。</w:t>
            </w:r>
          </w:p>
          <w:p w14:paraId="41184E67">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（12）权利义务符合招标文件规定：</w:t>
            </w:r>
          </w:p>
          <w:p w14:paraId="00A2F45D">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a.投标人应接受招标文件规定的风险划分原则，未提出新的风险划分办法；</w:t>
            </w:r>
          </w:p>
          <w:p w14:paraId="5370CE59">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b.投标人未增加发包人的责任范围，或减少投标人义务；</w:t>
            </w:r>
          </w:p>
          <w:p w14:paraId="44A0D4C1">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c.投标人未提出不同的支付办法；</w:t>
            </w:r>
          </w:p>
          <w:p w14:paraId="79A31EE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d.投标人对合同纠纷、事故处理办法未提出异议；</w:t>
            </w:r>
          </w:p>
          <w:p w14:paraId="4DFBD22F">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e.投标人在投标活动中无欺诈行为；</w:t>
            </w:r>
          </w:p>
          <w:p w14:paraId="5F13F50C">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f.投标人未对合同条款有重要保留。</w:t>
            </w:r>
          </w:p>
          <w:p w14:paraId="31185AFA">
            <w:pPr>
              <w:tabs>
                <w:tab w:val="left" w:pos="3060"/>
              </w:tabs>
              <w:snapToGrid w:val="0"/>
              <w:spacing w:line="320" w:lineRule="exact"/>
              <w:rPr>
                <w:rFonts w:ascii="宋体" w:hAnsi="宋体"/>
                <w:b/>
                <w:sz w:val="21"/>
                <w:szCs w:val="21"/>
                <w:highlight w:val="none"/>
              </w:rPr>
            </w:pPr>
            <w:r>
              <w:rPr>
                <w:rFonts w:ascii="宋体" w:hAnsi="宋体"/>
                <w:b/>
                <w:sz w:val="21"/>
                <w:szCs w:val="21"/>
                <w:highlight w:val="none"/>
              </w:rPr>
              <w:t>第二个信封（报价文件）评审标准：</w:t>
            </w:r>
          </w:p>
          <w:p w14:paraId="2F493FB1">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（1）投标文件按照招标文件规定的格式、内容填写，字迹清晰可辨，内容齐全完整。</w:t>
            </w:r>
          </w:p>
          <w:p w14:paraId="6DACEFC4">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a.投标函按招标文件规定填报了项目名称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补遗书编号（如有）、投标</w:t>
            </w:r>
            <w:r>
              <w:rPr>
                <w:rFonts w:hint="eastAsia" w:ascii="宋体" w:hAnsi="宋体"/>
                <w:bCs/>
                <w:sz w:val="21"/>
                <w:szCs w:val="21"/>
                <w:highlight w:val="none"/>
              </w:rPr>
              <w:t>报</w:t>
            </w:r>
            <w:r>
              <w:rPr>
                <w:rFonts w:ascii="宋体" w:hAnsi="宋体"/>
                <w:bCs/>
                <w:sz w:val="21"/>
                <w:szCs w:val="21"/>
                <w:highlight w:val="none"/>
              </w:rPr>
              <w:t>价（包括大写金额和小写金额）；</w:t>
            </w:r>
          </w:p>
          <w:p w14:paraId="555301AA">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b．</w:t>
            </w:r>
            <w:r>
              <w:rPr>
                <w:rFonts w:hint="eastAsia" w:ascii="宋体" w:hAnsi="宋体" w:eastAsia="宋体" w:cs="宋体"/>
                <w:bCs/>
                <w:sz w:val="21"/>
                <w:szCs w:val="21"/>
                <w:highlight w:val="none"/>
              </w:rPr>
              <w:t>已标价</w:t>
            </w:r>
            <w:r>
              <w:rPr>
                <w:rFonts w:hint="eastAsia" w:ascii="宋体" w:hAnsi="宋体" w:cs="宋体"/>
                <w:bCs/>
                <w:sz w:val="21"/>
                <w:szCs w:val="21"/>
                <w:highlight w:val="none"/>
                <w:lang w:val="en-US" w:eastAsia="zh-CN"/>
              </w:rPr>
              <w:t>报价</w:t>
            </w:r>
            <w:r>
              <w:rPr>
                <w:rFonts w:hint="eastAsia" w:ascii="宋体" w:hAnsi="宋体" w:eastAsia="宋体" w:cs="宋体"/>
                <w:bCs/>
                <w:sz w:val="21"/>
                <w:szCs w:val="21"/>
                <w:highlight w:val="none"/>
              </w:rPr>
              <w:t>说明文字与招标文件规定一致，未进行实质性修改和删减；</w:t>
            </w:r>
          </w:p>
          <w:p w14:paraId="5398FE2D">
            <w:pPr>
              <w:tabs>
                <w:tab w:val="left" w:pos="3060"/>
              </w:tabs>
              <w:snapToGrid w:val="0"/>
              <w:spacing w:line="320" w:lineRule="exact"/>
              <w:ind w:firstLine="205" w:firstLineChars="98"/>
              <w:rPr>
                <w:rFonts w:ascii="宋体" w:hAnsi="宋体"/>
                <w:bCs/>
                <w:sz w:val="21"/>
                <w:szCs w:val="21"/>
                <w:highlight w:val="none"/>
              </w:rPr>
            </w:pPr>
            <w:r>
              <w:rPr>
                <w:rFonts w:hint="eastAsia" w:ascii="宋体" w:hAnsi="宋体"/>
                <w:bCs/>
                <w:sz w:val="21"/>
                <w:szCs w:val="21"/>
                <w:highlight w:val="none"/>
                <w:lang w:val="en-US" w:eastAsia="zh-CN"/>
              </w:rPr>
              <w:t>C.</w:t>
            </w:r>
            <w:r>
              <w:rPr>
                <w:rFonts w:ascii="宋体" w:hAnsi="宋体"/>
                <w:bCs/>
                <w:sz w:val="21"/>
                <w:szCs w:val="21"/>
                <w:highlight w:val="none"/>
              </w:rPr>
              <w:t>投标文件组成齐全完整，内容均按规定填写。</w:t>
            </w:r>
          </w:p>
          <w:p w14:paraId="25B26B71">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2AB58CBF">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（3）投标报价未超过招标文件设定的最高投标限价。</w:t>
            </w:r>
          </w:p>
          <w:p w14:paraId="660250B4">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（4）投标报价的大写金额能够确定具体数值。</w:t>
            </w:r>
          </w:p>
          <w:p w14:paraId="1DB8AEDA">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（5）同一投标人未提交两个以上不同的投标报价。</w:t>
            </w:r>
          </w:p>
          <w:p w14:paraId="054F1EB2">
            <w:pPr>
              <w:pStyle w:val="5"/>
              <w:ind w:firstLine="210" w:firstLineChars="100"/>
              <w:rPr>
                <w:rFonts w:hint="default" w:eastAsia="宋体"/>
                <w:highlight w:val="none"/>
                <w:lang w:val="en-US" w:eastAsia="zh-CN"/>
              </w:rPr>
            </w:pP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6</w:t>
            </w: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报价表中的投标报价与投标函中大写金额报价一致。</w:t>
            </w:r>
          </w:p>
        </w:tc>
      </w:tr>
      <w:tr w14:paraId="7C4F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6A3109C0">
            <w:pPr>
              <w:snapToGrid w:val="0"/>
              <w:spacing w:line="320" w:lineRule="exact"/>
              <w:jc w:val="center"/>
              <w:rPr>
                <w:rFonts w:ascii="宋体" w:hAnsi="宋体"/>
                <w:sz w:val="21"/>
                <w:szCs w:val="21"/>
                <w:highlight w:val="none"/>
              </w:rPr>
            </w:pPr>
            <w:r>
              <w:rPr>
                <w:rFonts w:ascii="宋体" w:hAnsi="宋体"/>
                <w:sz w:val="21"/>
                <w:szCs w:val="21"/>
                <w:highlight w:val="none"/>
              </w:rPr>
              <w:t>2.1.2</w:t>
            </w:r>
          </w:p>
        </w:tc>
        <w:tc>
          <w:tcPr>
            <w:tcW w:w="1134" w:type="dxa"/>
            <w:noWrap w:val="0"/>
            <w:vAlign w:val="center"/>
          </w:tcPr>
          <w:p w14:paraId="10212D53">
            <w:pPr>
              <w:snapToGrid w:val="0"/>
              <w:spacing w:line="320" w:lineRule="exact"/>
              <w:jc w:val="center"/>
              <w:rPr>
                <w:rFonts w:ascii="宋体" w:hAnsi="宋体"/>
                <w:sz w:val="21"/>
                <w:szCs w:val="21"/>
                <w:highlight w:val="none"/>
              </w:rPr>
            </w:pPr>
            <w:r>
              <w:rPr>
                <w:rFonts w:ascii="宋体" w:hAnsi="宋体"/>
                <w:sz w:val="21"/>
                <w:szCs w:val="21"/>
                <w:highlight w:val="none"/>
              </w:rPr>
              <w:t>资格评审标准</w:t>
            </w:r>
          </w:p>
        </w:tc>
        <w:tc>
          <w:tcPr>
            <w:tcW w:w="7250" w:type="dxa"/>
            <w:noWrap w:val="0"/>
            <w:vAlign w:val="top"/>
          </w:tcPr>
          <w:p w14:paraId="14C5BF8E">
            <w:pPr>
              <w:tabs>
                <w:tab w:val="left" w:pos="3060"/>
              </w:tabs>
              <w:snapToGrid w:val="0"/>
              <w:spacing w:line="320" w:lineRule="exact"/>
              <w:rPr>
                <w:rFonts w:ascii="宋体" w:hAnsi="宋体"/>
                <w:sz w:val="21"/>
                <w:szCs w:val="21"/>
                <w:highlight w:val="none"/>
              </w:rPr>
            </w:pPr>
            <w:r>
              <w:rPr>
                <w:rFonts w:ascii="宋体" w:hAnsi="宋体"/>
                <w:sz w:val="21"/>
                <w:szCs w:val="21"/>
                <w:highlight w:val="none"/>
              </w:rPr>
              <w:t>（1）投标人具备</w:t>
            </w:r>
            <w:r>
              <w:rPr>
                <w:rFonts w:hint="eastAsia" w:ascii="宋体" w:hAnsi="宋体"/>
                <w:sz w:val="21"/>
                <w:szCs w:val="21"/>
                <w:highlight w:val="none"/>
              </w:rPr>
              <w:t>投标人具备有效的营业执照、</w:t>
            </w:r>
            <w:r>
              <w:rPr>
                <w:rFonts w:hint="eastAsia" w:ascii="宋体" w:hAnsi="宋体"/>
                <w:sz w:val="21"/>
                <w:szCs w:val="21"/>
                <w:highlight w:val="none"/>
                <w:lang w:val="en-US" w:eastAsia="zh-CN"/>
              </w:rPr>
              <w:t>资质证书</w:t>
            </w:r>
            <w:r>
              <w:rPr>
                <w:rFonts w:hint="eastAsia" w:ascii="宋体" w:hAnsi="宋体"/>
                <w:sz w:val="21"/>
                <w:szCs w:val="21"/>
                <w:highlight w:val="none"/>
              </w:rPr>
              <w:t>、基本账户开户许可证（或基本存款账户信息）</w:t>
            </w:r>
            <w:r>
              <w:rPr>
                <w:rFonts w:ascii="宋体" w:hAnsi="宋体"/>
                <w:sz w:val="21"/>
                <w:szCs w:val="21"/>
                <w:highlight w:val="none"/>
              </w:rPr>
              <w:t>；</w:t>
            </w:r>
          </w:p>
          <w:p w14:paraId="11C3AAC7">
            <w:pPr>
              <w:tabs>
                <w:tab w:val="left" w:pos="3060"/>
              </w:tabs>
              <w:snapToGrid w:val="0"/>
              <w:spacing w:line="320" w:lineRule="exact"/>
              <w:rPr>
                <w:rFonts w:ascii="宋体" w:hAnsi="宋体"/>
                <w:sz w:val="21"/>
                <w:szCs w:val="21"/>
                <w:highlight w:val="none"/>
              </w:rPr>
            </w:pPr>
            <w:r>
              <w:rPr>
                <w:rFonts w:ascii="宋体" w:hAnsi="宋体"/>
                <w:sz w:val="21"/>
                <w:szCs w:val="21"/>
                <w:highlight w:val="none"/>
              </w:rPr>
              <w:t>（2）投标人的资质等级符合招标文件规定；</w:t>
            </w:r>
          </w:p>
          <w:p w14:paraId="78D97E0E">
            <w:pPr>
              <w:tabs>
                <w:tab w:val="left" w:pos="3060"/>
              </w:tabs>
              <w:snapToGrid w:val="0"/>
              <w:spacing w:line="320" w:lineRule="exact"/>
              <w:rPr>
                <w:rFonts w:ascii="宋体" w:hAnsi="宋体"/>
                <w:sz w:val="21"/>
                <w:szCs w:val="21"/>
                <w:highlight w:val="none"/>
              </w:rPr>
            </w:pPr>
            <w:r>
              <w:rPr>
                <w:rFonts w:ascii="宋体" w:hAnsi="宋体"/>
                <w:sz w:val="21"/>
                <w:szCs w:val="21"/>
                <w:highlight w:val="none"/>
              </w:rPr>
              <w:t>（3）投标人的类似项目业绩符合招标文件规定；</w:t>
            </w:r>
          </w:p>
          <w:p w14:paraId="52F6978B">
            <w:pPr>
              <w:tabs>
                <w:tab w:val="left" w:pos="3060"/>
              </w:tabs>
              <w:snapToGrid w:val="0"/>
              <w:spacing w:line="320" w:lineRule="exact"/>
              <w:rPr>
                <w:rFonts w:ascii="宋体" w:hAnsi="宋体"/>
                <w:sz w:val="21"/>
                <w:szCs w:val="21"/>
                <w:highlight w:val="none"/>
              </w:rPr>
            </w:pPr>
            <w:r>
              <w:rPr>
                <w:rFonts w:ascii="宋体" w:hAnsi="宋体"/>
                <w:sz w:val="21"/>
                <w:szCs w:val="21"/>
                <w:highlight w:val="none"/>
              </w:rPr>
              <w:t>（4）投标人的信誉符合招标文件规定；</w:t>
            </w:r>
          </w:p>
          <w:p w14:paraId="131C60D1">
            <w:pPr>
              <w:tabs>
                <w:tab w:val="left" w:pos="3060"/>
              </w:tabs>
              <w:snapToGrid w:val="0"/>
              <w:spacing w:line="320" w:lineRule="exact"/>
              <w:rPr>
                <w:rFonts w:ascii="宋体" w:hAnsi="宋体" w:eastAsia="宋体" w:cs="Times New Roman"/>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5</w:t>
            </w:r>
            <w:r>
              <w:rPr>
                <w:rFonts w:ascii="宋体" w:hAnsi="宋体"/>
                <w:sz w:val="21"/>
                <w:szCs w:val="21"/>
                <w:highlight w:val="none"/>
              </w:rPr>
              <w:t>）投标人不存在第二章“投标人须知”第1.4.3项或第1.4.4项规定的任</w:t>
            </w:r>
            <w:r>
              <w:rPr>
                <w:rFonts w:ascii="宋体" w:hAnsi="宋体" w:eastAsia="宋体" w:cs="Times New Roman"/>
                <w:sz w:val="21"/>
                <w:szCs w:val="21"/>
                <w:highlight w:val="none"/>
              </w:rPr>
              <w:t>何一种情形。</w:t>
            </w:r>
          </w:p>
          <w:p w14:paraId="1A872F0D">
            <w:pPr>
              <w:tabs>
                <w:tab w:val="left" w:pos="3060"/>
              </w:tabs>
              <w:snapToGrid w:val="0"/>
              <w:spacing w:line="320" w:lineRule="exact"/>
              <w:rPr>
                <w:highlight w:val="none"/>
              </w:rPr>
            </w:pPr>
            <w:r>
              <w:rPr>
                <w:rFonts w:hint="eastAsia" w:ascii="宋体" w:hAnsi="宋体" w:eastAsia="宋体" w:cs="Times New Roman"/>
                <w:sz w:val="21"/>
                <w:szCs w:val="21"/>
                <w:highlight w:val="none"/>
                <w:lang w:val="en-US" w:eastAsia="zh-CN"/>
              </w:rPr>
              <w:t>（6）</w:t>
            </w:r>
            <w:r>
              <w:rPr>
                <w:rFonts w:hint="eastAsia" w:ascii="宋体" w:hAnsi="宋体" w:eastAsia="宋体" w:cs="宋体"/>
                <w:bCs/>
                <w:sz w:val="21"/>
                <w:szCs w:val="21"/>
                <w:highlight w:val="none"/>
              </w:rPr>
              <w:t>以联合体形式参与投标的，联合体各方均未再以自己名义单独或参加其他联合体在本项目的投标</w:t>
            </w:r>
            <w:r>
              <w:rPr>
                <w:rFonts w:hint="eastAsia" w:ascii="宋体" w:hAnsi="宋体" w:cs="宋体"/>
                <w:bCs/>
                <w:sz w:val="21"/>
                <w:szCs w:val="21"/>
                <w:highlight w:val="none"/>
                <w:lang w:eastAsia="zh-CN"/>
              </w:rPr>
              <w:t>。</w:t>
            </w:r>
          </w:p>
        </w:tc>
      </w:tr>
      <w:tr w14:paraId="1E04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37726038">
            <w:pPr>
              <w:snapToGrid w:val="0"/>
              <w:spacing w:line="320" w:lineRule="exact"/>
              <w:jc w:val="center"/>
              <w:rPr>
                <w:rFonts w:ascii="宋体" w:hAnsi="宋体"/>
                <w:sz w:val="21"/>
                <w:szCs w:val="21"/>
                <w:highlight w:val="none"/>
              </w:rPr>
            </w:pPr>
            <w:r>
              <w:rPr>
                <w:rFonts w:ascii="宋体" w:hAnsi="宋体"/>
                <w:sz w:val="21"/>
                <w:szCs w:val="21"/>
                <w:highlight w:val="none"/>
              </w:rPr>
              <w:t>2.2.1</w:t>
            </w:r>
          </w:p>
        </w:tc>
        <w:tc>
          <w:tcPr>
            <w:tcW w:w="1134" w:type="dxa"/>
            <w:noWrap w:val="0"/>
            <w:vAlign w:val="center"/>
          </w:tcPr>
          <w:p w14:paraId="6AEC2A10">
            <w:pPr>
              <w:snapToGrid w:val="0"/>
              <w:spacing w:line="320" w:lineRule="exact"/>
              <w:jc w:val="center"/>
              <w:rPr>
                <w:rFonts w:ascii="宋体" w:hAnsi="宋体"/>
                <w:sz w:val="21"/>
                <w:szCs w:val="21"/>
                <w:highlight w:val="none"/>
              </w:rPr>
            </w:pPr>
            <w:r>
              <w:rPr>
                <w:rFonts w:ascii="宋体" w:hAnsi="宋体"/>
                <w:sz w:val="21"/>
                <w:szCs w:val="21"/>
                <w:highlight w:val="none"/>
              </w:rPr>
              <w:t>分值</w:t>
            </w:r>
          </w:p>
          <w:p w14:paraId="1C9427D6">
            <w:pPr>
              <w:snapToGrid w:val="0"/>
              <w:spacing w:line="320" w:lineRule="exact"/>
              <w:jc w:val="center"/>
              <w:rPr>
                <w:rFonts w:ascii="宋体" w:hAnsi="宋体"/>
                <w:sz w:val="21"/>
                <w:szCs w:val="21"/>
                <w:highlight w:val="none"/>
              </w:rPr>
            </w:pPr>
            <w:r>
              <w:rPr>
                <w:rFonts w:ascii="宋体" w:hAnsi="宋体"/>
                <w:sz w:val="21"/>
                <w:szCs w:val="21"/>
                <w:highlight w:val="none"/>
              </w:rPr>
              <w:t>构成</w:t>
            </w:r>
          </w:p>
        </w:tc>
        <w:tc>
          <w:tcPr>
            <w:tcW w:w="7250" w:type="dxa"/>
            <w:noWrap w:val="0"/>
            <w:vAlign w:val="center"/>
          </w:tcPr>
          <w:p w14:paraId="7C0F9508">
            <w:pPr>
              <w:autoSpaceDE w:val="0"/>
              <w:autoSpaceDN w:val="0"/>
              <w:adjustRightInd w:val="0"/>
              <w:snapToGrid w:val="0"/>
              <w:spacing w:line="320" w:lineRule="exact"/>
              <w:ind w:left="107"/>
              <w:jc w:val="left"/>
              <w:rPr>
                <w:rFonts w:ascii="宋体" w:hAnsi="宋体"/>
                <w:b/>
                <w:kern w:val="0"/>
                <w:sz w:val="21"/>
                <w:szCs w:val="21"/>
                <w:highlight w:val="none"/>
              </w:rPr>
            </w:pPr>
            <w:r>
              <w:rPr>
                <w:rFonts w:ascii="宋体" w:hAnsi="宋体"/>
                <w:b/>
                <w:kern w:val="0"/>
                <w:sz w:val="21"/>
                <w:szCs w:val="21"/>
                <w:highlight w:val="none"/>
              </w:rPr>
              <w:t>第一信封（商务及技术文件）评分分值构成：</w:t>
            </w:r>
          </w:p>
          <w:p w14:paraId="7E9FFBC4">
            <w:pPr>
              <w:autoSpaceDE w:val="0"/>
              <w:autoSpaceDN w:val="0"/>
              <w:adjustRightInd w:val="0"/>
              <w:snapToGrid w:val="0"/>
              <w:spacing w:line="320" w:lineRule="exact"/>
              <w:ind w:firstLine="210" w:firstLineChars="100"/>
              <w:jc w:val="left"/>
              <w:rPr>
                <w:rFonts w:ascii="宋体" w:hAnsi="宋体"/>
                <w:kern w:val="0"/>
                <w:sz w:val="21"/>
                <w:szCs w:val="21"/>
                <w:highlight w:val="none"/>
              </w:rPr>
            </w:pPr>
            <w:r>
              <w:rPr>
                <w:rFonts w:hint="eastAsia" w:ascii="宋体" w:hAnsi="宋体"/>
                <w:kern w:val="0"/>
                <w:sz w:val="21"/>
                <w:szCs w:val="21"/>
                <w:highlight w:val="none"/>
                <w:lang w:val="en-US" w:eastAsia="zh-CN"/>
              </w:rPr>
              <w:t>服务</w:t>
            </w:r>
            <w:r>
              <w:rPr>
                <w:rFonts w:ascii="宋体" w:hAnsi="宋体"/>
                <w:kern w:val="0"/>
                <w:sz w:val="21"/>
                <w:szCs w:val="21"/>
                <w:highlight w:val="none"/>
              </w:rPr>
              <w:t>方案：</w:t>
            </w:r>
            <w:r>
              <w:rPr>
                <w:rFonts w:hint="eastAsia" w:ascii="宋体" w:hAnsi="宋体"/>
                <w:kern w:val="0"/>
                <w:sz w:val="21"/>
                <w:szCs w:val="21"/>
                <w:highlight w:val="none"/>
              </w:rPr>
              <w:t xml:space="preserve"> </w:t>
            </w:r>
            <w:r>
              <w:rPr>
                <w:rFonts w:hint="eastAsia" w:ascii="宋体" w:hAnsi="宋体"/>
                <w:kern w:val="0"/>
                <w:sz w:val="21"/>
                <w:szCs w:val="21"/>
                <w:highlight w:val="none"/>
                <w:lang w:val="en-US" w:eastAsia="zh-CN"/>
              </w:rPr>
              <w:t xml:space="preserve"> </w:t>
            </w:r>
            <w:r>
              <w:rPr>
                <w:rFonts w:hint="eastAsia" w:ascii="宋体" w:hAnsi="宋体"/>
                <w:kern w:val="0"/>
                <w:sz w:val="21"/>
                <w:szCs w:val="21"/>
                <w:highlight w:val="none"/>
              </w:rPr>
              <w:t xml:space="preserve"> </w:t>
            </w:r>
            <w:r>
              <w:rPr>
                <w:rFonts w:hint="eastAsia" w:ascii="宋体" w:hAnsi="宋体"/>
                <w:kern w:val="0"/>
                <w:sz w:val="21"/>
                <w:szCs w:val="21"/>
                <w:highlight w:val="none"/>
                <w:lang w:val="en-US" w:eastAsia="zh-CN"/>
              </w:rPr>
              <w:t xml:space="preserve"> 50</w:t>
            </w:r>
            <w:r>
              <w:rPr>
                <w:rFonts w:ascii="宋体" w:hAnsi="宋体"/>
                <w:kern w:val="0"/>
                <w:sz w:val="21"/>
                <w:szCs w:val="21"/>
                <w:highlight w:val="none"/>
              </w:rPr>
              <w:t>分</w:t>
            </w:r>
          </w:p>
          <w:p w14:paraId="23EE65CD">
            <w:pPr>
              <w:pStyle w:val="3"/>
              <w:ind w:left="0" w:leftChars="0" w:firstLine="0" w:firstLineChars="0"/>
              <w:rPr>
                <w:rFonts w:hint="default" w:eastAsia="宋体"/>
                <w:highlight w:val="none"/>
                <w:lang w:val="en-US" w:eastAsia="zh-CN"/>
              </w:rPr>
            </w:pPr>
            <w:r>
              <w:rPr>
                <w:rFonts w:hint="eastAsia" w:ascii="宋体" w:hAnsi="宋体"/>
                <w:kern w:val="0"/>
                <w:sz w:val="21"/>
                <w:szCs w:val="21"/>
                <w:highlight w:val="none"/>
                <w:lang w:val="en-US" w:eastAsia="zh-CN"/>
              </w:rPr>
              <w:t xml:space="preserve">  其他因素：    20分</w:t>
            </w:r>
          </w:p>
          <w:p w14:paraId="1D46F73D">
            <w:pPr>
              <w:autoSpaceDE w:val="0"/>
              <w:autoSpaceDN w:val="0"/>
              <w:adjustRightInd w:val="0"/>
              <w:snapToGrid w:val="0"/>
              <w:spacing w:line="320" w:lineRule="exact"/>
              <w:ind w:left="107"/>
              <w:jc w:val="left"/>
              <w:rPr>
                <w:rFonts w:ascii="宋体" w:hAnsi="宋体"/>
                <w:kern w:val="0"/>
                <w:sz w:val="21"/>
                <w:szCs w:val="21"/>
                <w:highlight w:val="none"/>
              </w:rPr>
            </w:pPr>
          </w:p>
          <w:p w14:paraId="26FF7068">
            <w:pPr>
              <w:autoSpaceDE w:val="0"/>
              <w:autoSpaceDN w:val="0"/>
              <w:adjustRightInd w:val="0"/>
              <w:snapToGrid w:val="0"/>
              <w:spacing w:line="320" w:lineRule="exact"/>
              <w:ind w:left="107"/>
              <w:jc w:val="left"/>
              <w:rPr>
                <w:rFonts w:ascii="宋体" w:hAnsi="宋体"/>
                <w:b/>
                <w:kern w:val="0"/>
                <w:sz w:val="21"/>
                <w:szCs w:val="21"/>
                <w:highlight w:val="none"/>
              </w:rPr>
            </w:pPr>
            <w:r>
              <w:rPr>
                <w:rFonts w:ascii="宋体" w:hAnsi="宋体"/>
                <w:b/>
                <w:kern w:val="0"/>
                <w:sz w:val="21"/>
                <w:szCs w:val="21"/>
                <w:highlight w:val="none"/>
              </w:rPr>
              <w:t>第二信封（报价文件）评分分值构成：</w:t>
            </w:r>
          </w:p>
          <w:p w14:paraId="3F9A780D">
            <w:pPr>
              <w:autoSpaceDE w:val="0"/>
              <w:autoSpaceDN w:val="0"/>
              <w:adjustRightInd w:val="0"/>
              <w:snapToGrid w:val="0"/>
              <w:spacing w:line="320" w:lineRule="exact"/>
              <w:ind w:firstLine="210" w:firstLineChars="100"/>
              <w:jc w:val="left"/>
              <w:rPr>
                <w:rFonts w:ascii="宋体" w:hAnsi="宋体"/>
                <w:sz w:val="21"/>
                <w:szCs w:val="21"/>
                <w:highlight w:val="none"/>
              </w:rPr>
            </w:pPr>
            <w:r>
              <w:rPr>
                <w:rFonts w:ascii="宋体" w:hAnsi="宋体"/>
                <w:sz w:val="21"/>
                <w:szCs w:val="21"/>
                <w:highlight w:val="none"/>
              </w:rPr>
              <w:t xml:space="preserve">评 标 价：    </w:t>
            </w:r>
            <w:r>
              <w:rPr>
                <w:rFonts w:hint="eastAsia" w:ascii="宋体" w:hAnsi="宋体"/>
                <w:sz w:val="21"/>
                <w:szCs w:val="21"/>
                <w:highlight w:val="none"/>
                <w:lang w:val="en-US" w:eastAsia="zh-CN"/>
              </w:rPr>
              <w:t>3</w:t>
            </w:r>
            <w:r>
              <w:rPr>
                <w:rFonts w:hint="eastAsia" w:ascii="宋体" w:hAnsi="宋体"/>
                <w:sz w:val="21"/>
                <w:szCs w:val="21"/>
                <w:highlight w:val="none"/>
              </w:rPr>
              <w:t>0</w:t>
            </w:r>
            <w:r>
              <w:rPr>
                <w:rFonts w:ascii="宋体" w:hAnsi="宋体"/>
                <w:sz w:val="21"/>
                <w:szCs w:val="21"/>
                <w:highlight w:val="none"/>
              </w:rPr>
              <w:t>分</w:t>
            </w:r>
            <w:r>
              <w:rPr>
                <w:rFonts w:hint="eastAsia" w:ascii="宋体" w:hAnsi="宋体"/>
                <w:sz w:val="21"/>
                <w:szCs w:val="21"/>
                <w:highlight w:val="none"/>
              </w:rPr>
              <w:t xml:space="preserve">  </w:t>
            </w:r>
          </w:p>
        </w:tc>
      </w:tr>
      <w:tr w14:paraId="545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 w:type="dxa"/>
            <w:noWrap w:val="0"/>
            <w:vAlign w:val="center"/>
          </w:tcPr>
          <w:p w14:paraId="1241D1DD">
            <w:pPr>
              <w:snapToGrid w:val="0"/>
              <w:spacing w:line="320" w:lineRule="exact"/>
              <w:ind w:right="113"/>
              <w:jc w:val="center"/>
              <w:rPr>
                <w:rFonts w:ascii="宋体" w:hAnsi="宋体"/>
                <w:sz w:val="21"/>
                <w:szCs w:val="21"/>
                <w:highlight w:val="none"/>
              </w:rPr>
            </w:pPr>
            <w:r>
              <w:rPr>
                <w:rFonts w:ascii="宋体" w:hAnsi="宋体"/>
                <w:sz w:val="21"/>
                <w:szCs w:val="21"/>
                <w:highlight w:val="none"/>
              </w:rPr>
              <w:t>2.2.2</w:t>
            </w:r>
          </w:p>
        </w:tc>
        <w:tc>
          <w:tcPr>
            <w:tcW w:w="1134" w:type="dxa"/>
            <w:noWrap w:val="0"/>
            <w:vAlign w:val="center"/>
          </w:tcPr>
          <w:p w14:paraId="13B6E067">
            <w:pPr>
              <w:snapToGrid w:val="0"/>
              <w:spacing w:line="320" w:lineRule="exact"/>
              <w:ind w:left="2"/>
              <w:jc w:val="center"/>
              <w:rPr>
                <w:rFonts w:ascii="宋体" w:hAnsi="宋体"/>
                <w:sz w:val="21"/>
                <w:szCs w:val="21"/>
                <w:highlight w:val="none"/>
              </w:rPr>
            </w:pPr>
            <w:r>
              <w:rPr>
                <w:rFonts w:ascii="宋体" w:hAnsi="宋体"/>
                <w:sz w:val="21"/>
                <w:szCs w:val="21"/>
                <w:highlight w:val="none"/>
              </w:rPr>
              <w:t>评标基准价计算方法</w:t>
            </w:r>
          </w:p>
        </w:tc>
        <w:tc>
          <w:tcPr>
            <w:tcW w:w="7250" w:type="dxa"/>
            <w:noWrap w:val="0"/>
            <w:vAlign w:val="center"/>
          </w:tcPr>
          <w:p w14:paraId="48DF372D">
            <w:pPr>
              <w:snapToGrid w:val="0"/>
              <w:spacing w:line="320" w:lineRule="exact"/>
              <w:jc w:val="left"/>
              <w:rPr>
                <w:rFonts w:ascii="宋体" w:hAnsi="宋体"/>
                <w:b/>
                <w:sz w:val="21"/>
                <w:szCs w:val="21"/>
                <w:highlight w:val="none"/>
              </w:rPr>
            </w:pPr>
            <w:r>
              <w:rPr>
                <w:rFonts w:ascii="宋体" w:hAnsi="宋体"/>
                <w:b/>
                <w:sz w:val="21"/>
                <w:szCs w:val="21"/>
                <w:highlight w:val="none"/>
              </w:rPr>
              <w:t>评标基准价的计算：</w:t>
            </w:r>
          </w:p>
          <w:p w14:paraId="46474BB4">
            <w:pPr>
              <w:snapToGrid w:val="0"/>
              <w:spacing w:line="320" w:lineRule="exact"/>
              <w:ind w:right="113"/>
              <w:rPr>
                <w:rFonts w:ascii="宋体" w:hAnsi="宋体"/>
                <w:sz w:val="21"/>
                <w:szCs w:val="21"/>
                <w:highlight w:val="none"/>
              </w:rPr>
            </w:pPr>
            <w:r>
              <w:rPr>
                <w:rFonts w:ascii="宋体" w:hAnsi="宋体"/>
                <w:sz w:val="21"/>
                <w:szCs w:val="21"/>
                <w:highlight w:val="none"/>
              </w:rPr>
              <w:t>在开标现场，招标人将当场计算并宣布评标基准价。</w:t>
            </w:r>
          </w:p>
          <w:p w14:paraId="4FA172BF">
            <w:pPr>
              <w:snapToGrid w:val="0"/>
              <w:spacing w:line="320" w:lineRule="exact"/>
              <w:ind w:left="113" w:right="113" w:firstLine="210" w:firstLineChars="100"/>
              <w:rPr>
                <w:rFonts w:ascii="宋体" w:hAnsi="宋体"/>
                <w:sz w:val="21"/>
                <w:szCs w:val="21"/>
                <w:highlight w:val="none"/>
              </w:rPr>
            </w:pPr>
            <w:r>
              <w:rPr>
                <w:rFonts w:ascii="宋体" w:hAnsi="宋体"/>
                <w:sz w:val="21"/>
                <w:szCs w:val="21"/>
                <w:highlight w:val="none"/>
              </w:rPr>
              <w:t>（1）评标价的确定：</w:t>
            </w:r>
          </w:p>
          <w:p w14:paraId="2146981C">
            <w:pPr>
              <w:snapToGrid w:val="0"/>
              <w:spacing w:line="320" w:lineRule="exact"/>
              <w:ind w:left="113" w:right="113" w:firstLine="210" w:firstLineChars="1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评标价=投标函文字报价</w:t>
            </w:r>
          </w:p>
          <w:p w14:paraId="5986D49C">
            <w:pPr>
              <w:snapToGrid w:val="0"/>
              <w:spacing w:line="320" w:lineRule="exact"/>
              <w:ind w:left="113" w:right="113" w:firstLine="210" w:firstLineChars="100"/>
              <w:rPr>
                <w:rFonts w:ascii="宋体" w:hAnsi="宋体"/>
                <w:sz w:val="21"/>
                <w:szCs w:val="21"/>
                <w:highlight w:val="none"/>
              </w:rPr>
            </w:pPr>
            <w:r>
              <w:rPr>
                <w:rFonts w:ascii="宋体" w:hAnsi="宋体"/>
                <w:sz w:val="21"/>
                <w:szCs w:val="21"/>
                <w:highlight w:val="none"/>
              </w:rPr>
              <w:t>（2）评标价平均值的计算：</w:t>
            </w:r>
          </w:p>
          <w:p w14:paraId="7D4524BB">
            <w:pPr>
              <w:snapToGrid w:val="0"/>
              <w:spacing w:line="320" w:lineRule="exact"/>
              <w:ind w:right="113" w:firstLine="426" w:firstLineChars="203"/>
              <w:rPr>
                <w:rFonts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r>
              <w:rPr>
                <w:rFonts w:ascii="宋体" w:hAnsi="宋体"/>
                <w:sz w:val="21"/>
                <w:szCs w:val="21"/>
                <w:highlight w:val="none"/>
              </w:rPr>
              <w:t>。</w:t>
            </w:r>
          </w:p>
          <w:p w14:paraId="6C598F1E">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（3）评标基准价的确定：</w:t>
            </w:r>
          </w:p>
          <w:p w14:paraId="5DB88941">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将评标价平均值直接作为评标基准价（评标基准价保留小数点后两位，小数点后第三位四舍五入）。</w:t>
            </w:r>
          </w:p>
          <w:p w14:paraId="69081F8C">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4B39A157">
            <w:pPr>
              <w:snapToGrid w:val="0"/>
              <w:spacing w:line="320" w:lineRule="exact"/>
              <w:ind w:right="113" w:firstLine="426" w:firstLineChars="203"/>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本次招标分为</w:t>
            </w:r>
            <w:r>
              <w:rPr>
                <w:rFonts w:hint="eastAsia"/>
                <w:b/>
                <w:bCs/>
                <w:sz w:val="21"/>
                <w:szCs w:val="21"/>
                <w:highlight w:val="none"/>
                <w:lang w:val="en-US" w:eastAsia="zh-CN"/>
              </w:rPr>
              <w:t>单次累计收取金额2万（含）以下、单次累计收取金额2万以上、</w:t>
            </w:r>
            <w:r>
              <w:rPr>
                <w:rStyle w:val="10"/>
                <w:rFonts w:hint="eastAsia" w:ascii="宋体" w:hAnsi="宋体" w:eastAsia="宋体" w:cs="宋体"/>
                <w:b/>
                <w:bCs/>
                <w:sz w:val="21"/>
                <w:szCs w:val="21"/>
                <w:highlight w:val="none"/>
                <w:u w:val="none"/>
                <w:lang w:val="en-US" w:eastAsia="zh-CN" w:bidi="ar"/>
              </w:rPr>
              <w:t>各</w:t>
            </w:r>
            <w:r>
              <w:rPr>
                <w:rStyle w:val="10"/>
                <w:rFonts w:hint="eastAsia" w:ascii="宋体" w:hAnsi="宋体" w:cs="宋体"/>
                <w:b/>
                <w:bCs/>
                <w:sz w:val="21"/>
                <w:szCs w:val="21"/>
                <w:highlight w:val="none"/>
                <w:u w:val="none"/>
                <w:lang w:val="en-US" w:eastAsia="zh-CN" w:bidi="ar"/>
              </w:rPr>
              <w:t>站</w:t>
            </w:r>
            <w:r>
              <w:rPr>
                <w:rStyle w:val="10"/>
                <w:rFonts w:hint="eastAsia" w:ascii="宋体" w:hAnsi="宋体" w:eastAsia="宋体" w:cs="宋体"/>
                <w:b/>
                <w:bCs/>
                <w:sz w:val="21"/>
                <w:szCs w:val="21"/>
                <w:highlight w:val="none"/>
                <w:u w:val="none"/>
                <w:lang w:val="en-US" w:eastAsia="zh-CN" w:bidi="ar"/>
              </w:rPr>
              <w:t>点</w:t>
            </w:r>
            <w:r>
              <w:rPr>
                <w:rStyle w:val="10"/>
                <w:rFonts w:hint="eastAsia" w:ascii="宋体" w:hAnsi="宋体" w:cs="宋体"/>
                <w:b/>
                <w:bCs/>
                <w:sz w:val="21"/>
                <w:szCs w:val="21"/>
                <w:highlight w:val="none"/>
                <w:u w:val="none"/>
                <w:lang w:val="en-US" w:eastAsia="zh-CN" w:bidi="ar"/>
              </w:rPr>
              <w:t>单次里程费用合计</w:t>
            </w:r>
            <w:r>
              <w:rPr>
                <w:rStyle w:val="10"/>
                <w:rFonts w:hint="eastAsia" w:ascii="宋体" w:hAnsi="宋体" w:cs="宋体"/>
                <w:b w:val="0"/>
                <w:bCs w:val="0"/>
                <w:sz w:val="21"/>
                <w:szCs w:val="21"/>
                <w:highlight w:val="none"/>
                <w:u w:val="none"/>
                <w:lang w:val="en-US" w:eastAsia="zh-CN" w:bidi="ar"/>
              </w:rPr>
              <w:t>3项评标基准价，3项评标基准价分别按照上述方法进行计算。</w:t>
            </w:r>
          </w:p>
        </w:tc>
      </w:tr>
      <w:tr w14:paraId="2D08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9" w:type="dxa"/>
            <w:noWrap w:val="0"/>
            <w:vAlign w:val="center"/>
          </w:tcPr>
          <w:p w14:paraId="37FEF816">
            <w:pPr>
              <w:snapToGrid w:val="0"/>
              <w:spacing w:line="320" w:lineRule="exact"/>
              <w:ind w:right="113"/>
              <w:jc w:val="center"/>
              <w:rPr>
                <w:rFonts w:ascii="宋体" w:hAnsi="宋体"/>
                <w:sz w:val="21"/>
                <w:szCs w:val="21"/>
                <w:highlight w:val="none"/>
              </w:rPr>
            </w:pPr>
            <w:r>
              <w:rPr>
                <w:rFonts w:ascii="宋体" w:hAnsi="宋体"/>
                <w:sz w:val="21"/>
                <w:szCs w:val="21"/>
                <w:highlight w:val="none"/>
              </w:rPr>
              <w:t>2.2.3</w:t>
            </w:r>
          </w:p>
        </w:tc>
        <w:tc>
          <w:tcPr>
            <w:tcW w:w="1134" w:type="dxa"/>
            <w:noWrap w:val="0"/>
            <w:vAlign w:val="center"/>
          </w:tcPr>
          <w:p w14:paraId="6CF3EA3F">
            <w:pPr>
              <w:snapToGrid w:val="0"/>
              <w:spacing w:line="320" w:lineRule="exact"/>
              <w:ind w:left="-42" w:leftChars="-15" w:right="-77"/>
              <w:rPr>
                <w:rFonts w:ascii="宋体" w:hAnsi="宋体"/>
                <w:sz w:val="21"/>
                <w:szCs w:val="21"/>
                <w:highlight w:val="none"/>
              </w:rPr>
            </w:pPr>
            <w:r>
              <w:rPr>
                <w:rFonts w:ascii="宋体" w:hAnsi="宋体"/>
                <w:sz w:val="21"/>
                <w:szCs w:val="21"/>
                <w:highlight w:val="none"/>
              </w:rPr>
              <w:t>评标价的偏差率计算公式</w:t>
            </w:r>
          </w:p>
        </w:tc>
        <w:tc>
          <w:tcPr>
            <w:tcW w:w="7250" w:type="dxa"/>
            <w:noWrap w:val="0"/>
            <w:vAlign w:val="center"/>
          </w:tcPr>
          <w:p w14:paraId="651B303A">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偏差率=100%×（投标人评标价-评标基准价）/评标基准价</w:t>
            </w:r>
          </w:p>
        </w:tc>
      </w:tr>
      <w:tr w14:paraId="6F18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8" w:hRule="atLeast"/>
          <w:jc w:val="center"/>
        </w:trPr>
        <w:tc>
          <w:tcPr>
            <w:tcW w:w="959" w:type="dxa"/>
            <w:noWrap w:val="0"/>
            <w:vAlign w:val="center"/>
          </w:tcPr>
          <w:p w14:paraId="665DD633">
            <w:pPr>
              <w:snapToGrid w:val="0"/>
              <w:spacing w:line="320" w:lineRule="exact"/>
              <w:ind w:right="113"/>
              <w:jc w:val="center"/>
              <w:rPr>
                <w:rFonts w:ascii="宋体" w:hAnsi="宋体"/>
                <w:sz w:val="21"/>
                <w:szCs w:val="21"/>
                <w:highlight w:val="none"/>
              </w:rPr>
            </w:pPr>
            <w:r>
              <w:rPr>
                <w:rFonts w:ascii="宋体" w:hAnsi="宋体"/>
                <w:sz w:val="21"/>
                <w:szCs w:val="21"/>
                <w:highlight w:val="none"/>
              </w:rPr>
              <w:t>3.6.1</w:t>
            </w:r>
          </w:p>
        </w:tc>
        <w:tc>
          <w:tcPr>
            <w:tcW w:w="1134" w:type="dxa"/>
            <w:noWrap w:val="0"/>
            <w:vAlign w:val="center"/>
          </w:tcPr>
          <w:p w14:paraId="6419B0C6">
            <w:pPr>
              <w:snapToGrid w:val="0"/>
              <w:spacing w:line="320" w:lineRule="exact"/>
              <w:ind w:left="-42" w:leftChars="-15" w:right="-77"/>
              <w:rPr>
                <w:rFonts w:ascii="宋体" w:hAnsi="宋体"/>
                <w:sz w:val="21"/>
                <w:szCs w:val="21"/>
                <w:highlight w:val="none"/>
              </w:rPr>
            </w:pPr>
            <w:r>
              <w:rPr>
                <w:rFonts w:ascii="宋体" w:hAnsi="宋体"/>
                <w:sz w:val="21"/>
                <w:szCs w:val="21"/>
                <w:highlight w:val="none"/>
              </w:rPr>
              <w:t>投标文件相关信息核查</w:t>
            </w:r>
          </w:p>
        </w:tc>
        <w:tc>
          <w:tcPr>
            <w:tcW w:w="7250" w:type="dxa"/>
            <w:noWrap w:val="0"/>
            <w:vAlign w:val="center"/>
          </w:tcPr>
          <w:p w14:paraId="5EB7FE90">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本款修改为：</w:t>
            </w:r>
          </w:p>
          <w:p w14:paraId="49D615D4">
            <w:pPr>
              <w:adjustRightInd w:val="0"/>
              <w:snapToGrid w:val="0"/>
              <w:spacing w:line="320" w:lineRule="exact"/>
              <w:ind w:firstLine="210" w:firstLineChars="100"/>
              <w:rPr>
                <w:rFonts w:hint="eastAsia" w:ascii="宋体" w:hAnsi="宋体"/>
                <w:sz w:val="21"/>
                <w:szCs w:val="21"/>
                <w:highlight w:val="none"/>
              </w:rPr>
            </w:pPr>
            <w:r>
              <w:rPr>
                <w:rFonts w:hint="eastAsia" w:ascii="宋体" w:hAnsi="宋体"/>
                <w:sz w:val="21"/>
                <w:szCs w:val="21"/>
                <w:highlight w:val="none"/>
              </w:rPr>
              <w:t>（1）投标人信用情况网页截图内容与在“国家企业信用信息公示系统”中严重违法失信名单（黑名单）信息（不含分公司）或在“信用中国”网站中失信被执行人、</w:t>
            </w:r>
            <w:r>
              <w:rPr>
                <w:rFonts w:hint="eastAsia" w:ascii="宋体" w:hAnsi="宋体"/>
                <w:sz w:val="21"/>
                <w:szCs w:val="21"/>
                <w:highlight w:val="none"/>
                <w:lang w:eastAsia="zh-CN"/>
              </w:rPr>
              <w:t>经营（活动）异常名录</w:t>
            </w:r>
            <w:r>
              <w:rPr>
                <w:rFonts w:hint="eastAsia" w:ascii="宋体" w:hAnsi="宋体"/>
                <w:sz w:val="21"/>
                <w:szCs w:val="21"/>
                <w:highlight w:val="none"/>
              </w:rPr>
              <w:t>、重大税收违法失信主体、政府采购严重违法失信行为记录名单（均不含分公司）的复核结果一致。如投标人未提供相关网页截图或所附截图与复核结果不一致，评标委员会应否决其投标。</w:t>
            </w:r>
          </w:p>
          <w:p w14:paraId="6E6377AB">
            <w:pPr>
              <w:adjustRightInd w:val="0"/>
              <w:snapToGrid w:val="0"/>
              <w:spacing w:line="32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rPr>
              <w:t>（2评标委员会在评标时按照投标人提供的验证方式对电子保函或电子保证保险进行验证。如投标人未提供电子保函或电子保证保险的验证方式，或根据提供的验证方式无法核实的，评标委员会应否决其投标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sz w:val="21"/>
                <w:szCs w:val="21"/>
                <w:highlight w:val="none"/>
                <w:lang w:eastAsia="zh-CN"/>
              </w:rPr>
              <w:t>。</w:t>
            </w:r>
          </w:p>
          <w:p w14:paraId="6A4B4176">
            <w:pPr>
              <w:pStyle w:val="5"/>
              <w:snapToGrid w:val="0"/>
              <w:spacing w:line="320" w:lineRule="exact"/>
              <w:ind w:firstLine="420" w:firstLineChars="200"/>
              <w:rPr>
                <w:rFonts w:ascii="宋体" w:hAnsi="宋体"/>
                <w:sz w:val="21"/>
                <w:szCs w:val="21"/>
                <w:highlight w:val="none"/>
              </w:rPr>
            </w:pPr>
            <w:r>
              <w:rPr>
                <w:rFonts w:hint="eastAsia" w:ascii="宋体" w:hAnsi="宋体"/>
                <w:sz w:val="21"/>
                <w:szCs w:val="21"/>
                <w:highlight w:val="none"/>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3A12E7CB">
      <w:pPr>
        <w:jc w:val="right"/>
        <w:rPr>
          <w:szCs w:val="21"/>
          <w:highlight w:val="none"/>
        </w:rPr>
      </w:pPr>
      <w:r>
        <w:rPr>
          <w:sz w:val="24"/>
          <w:highlight w:val="none"/>
        </w:rPr>
        <w:br w:type="page"/>
      </w:r>
      <w:r>
        <w:rPr>
          <w:sz w:val="24"/>
          <w:highlight w:val="none"/>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772"/>
        <w:gridCol w:w="5640"/>
      </w:tblGrid>
      <w:tr w14:paraId="172C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012" w:type="dxa"/>
            <w:gridSpan w:val="5"/>
            <w:noWrap w:val="0"/>
            <w:vAlign w:val="center"/>
          </w:tcPr>
          <w:p w14:paraId="2A271C6A">
            <w:pPr>
              <w:pStyle w:val="4"/>
              <w:spacing w:line="160" w:lineRule="atLeast"/>
              <w:jc w:val="center"/>
              <w:rPr>
                <w:rFonts w:ascii="Times New Roman" w:hAnsi="Times New Roman"/>
                <w:szCs w:val="21"/>
                <w:highlight w:val="none"/>
              </w:rPr>
            </w:pPr>
            <w:r>
              <w:rPr>
                <w:rFonts w:ascii="Times New Roman" w:hAnsi="Times New Roman"/>
                <w:szCs w:val="21"/>
                <w:highlight w:val="none"/>
              </w:rPr>
              <w:t>评分因素与权重分值</w:t>
            </w:r>
          </w:p>
        </w:tc>
        <w:tc>
          <w:tcPr>
            <w:tcW w:w="5640" w:type="dxa"/>
            <w:vMerge w:val="restart"/>
            <w:noWrap w:val="0"/>
            <w:vAlign w:val="center"/>
          </w:tcPr>
          <w:p w14:paraId="40E201FB">
            <w:pPr>
              <w:pStyle w:val="4"/>
              <w:spacing w:line="160" w:lineRule="atLeast"/>
              <w:jc w:val="center"/>
              <w:rPr>
                <w:rFonts w:ascii="Times New Roman" w:hAnsi="Times New Roman"/>
                <w:szCs w:val="21"/>
                <w:highlight w:val="none"/>
              </w:rPr>
            </w:pPr>
            <w:r>
              <w:rPr>
                <w:rFonts w:ascii="Times New Roman" w:hAnsi="Times New Roman"/>
                <w:szCs w:val="21"/>
                <w:highlight w:val="none"/>
              </w:rPr>
              <w:t>评分标准</w:t>
            </w:r>
          </w:p>
        </w:tc>
      </w:tr>
      <w:tr w14:paraId="6402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2FDA694B">
            <w:pPr>
              <w:pStyle w:val="4"/>
              <w:spacing w:line="160" w:lineRule="atLeast"/>
              <w:jc w:val="center"/>
              <w:rPr>
                <w:rFonts w:ascii="Times New Roman" w:hAnsi="Times New Roman"/>
                <w:szCs w:val="21"/>
                <w:highlight w:val="none"/>
              </w:rPr>
            </w:pPr>
            <w:r>
              <w:rPr>
                <w:rFonts w:ascii="Times New Roman" w:hAnsi="Times New Roman"/>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36CE7924">
            <w:pPr>
              <w:pStyle w:val="4"/>
              <w:spacing w:line="160" w:lineRule="atLeast"/>
              <w:jc w:val="center"/>
              <w:rPr>
                <w:rFonts w:ascii="Times New Roman" w:hAnsi="Times New Roman"/>
                <w:szCs w:val="21"/>
                <w:highlight w:val="none"/>
              </w:rPr>
            </w:pPr>
            <w:r>
              <w:rPr>
                <w:rFonts w:ascii="Times New Roman" w:hAnsi="Times New Roman"/>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2A862BA">
            <w:pPr>
              <w:pStyle w:val="4"/>
              <w:spacing w:line="160" w:lineRule="atLeast"/>
              <w:ind w:left="-53" w:leftChars="-19" w:right="-42" w:rightChars="-15" w:firstLine="1"/>
              <w:jc w:val="center"/>
              <w:rPr>
                <w:rFonts w:ascii="Times New Roman" w:hAnsi="Times New Roman"/>
                <w:szCs w:val="21"/>
                <w:highlight w:val="none"/>
              </w:rPr>
            </w:pPr>
            <w:r>
              <w:rPr>
                <w:rFonts w:ascii="Times New Roman" w:hAnsi="Times New Roman"/>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4C005C">
            <w:pPr>
              <w:pStyle w:val="4"/>
              <w:spacing w:line="160" w:lineRule="atLeast"/>
              <w:jc w:val="center"/>
              <w:rPr>
                <w:rFonts w:ascii="Times New Roman" w:hAnsi="Times New Roman"/>
                <w:szCs w:val="21"/>
                <w:highlight w:val="none"/>
              </w:rPr>
            </w:pPr>
            <w:r>
              <w:rPr>
                <w:rStyle w:val="11"/>
                <w:rFonts w:ascii="Times New Roman" w:hAnsi="Times New Roman" w:cs="Times New Roman"/>
                <w:color w:val="auto"/>
                <w:highlight w:val="none"/>
              </w:rPr>
              <w:t>各评分因素细分项</w:t>
            </w:r>
          </w:p>
        </w:tc>
        <w:tc>
          <w:tcPr>
            <w:tcW w:w="772" w:type="dxa"/>
            <w:tcBorders>
              <w:left w:val="single" w:color="auto" w:sz="4" w:space="0"/>
            </w:tcBorders>
            <w:noWrap w:val="0"/>
            <w:vAlign w:val="center"/>
          </w:tcPr>
          <w:p w14:paraId="32D7ADDF">
            <w:pPr>
              <w:pStyle w:val="4"/>
              <w:spacing w:line="160" w:lineRule="atLeast"/>
              <w:jc w:val="center"/>
              <w:rPr>
                <w:rFonts w:ascii="Times New Roman" w:hAnsi="Times New Roman"/>
                <w:szCs w:val="21"/>
                <w:highlight w:val="none"/>
              </w:rPr>
            </w:pPr>
            <w:r>
              <w:rPr>
                <w:rFonts w:ascii="Times New Roman" w:hAnsi="Times New Roman"/>
                <w:szCs w:val="21"/>
                <w:highlight w:val="none"/>
              </w:rPr>
              <w:t>分值</w:t>
            </w:r>
          </w:p>
        </w:tc>
        <w:tc>
          <w:tcPr>
            <w:tcW w:w="5640" w:type="dxa"/>
            <w:vMerge w:val="continue"/>
            <w:noWrap w:val="0"/>
            <w:vAlign w:val="center"/>
          </w:tcPr>
          <w:p w14:paraId="3AD36FDB">
            <w:pPr>
              <w:pStyle w:val="4"/>
              <w:spacing w:line="160" w:lineRule="atLeast"/>
              <w:jc w:val="center"/>
              <w:rPr>
                <w:rFonts w:ascii="Times New Roman" w:hAnsi="Times New Roman"/>
                <w:szCs w:val="21"/>
                <w:highlight w:val="none"/>
              </w:rPr>
            </w:pPr>
          </w:p>
        </w:tc>
      </w:tr>
      <w:tr w14:paraId="0EF4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1" w:type="dxa"/>
            <w:vMerge w:val="restart"/>
            <w:tcBorders>
              <w:top w:val="single" w:color="auto" w:sz="4" w:space="0"/>
            </w:tcBorders>
            <w:noWrap w:val="0"/>
            <w:vAlign w:val="center"/>
          </w:tcPr>
          <w:p w14:paraId="3DB825A8">
            <w:pPr>
              <w:pStyle w:val="4"/>
              <w:spacing w:line="160" w:lineRule="atLeast"/>
              <w:jc w:val="center"/>
              <w:rPr>
                <w:rFonts w:ascii="Times New Roman" w:hAnsi="Times New Roman"/>
                <w:szCs w:val="21"/>
                <w:highlight w:val="none"/>
              </w:rPr>
            </w:pPr>
            <w:r>
              <w:rPr>
                <w:rFonts w:ascii="Times New Roman" w:hAnsi="Times New Roman"/>
                <w:szCs w:val="21"/>
                <w:highlight w:val="none"/>
              </w:rPr>
              <w:t>2.2.4（1）</w:t>
            </w:r>
          </w:p>
        </w:tc>
        <w:tc>
          <w:tcPr>
            <w:tcW w:w="741" w:type="dxa"/>
            <w:vMerge w:val="restart"/>
            <w:tcBorders>
              <w:top w:val="single" w:color="auto" w:sz="4" w:space="0"/>
            </w:tcBorders>
            <w:noWrap w:val="0"/>
            <w:vAlign w:val="center"/>
          </w:tcPr>
          <w:p w14:paraId="41DDEE4E">
            <w:pPr>
              <w:pStyle w:val="4"/>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服务</w:t>
            </w:r>
            <w:r>
              <w:rPr>
                <w:rFonts w:ascii="Times New Roman" w:hAnsi="Times New Roman"/>
                <w:szCs w:val="21"/>
                <w:highlight w:val="none"/>
              </w:rPr>
              <w:t>方案</w:t>
            </w:r>
          </w:p>
        </w:tc>
        <w:tc>
          <w:tcPr>
            <w:tcW w:w="624" w:type="dxa"/>
            <w:vMerge w:val="restart"/>
            <w:tcBorders>
              <w:top w:val="single" w:color="auto" w:sz="4" w:space="0"/>
            </w:tcBorders>
            <w:noWrap w:val="0"/>
            <w:vAlign w:val="center"/>
          </w:tcPr>
          <w:p w14:paraId="36B477CF">
            <w:pPr>
              <w:pStyle w:val="4"/>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50</w:t>
            </w:r>
            <w:r>
              <w:rPr>
                <w:rFonts w:ascii="Times New Roman" w:hAnsi="Times New Roman"/>
                <w:szCs w:val="21"/>
                <w:highlight w:val="none"/>
              </w:rPr>
              <w:t>分</w:t>
            </w:r>
          </w:p>
        </w:tc>
        <w:tc>
          <w:tcPr>
            <w:tcW w:w="1134" w:type="dxa"/>
            <w:vMerge w:val="restart"/>
            <w:tcBorders>
              <w:top w:val="single" w:color="auto" w:sz="4" w:space="0"/>
            </w:tcBorders>
            <w:noWrap w:val="0"/>
            <w:vAlign w:val="center"/>
          </w:tcPr>
          <w:p w14:paraId="35C8F16A">
            <w:pPr>
              <w:jc w:val="center"/>
              <w:rPr>
                <w:rFonts w:ascii="Times New Roman" w:hAnsi="Times New Roman"/>
                <w:sz w:val="21"/>
                <w:szCs w:val="21"/>
                <w:highlight w:val="none"/>
              </w:rPr>
            </w:pPr>
            <w:r>
              <w:rPr>
                <w:rFonts w:hint="eastAsia" w:ascii="宋体" w:hAnsi="宋体" w:cs="宋体"/>
                <w:bCs/>
                <w:color w:val="auto"/>
                <w:sz w:val="21"/>
                <w:szCs w:val="21"/>
                <w:highlight w:val="none"/>
              </w:rPr>
              <w:t>整体服务方案</w:t>
            </w:r>
          </w:p>
        </w:tc>
        <w:tc>
          <w:tcPr>
            <w:tcW w:w="772" w:type="dxa"/>
            <w:vMerge w:val="restart"/>
            <w:noWrap w:val="0"/>
            <w:vAlign w:val="center"/>
          </w:tcPr>
          <w:p w14:paraId="6ECBFE3C">
            <w:pPr>
              <w:autoSpaceDE w:val="0"/>
              <w:autoSpaceDN w:val="0"/>
              <w:snapToGrid w:val="0"/>
              <w:ind w:left="9" w:leftChars="0" w:right="11" w:rightChars="0"/>
              <w:jc w:val="center"/>
              <w:rPr>
                <w:rFonts w:ascii="Times New Roman" w:hAnsi="Times New Roman"/>
                <w:sz w:val="21"/>
                <w:szCs w:val="21"/>
                <w:highlight w:val="none"/>
              </w:rPr>
            </w:pP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w:t>
            </w:r>
          </w:p>
        </w:tc>
        <w:tc>
          <w:tcPr>
            <w:tcW w:w="5640" w:type="dxa"/>
            <w:noWrap w:val="0"/>
            <w:vAlign w:val="center"/>
          </w:tcPr>
          <w:p w14:paraId="7C347121">
            <w:pPr>
              <w:rPr>
                <w:rFonts w:hint="eastAsia" w:ascii="宋体" w:hAnsi="宋体" w:eastAsia="宋体" w:cs="宋体"/>
                <w:i w:val="0"/>
                <w:iCs w:val="0"/>
                <w:caps w:val="0"/>
                <w:color w:val="000000"/>
                <w:spacing w:val="0"/>
                <w:sz w:val="21"/>
                <w:szCs w:val="21"/>
                <w:highlight w:val="none"/>
              </w:rPr>
            </w:pPr>
            <w:r>
              <w:rPr>
                <w:rFonts w:hint="eastAsia" w:ascii="宋体" w:hAnsi="宋体" w:cs="宋体"/>
                <w:bCs/>
                <w:color w:val="auto"/>
                <w:spacing w:val="-14"/>
                <w:sz w:val="21"/>
                <w:szCs w:val="21"/>
                <w:highlight w:val="none"/>
              </w:rPr>
              <w:t>方案明确详尽，具体完善，科学合理，与本项目的实</w:t>
            </w:r>
            <w:r>
              <w:rPr>
                <w:rFonts w:hint="eastAsia" w:ascii="宋体" w:hAnsi="宋体" w:cs="宋体"/>
                <w:bCs/>
                <w:color w:val="auto"/>
                <w:spacing w:val="-10"/>
                <w:sz w:val="21"/>
                <w:szCs w:val="21"/>
                <w:highlight w:val="none"/>
              </w:rPr>
              <w:t>际情</w:t>
            </w:r>
            <w:r>
              <w:rPr>
                <w:rFonts w:hint="eastAsia" w:ascii="宋体" w:hAnsi="宋体" w:cs="宋体"/>
                <w:bCs/>
                <w:color w:val="auto"/>
                <w:spacing w:val="-9"/>
                <w:sz w:val="21"/>
                <w:szCs w:val="21"/>
                <w:highlight w:val="none"/>
              </w:rPr>
              <w:t>况</w:t>
            </w:r>
            <w:r>
              <w:rPr>
                <w:rFonts w:hint="eastAsia" w:ascii="宋体" w:hAnsi="宋体" w:cs="宋体"/>
                <w:bCs/>
                <w:color w:val="auto"/>
                <w:spacing w:val="-5"/>
                <w:sz w:val="21"/>
                <w:szCs w:val="21"/>
                <w:highlight w:val="none"/>
              </w:rPr>
              <w:t>契合度高、针对性和操作性强，</w:t>
            </w:r>
            <w:r>
              <w:rPr>
                <w:rFonts w:hint="eastAsia" w:ascii="宋体" w:hAnsi="宋体" w:cs="宋体"/>
                <w:bCs/>
                <w:color w:val="auto"/>
                <w:spacing w:val="-1"/>
                <w:sz w:val="21"/>
                <w:szCs w:val="21"/>
                <w:highlight w:val="none"/>
              </w:rPr>
              <w:t>得</w:t>
            </w:r>
            <w:r>
              <w:rPr>
                <w:rFonts w:hint="eastAsia" w:ascii="宋体" w:hAnsi="宋体" w:cs="宋体"/>
                <w:bCs/>
                <w:color w:val="auto"/>
                <w:spacing w:val="-1"/>
                <w:sz w:val="21"/>
                <w:szCs w:val="21"/>
                <w:highlight w:val="none"/>
                <w:lang w:val="en-US" w:eastAsia="zh-CN"/>
              </w:rPr>
              <w:t>8.0</w:t>
            </w:r>
            <w:r>
              <w:rPr>
                <w:rFonts w:hint="eastAsia" w:ascii="宋体" w:hAnsi="宋体" w:cs="宋体"/>
                <w:bCs/>
                <w:color w:val="auto"/>
                <w:spacing w:val="-1"/>
                <w:sz w:val="21"/>
                <w:szCs w:val="21"/>
                <w:highlight w:val="none"/>
              </w:rPr>
              <w:t>-</w:t>
            </w:r>
            <w:r>
              <w:rPr>
                <w:rFonts w:hint="eastAsia" w:ascii="宋体" w:hAnsi="宋体" w:cs="宋体"/>
                <w:bCs/>
                <w:color w:val="auto"/>
                <w:spacing w:val="-1"/>
                <w:sz w:val="21"/>
                <w:szCs w:val="21"/>
                <w:highlight w:val="none"/>
                <w:lang w:val="en-US" w:eastAsia="zh-CN"/>
              </w:rPr>
              <w:t>10</w:t>
            </w:r>
            <w:r>
              <w:rPr>
                <w:rFonts w:hint="eastAsia" w:ascii="宋体" w:hAnsi="宋体" w:cs="宋体"/>
                <w:bCs/>
                <w:color w:val="auto"/>
                <w:spacing w:val="-1"/>
                <w:sz w:val="21"/>
                <w:szCs w:val="21"/>
                <w:highlight w:val="none"/>
              </w:rPr>
              <w:t>.0分；</w:t>
            </w:r>
          </w:p>
        </w:tc>
      </w:tr>
      <w:tr w14:paraId="0ED7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1" w:type="dxa"/>
            <w:vMerge w:val="continue"/>
            <w:noWrap w:val="0"/>
            <w:vAlign w:val="center"/>
          </w:tcPr>
          <w:p w14:paraId="16CC8ADD">
            <w:pPr>
              <w:pStyle w:val="4"/>
              <w:spacing w:line="160" w:lineRule="atLeast"/>
              <w:jc w:val="center"/>
              <w:rPr>
                <w:rFonts w:ascii="Times New Roman" w:hAnsi="Times New Roman"/>
                <w:szCs w:val="21"/>
                <w:highlight w:val="none"/>
              </w:rPr>
            </w:pPr>
          </w:p>
        </w:tc>
        <w:tc>
          <w:tcPr>
            <w:tcW w:w="741" w:type="dxa"/>
            <w:vMerge w:val="continue"/>
            <w:noWrap w:val="0"/>
            <w:vAlign w:val="center"/>
          </w:tcPr>
          <w:p w14:paraId="48DF85E2">
            <w:pPr>
              <w:pStyle w:val="4"/>
              <w:spacing w:line="160" w:lineRule="atLeast"/>
              <w:jc w:val="center"/>
              <w:rPr>
                <w:rFonts w:hint="eastAsia" w:ascii="Times New Roman" w:hAnsi="Times New Roman"/>
                <w:szCs w:val="21"/>
                <w:highlight w:val="none"/>
                <w:lang w:val="en-US" w:eastAsia="zh-CN"/>
              </w:rPr>
            </w:pPr>
          </w:p>
        </w:tc>
        <w:tc>
          <w:tcPr>
            <w:tcW w:w="624" w:type="dxa"/>
            <w:vMerge w:val="continue"/>
            <w:noWrap w:val="0"/>
            <w:vAlign w:val="center"/>
          </w:tcPr>
          <w:p w14:paraId="5DB5FA48">
            <w:pPr>
              <w:pStyle w:val="4"/>
              <w:spacing w:line="160" w:lineRule="atLeast"/>
              <w:jc w:val="center"/>
              <w:rPr>
                <w:rFonts w:hint="eastAsia" w:ascii="Times New Roman" w:hAnsi="Times New Roman"/>
                <w:szCs w:val="21"/>
                <w:highlight w:val="none"/>
                <w:lang w:val="en-US" w:eastAsia="zh-CN"/>
              </w:rPr>
            </w:pPr>
          </w:p>
        </w:tc>
        <w:tc>
          <w:tcPr>
            <w:tcW w:w="1134" w:type="dxa"/>
            <w:vMerge w:val="continue"/>
            <w:noWrap w:val="0"/>
            <w:vAlign w:val="center"/>
          </w:tcPr>
          <w:p w14:paraId="3B8965CD">
            <w:pPr>
              <w:jc w:val="center"/>
              <w:rPr>
                <w:rFonts w:hint="eastAsia" w:ascii="宋体" w:hAnsi="宋体" w:cs="宋体"/>
                <w:bCs/>
                <w:color w:val="auto"/>
                <w:sz w:val="21"/>
                <w:szCs w:val="21"/>
                <w:highlight w:val="none"/>
              </w:rPr>
            </w:pPr>
          </w:p>
        </w:tc>
        <w:tc>
          <w:tcPr>
            <w:tcW w:w="772" w:type="dxa"/>
            <w:vMerge w:val="continue"/>
            <w:noWrap w:val="0"/>
            <w:vAlign w:val="center"/>
          </w:tcPr>
          <w:p w14:paraId="383A6951">
            <w:pPr>
              <w:autoSpaceDE w:val="0"/>
              <w:autoSpaceDN w:val="0"/>
              <w:snapToGrid w:val="0"/>
              <w:ind w:left="9" w:leftChars="0" w:right="11" w:rightChars="0"/>
              <w:jc w:val="center"/>
              <w:rPr>
                <w:rFonts w:hint="eastAsia" w:ascii="宋体" w:hAnsi="宋体" w:cs="宋体"/>
                <w:bCs/>
                <w:color w:val="auto"/>
                <w:sz w:val="21"/>
                <w:szCs w:val="21"/>
                <w:highlight w:val="none"/>
                <w:lang w:val="en-US" w:eastAsia="zh-CN"/>
              </w:rPr>
            </w:pPr>
          </w:p>
        </w:tc>
        <w:tc>
          <w:tcPr>
            <w:tcW w:w="5640" w:type="dxa"/>
            <w:noWrap w:val="0"/>
            <w:vAlign w:val="center"/>
          </w:tcPr>
          <w:p w14:paraId="6CFEF2BE">
            <w:pPr>
              <w:rPr>
                <w:rFonts w:hint="eastAsia" w:ascii="宋体" w:hAnsi="宋体" w:eastAsia="宋体" w:cs="宋体"/>
                <w:i w:val="0"/>
                <w:iCs w:val="0"/>
                <w:caps w:val="0"/>
                <w:color w:val="000000"/>
                <w:spacing w:val="0"/>
                <w:sz w:val="21"/>
                <w:szCs w:val="21"/>
                <w:highlight w:val="none"/>
              </w:rPr>
            </w:pPr>
            <w:r>
              <w:rPr>
                <w:rFonts w:hint="eastAsia" w:ascii="宋体" w:hAnsi="宋体" w:cs="宋体"/>
                <w:bCs/>
                <w:color w:val="auto"/>
                <w:spacing w:val="-10"/>
                <w:sz w:val="21"/>
                <w:szCs w:val="21"/>
                <w:highlight w:val="none"/>
              </w:rPr>
              <w:t>方案较明确、较具体，合理可行，与本项目的实际情</w:t>
            </w:r>
            <w:r>
              <w:rPr>
                <w:rFonts w:hint="eastAsia" w:ascii="宋体" w:hAnsi="宋体" w:cs="宋体"/>
                <w:bCs/>
                <w:color w:val="auto"/>
                <w:spacing w:val="-24"/>
                <w:sz w:val="21"/>
                <w:szCs w:val="21"/>
                <w:highlight w:val="none"/>
              </w:rPr>
              <w:t>况</w:t>
            </w:r>
            <w:r>
              <w:rPr>
                <w:rFonts w:hint="eastAsia" w:ascii="宋体" w:hAnsi="宋体" w:cs="宋体"/>
                <w:bCs/>
                <w:color w:val="auto"/>
                <w:spacing w:val="-15"/>
                <w:sz w:val="21"/>
                <w:szCs w:val="21"/>
                <w:highlight w:val="none"/>
              </w:rPr>
              <w:t>契</w:t>
            </w:r>
            <w:r>
              <w:rPr>
                <w:rFonts w:hint="eastAsia" w:ascii="宋体" w:hAnsi="宋体" w:cs="宋体"/>
                <w:bCs/>
                <w:color w:val="auto"/>
                <w:spacing w:val="-12"/>
                <w:sz w:val="21"/>
                <w:szCs w:val="21"/>
                <w:highlight w:val="none"/>
              </w:rPr>
              <w:t>合度较高，可操作，</w:t>
            </w:r>
            <w:r>
              <w:rPr>
                <w:rFonts w:hint="eastAsia" w:ascii="宋体" w:hAnsi="宋体" w:cs="宋体"/>
                <w:bCs/>
                <w:color w:val="auto"/>
                <w:spacing w:val="-1"/>
                <w:sz w:val="21"/>
                <w:szCs w:val="21"/>
                <w:highlight w:val="none"/>
              </w:rPr>
              <w:t>得</w:t>
            </w:r>
            <w:r>
              <w:rPr>
                <w:rFonts w:hint="eastAsia" w:ascii="宋体" w:hAnsi="宋体" w:cs="宋体"/>
                <w:bCs/>
                <w:color w:val="auto"/>
                <w:spacing w:val="-1"/>
                <w:sz w:val="21"/>
                <w:szCs w:val="21"/>
                <w:highlight w:val="none"/>
                <w:lang w:val="en-US" w:eastAsia="zh-CN"/>
              </w:rPr>
              <w:t>6</w:t>
            </w:r>
            <w:r>
              <w:rPr>
                <w:rFonts w:hint="eastAsia" w:ascii="宋体" w:hAnsi="宋体" w:cs="宋体"/>
                <w:bCs/>
                <w:color w:val="auto"/>
                <w:spacing w:val="-1"/>
                <w:sz w:val="21"/>
                <w:szCs w:val="21"/>
                <w:highlight w:val="none"/>
              </w:rPr>
              <w:t>.0-</w:t>
            </w:r>
            <w:r>
              <w:rPr>
                <w:rFonts w:hint="eastAsia" w:ascii="宋体" w:hAnsi="宋体" w:cs="宋体"/>
                <w:bCs/>
                <w:color w:val="auto"/>
                <w:spacing w:val="-1"/>
                <w:sz w:val="21"/>
                <w:szCs w:val="21"/>
                <w:highlight w:val="none"/>
                <w:lang w:val="en-US" w:eastAsia="zh-CN"/>
              </w:rPr>
              <w:t>8</w:t>
            </w:r>
            <w:r>
              <w:rPr>
                <w:rFonts w:hint="eastAsia" w:ascii="宋体" w:hAnsi="宋体" w:cs="宋体"/>
                <w:bCs/>
                <w:color w:val="auto"/>
                <w:spacing w:val="-1"/>
                <w:sz w:val="21"/>
                <w:szCs w:val="21"/>
                <w:highlight w:val="none"/>
              </w:rPr>
              <w:t>.0分；</w:t>
            </w:r>
          </w:p>
        </w:tc>
      </w:tr>
      <w:tr w14:paraId="5F91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1" w:type="dxa"/>
            <w:vMerge w:val="continue"/>
            <w:noWrap w:val="0"/>
            <w:vAlign w:val="center"/>
          </w:tcPr>
          <w:p w14:paraId="438C0696">
            <w:pPr>
              <w:pStyle w:val="4"/>
              <w:spacing w:line="160" w:lineRule="atLeast"/>
              <w:jc w:val="center"/>
              <w:rPr>
                <w:rFonts w:ascii="Times New Roman" w:hAnsi="Times New Roman"/>
                <w:szCs w:val="21"/>
                <w:highlight w:val="none"/>
              </w:rPr>
            </w:pPr>
          </w:p>
        </w:tc>
        <w:tc>
          <w:tcPr>
            <w:tcW w:w="741" w:type="dxa"/>
            <w:vMerge w:val="continue"/>
            <w:noWrap w:val="0"/>
            <w:vAlign w:val="center"/>
          </w:tcPr>
          <w:p w14:paraId="542CC53D">
            <w:pPr>
              <w:pStyle w:val="4"/>
              <w:spacing w:line="160" w:lineRule="atLeast"/>
              <w:jc w:val="center"/>
              <w:rPr>
                <w:rFonts w:hint="eastAsia" w:ascii="Times New Roman" w:hAnsi="Times New Roman"/>
                <w:szCs w:val="21"/>
                <w:highlight w:val="none"/>
                <w:lang w:val="en-US" w:eastAsia="zh-CN"/>
              </w:rPr>
            </w:pPr>
          </w:p>
        </w:tc>
        <w:tc>
          <w:tcPr>
            <w:tcW w:w="624" w:type="dxa"/>
            <w:vMerge w:val="continue"/>
            <w:noWrap w:val="0"/>
            <w:vAlign w:val="center"/>
          </w:tcPr>
          <w:p w14:paraId="3A9E75AD">
            <w:pPr>
              <w:pStyle w:val="4"/>
              <w:spacing w:line="160" w:lineRule="atLeast"/>
              <w:jc w:val="center"/>
              <w:rPr>
                <w:rFonts w:hint="eastAsia" w:ascii="Times New Roman" w:hAnsi="Times New Roman"/>
                <w:szCs w:val="21"/>
                <w:highlight w:val="none"/>
                <w:lang w:val="en-US" w:eastAsia="zh-CN"/>
              </w:rPr>
            </w:pPr>
          </w:p>
        </w:tc>
        <w:tc>
          <w:tcPr>
            <w:tcW w:w="1134" w:type="dxa"/>
            <w:vMerge w:val="continue"/>
            <w:noWrap w:val="0"/>
            <w:vAlign w:val="center"/>
          </w:tcPr>
          <w:p w14:paraId="5412F187">
            <w:pPr>
              <w:jc w:val="center"/>
              <w:rPr>
                <w:rFonts w:hint="eastAsia" w:ascii="宋体" w:hAnsi="宋体" w:cs="宋体"/>
                <w:bCs/>
                <w:color w:val="auto"/>
                <w:sz w:val="21"/>
                <w:szCs w:val="21"/>
                <w:highlight w:val="none"/>
              </w:rPr>
            </w:pPr>
          </w:p>
        </w:tc>
        <w:tc>
          <w:tcPr>
            <w:tcW w:w="772" w:type="dxa"/>
            <w:vMerge w:val="continue"/>
            <w:noWrap w:val="0"/>
            <w:vAlign w:val="center"/>
          </w:tcPr>
          <w:p w14:paraId="3A51450D">
            <w:pPr>
              <w:autoSpaceDE w:val="0"/>
              <w:autoSpaceDN w:val="0"/>
              <w:snapToGrid w:val="0"/>
              <w:ind w:left="9" w:leftChars="0" w:right="11" w:rightChars="0"/>
              <w:jc w:val="center"/>
              <w:rPr>
                <w:rFonts w:hint="eastAsia" w:ascii="宋体" w:hAnsi="宋体" w:cs="宋体"/>
                <w:bCs/>
                <w:color w:val="auto"/>
                <w:sz w:val="21"/>
                <w:szCs w:val="21"/>
                <w:highlight w:val="none"/>
                <w:lang w:val="en-US" w:eastAsia="zh-CN"/>
              </w:rPr>
            </w:pPr>
          </w:p>
        </w:tc>
        <w:tc>
          <w:tcPr>
            <w:tcW w:w="5640" w:type="dxa"/>
            <w:noWrap w:val="0"/>
            <w:vAlign w:val="center"/>
          </w:tcPr>
          <w:p w14:paraId="19702B04">
            <w:pPr>
              <w:rPr>
                <w:rFonts w:hint="eastAsia" w:ascii="宋体" w:hAnsi="宋体" w:eastAsia="宋体" w:cs="宋体"/>
                <w:i w:val="0"/>
                <w:iCs w:val="0"/>
                <w:caps w:val="0"/>
                <w:color w:val="000000"/>
                <w:spacing w:val="0"/>
                <w:sz w:val="21"/>
                <w:szCs w:val="21"/>
                <w:highlight w:val="none"/>
              </w:rPr>
            </w:pPr>
            <w:r>
              <w:rPr>
                <w:rFonts w:hint="eastAsia" w:ascii="宋体" w:hAnsi="宋体" w:cs="宋体"/>
                <w:bCs/>
                <w:color w:val="auto"/>
                <w:spacing w:val="-1"/>
                <w:sz w:val="21"/>
                <w:szCs w:val="21"/>
                <w:highlight w:val="none"/>
              </w:rPr>
              <w:t>基本满足要求，得</w:t>
            </w:r>
            <w:r>
              <w:rPr>
                <w:rFonts w:hint="eastAsia" w:ascii="宋体" w:hAnsi="宋体" w:cs="宋体"/>
                <w:bCs/>
                <w:color w:val="auto"/>
                <w:spacing w:val="-1"/>
                <w:sz w:val="21"/>
                <w:szCs w:val="21"/>
                <w:highlight w:val="none"/>
                <w:lang w:val="en-US" w:eastAsia="zh-CN"/>
              </w:rPr>
              <w:t>6</w:t>
            </w:r>
            <w:r>
              <w:rPr>
                <w:rFonts w:hint="eastAsia" w:ascii="宋体" w:hAnsi="宋体" w:cs="宋体"/>
                <w:bCs/>
                <w:color w:val="auto"/>
                <w:spacing w:val="-1"/>
                <w:sz w:val="21"/>
                <w:szCs w:val="21"/>
                <w:highlight w:val="none"/>
              </w:rPr>
              <w:t>.0分。</w:t>
            </w:r>
          </w:p>
        </w:tc>
      </w:tr>
      <w:tr w14:paraId="1FFF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1" w:type="dxa"/>
            <w:vMerge w:val="continue"/>
            <w:noWrap w:val="0"/>
            <w:vAlign w:val="center"/>
          </w:tcPr>
          <w:p w14:paraId="1FDD91C4">
            <w:pPr>
              <w:pStyle w:val="4"/>
              <w:spacing w:line="160" w:lineRule="atLeast"/>
              <w:jc w:val="center"/>
              <w:rPr>
                <w:rFonts w:ascii="Times New Roman" w:hAnsi="Times New Roman"/>
                <w:szCs w:val="21"/>
                <w:highlight w:val="none"/>
              </w:rPr>
            </w:pPr>
          </w:p>
        </w:tc>
        <w:tc>
          <w:tcPr>
            <w:tcW w:w="741" w:type="dxa"/>
            <w:vMerge w:val="continue"/>
            <w:noWrap w:val="0"/>
            <w:vAlign w:val="top"/>
          </w:tcPr>
          <w:p w14:paraId="27F044BD">
            <w:pPr>
              <w:pStyle w:val="4"/>
              <w:spacing w:line="160" w:lineRule="atLeast"/>
              <w:jc w:val="center"/>
              <w:rPr>
                <w:rFonts w:ascii="Times New Roman" w:hAnsi="Times New Roman"/>
                <w:szCs w:val="21"/>
                <w:highlight w:val="none"/>
              </w:rPr>
            </w:pPr>
          </w:p>
        </w:tc>
        <w:tc>
          <w:tcPr>
            <w:tcW w:w="624" w:type="dxa"/>
            <w:vMerge w:val="continue"/>
            <w:noWrap w:val="0"/>
            <w:vAlign w:val="center"/>
          </w:tcPr>
          <w:p w14:paraId="19193AB9">
            <w:pPr>
              <w:pStyle w:val="4"/>
              <w:spacing w:line="160" w:lineRule="atLeast"/>
              <w:jc w:val="center"/>
              <w:rPr>
                <w:rFonts w:ascii="Times New Roman" w:hAnsi="Times New Roman"/>
                <w:szCs w:val="21"/>
                <w:highlight w:val="none"/>
              </w:rPr>
            </w:pPr>
          </w:p>
        </w:tc>
        <w:tc>
          <w:tcPr>
            <w:tcW w:w="1134" w:type="dxa"/>
            <w:vMerge w:val="restart"/>
            <w:noWrap w:val="0"/>
            <w:vAlign w:val="center"/>
          </w:tcPr>
          <w:p w14:paraId="146BD68B">
            <w:pPr>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服务质量</w:t>
            </w:r>
          </w:p>
          <w:p w14:paraId="756BE96A">
            <w:pPr>
              <w:jc w:val="center"/>
              <w:rPr>
                <w:rFonts w:ascii="Times New Roman" w:hAnsi="Times New Roman"/>
                <w:sz w:val="21"/>
                <w:szCs w:val="21"/>
                <w:highlight w:val="none"/>
              </w:rPr>
            </w:pPr>
            <w:r>
              <w:rPr>
                <w:rFonts w:hint="eastAsia" w:ascii="宋体" w:hAnsi="宋体" w:cs="宋体"/>
                <w:bCs/>
                <w:color w:val="auto"/>
                <w:sz w:val="21"/>
                <w:szCs w:val="21"/>
                <w:highlight w:val="none"/>
              </w:rPr>
              <w:t>保证措施</w:t>
            </w:r>
          </w:p>
        </w:tc>
        <w:tc>
          <w:tcPr>
            <w:tcW w:w="772" w:type="dxa"/>
            <w:vMerge w:val="restart"/>
            <w:noWrap w:val="0"/>
            <w:vAlign w:val="center"/>
          </w:tcPr>
          <w:p w14:paraId="0F825704">
            <w:pPr>
              <w:pStyle w:val="4"/>
              <w:snapToGrid w:val="0"/>
              <w:ind w:left="0" w:leftChars="-48" w:right="-42" w:rightChars="-15" w:hanging="134" w:hangingChars="64"/>
              <w:jc w:val="center"/>
              <w:rPr>
                <w:rFonts w:ascii="Times New Roman" w:hAnsi="Times New Roman"/>
                <w:sz w:val="21"/>
                <w:szCs w:val="21"/>
                <w:highlight w:val="none"/>
              </w:rPr>
            </w:pP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rPr>
              <w:t>分</w:t>
            </w:r>
          </w:p>
        </w:tc>
        <w:tc>
          <w:tcPr>
            <w:tcW w:w="5640" w:type="dxa"/>
            <w:noWrap w:val="0"/>
            <w:vAlign w:val="center"/>
          </w:tcPr>
          <w:p w14:paraId="1BE24A8F">
            <w:pPr>
              <w:rPr>
                <w:rFonts w:ascii="Times New Roman" w:hAnsi="Times New Roman"/>
                <w:sz w:val="21"/>
                <w:szCs w:val="21"/>
                <w:highlight w:val="none"/>
              </w:rPr>
            </w:pPr>
            <w:r>
              <w:rPr>
                <w:rFonts w:hint="eastAsia" w:ascii="宋体" w:hAnsi="宋体" w:cs="宋体"/>
                <w:bCs/>
                <w:color w:val="auto"/>
                <w:spacing w:val="-14"/>
                <w:sz w:val="21"/>
                <w:szCs w:val="21"/>
                <w:highlight w:val="none"/>
              </w:rPr>
              <w:t>措施明确详尽，具体完善，科学合理，</w:t>
            </w:r>
            <w:r>
              <w:rPr>
                <w:rFonts w:hint="eastAsia" w:ascii="宋体" w:hAnsi="宋体" w:cs="宋体"/>
                <w:bCs/>
                <w:color w:val="auto"/>
                <w:spacing w:val="-12"/>
                <w:sz w:val="21"/>
                <w:szCs w:val="21"/>
                <w:highlight w:val="none"/>
              </w:rPr>
              <w:t>得</w:t>
            </w:r>
            <w:r>
              <w:rPr>
                <w:rFonts w:hint="eastAsia" w:ascii="宋体" w:hAnsi="宋体" w:cs="宋体"/>
                <w:bCs/>
                <w:color w:val="auto"/>
                <w:spacing w:val="-12"/>
                <w:sz w:val="21"/>
                <w:szCs w:val="21"/>
                <w:highlight w:val="none"/>
                <w:lang w:val="en-US" w:eastAsia="zh-CN"/>
              </w:rPr>
              <w:t>8</w:t>
            </w:r>
            <w:r>
              <w:rPr>
                <w:rFonts w:hint="eastAsia" w:ascii="宋体" w:hAnsi="宋体" w:cs="宋体"/>
                <w:bCs/>
                <w:color w:val="auto"/>
                <w:spacing w:val="-12"/>
                <w:sz w:val="21"/>
                <w:szCs w:val="21"/>
                <w:highlight w:val="none"/>
              </w:rPr>
              <w:t>.0-</w:t>
            </w:r>
            <w:r>
              <w:rPr>
                <w:rFonts w:hint="eastAsia" w:ascii="宋体" w:hAnsi="宋体" w:cs="宋体"/>
                <w:bCs/>
                <w:color w:val="auto"/>
                <w:spacing w:val="-12"/>
                <w:sz w:val="21"/>
                <w:szCs w:val="21"/>
                <w:highlight w:val="none"/>
                <w:lang w:val="en-US" w:eastAsia="zh-CN"/>
              </w:rPr>
              <w:t>10</w:t>
            </w:r>
            <w:r>
              <w:rPr>
                <w:rFonts w:hint="eastAsia" w:ascii="宋体" w:hAnsi="宋体" w:cs="宋体"/>
                <w:bCs/>
                <w:color w:val="auto"/>
                <w:spacing w:val="-12"/>
                <w:sz w:val="21"/>
                <w:szCs w:val="21"/>
                <w:highlight w:val="none"/>
              </w:rPr>
              <w:t>.0分；</w:t>
            </w:r>
          </w:p>
        </w:tc>
      </w:tr>
      <w:tr w14:paraId="2154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41" w:type="dxa"/>
            <w:vMerge w:val="continue"/>
            <w:noWrap w:val="0"/>
            <w:vAlign w:val="center"/>
          </w:tcPr>
          <w:p w14:paraId="34FC082F">
            <w:pPr>
              <w:pStyle w:val="4"/>
              <w:spacing w:line="160" w:lineRule="atLeast"/>
              <w:jc w:val="center"/>
              <w:rPr>
                <w:rFonts w:ascii="Times New Roman" w:hAnsi="Times New Roman"/>
                <w:szCs w:val="21"/>
                <w:highlight w:val="none"/>
              </w:rPr>
            </w:pPr>
          </w:p>
        </w:tc>
        <w:tc>
          <w:tcPr>
            <w:tcW w:w="741" w:type="dxa"/>
            <w:vMerge w:val="continue"/>
            <w:noWrap w:val="0"/>
            <w:vAlign w:val="top"/>
          </w:tcPr>
          <w:p w14:paraId="63859E10">
            <w:pPr>
              <w:pStyle w:val="4"/>
              <w:spacing w:line="160" w:lineRule="atLeast"/>
              <w:jc w:val="center"/>
              <w:rPr>
                <w:rFonts w:ascii="Times New Roman" w:hAnsi="Times New Roman"/>
                <w:szCs w:val="21"/>
                <w:highlight w:val="none"/>
              </w:rPr>
            </w:pPr>
          </w:p>
        </w:tc>
        <w:tc>
          <w:tcPr>
            <w:tcW w:w="624" w:type="dxa"/>
            <w:vMerge w:val="continue"/>
            <w:noWrap w:val="0"/>
            <w:vAlign w:val="center"/>
          </w:tcPr>
          <w:p w14:paraId="6D1EE6FD">
            <w:pPr>
              <w:pStyle w:val="4"/>
              <w:spacing w:line="160" w:lineRule="atLeast"/>
              <w:jc w:val="center"/>
              <w:rPr>
                <w:rFonts w:ascii="Times New Roman" w:hAnsi="Times New Roman"/>
                <w:szCs w:val="21"/>
                <w:highlight w:val="none"/>
              </w:rPr>
            </w:pPr>
          </w:p>
        </w:tc>
        <w:tc>
          <w:tcPr>
            <w:tcW w:w="1134" w:type="dxa"/>
            <w:vMerge w:val="continue"/>
            <w:noWrap w:val="0"/>
            <w:vAlign w:val="center"/>
          </w:tcPr>
          <w:p w14:paraId="6FD0A6FD">
            <w:pPr>
              <w:jc w:val="center"/>
              <w:rPr>
                <w:rFonts w:hint="eastAsia" w:ascii="宋体" w:hAnsi="宋体" w:cs="宋体"/>
                <w:bCs/>
                <w:color w:val="auto"/>
                <w:sz w:val="21"/>
                <w:szCs w:val="21"/>
                <w:highlight w:val="none"/>
              </w:rPr>
            </w:pPr>
          </w:p>
        </w:tc>
        <w:tc>
          <w:tcPr>
            <w:tcW w:w="772" w:type="dxa"/>
            <w:vMerge w:val="continue"/>
            <w:noWrap w:val="0"/>
            <w:vAlign w:val="center"/>
          </w:tcPr>
          <w:p w14:paraId="1C30BFF8">
            <w:pPr>
              <w:pStyle w:val="4"/>
              <w:snapToGrid w:val="0"/>
              <w:ind w:left="0" w:leftChars="-48" w:right="-42" w:rightChars="-15" w:hanging="134" w:hangingChars="64"/>
              <w:jc w:val="center"/>
              <w:rPr>
                <w:rFonts w:hint="eastAsia" w:hAnsi="宋体" w:cs="宋体"/>
                <w:bCs/>
                <w:color w:val="auto"/>
                <w:sz w:val="21"/>
                <w:szCs w:val="21"/>
                <w:highlight w:val="none"/>
                <w:lang w:val="en-US" w:eastAsia="zh-CN"/>
              </w:rPr>
            </w:pPr>
          </w:p>
        </w:tc>
        <w:tc>
          <w:tcPr>
            <w:tcW w:w="5640" w:type="dxa"/>
            <w:noWrap w:val="0"/>
            <w:vAlign w:val="center"/>
          </w:tcPr>
          <w:p w14:paraId="78ADBD34">
            <w:pPr>
              <w:rPr>
                <w:rFonts w:ascii="Times New Roman" w:hAnsi="Times New Roman"/>
                <w:sz w:val="21"/>
                <w:szCs w:val="21"/>
                <w:highlight w:val="none"/>
              </w:rPr>
            </w:pPr>
            <w:r>
              <w:rPr>
                <w:rFonts w:hint="eastAsia" w:ascii="宋体" w:hAnsi="宋体" w:cs="宋体"/>
                <w:bCs/>
                <w:color w:val="auto"/>
                <w:spacing w:val="-10"/>
                <w:sz w:val="21"/>
                <w:szCs w:val="21"/>
                <w:highlight w:val="none"/>
              </w:rPr>
              <w:t>措施较明确、较具体，合理可行，</w:t>
            </w:r>
            <w:r>
              <w:rPr>
                <w:rFonts w:hint="eastAsia" w:ascii="宋体" w:hAnsi="宋体" w:cs="宋体"/>
                <w:bCs/>
                <w:color w:val="auto"/>
                <w:spacing w:val="-12"/>
                <w:sz w:val="21"/>
                <w:szCs w:val="21"/>
                <w:highlight w:val="none"/>
              </w:rPr>
              <w:t>得</w:t>
            </w:r>
            <w:r>
              <w:rPr>
                <w:rFonts w:hint="eastAsia" w:ascii="宋体" w:hAnsi="宋体" w:cs="宋体"/>
                <w:bCs/>
                <w:color w:val="auto"/>
                <w:spacing w:val="-12"/>
                <w:sz w:val="21"/>
                <w:szCs w:val="21"/>
                <w:highlight w:val="none"/>
                <w:lang w:val="en-US" w:eastAsia="zh-CN"/>
              </w:rPr>
              <w:t>6</w:t>
            </w:r>
            <w:r>
              <w:rPr>
                <w:rFonts w:hint="eastAsia" w:ascii="宋体" w:hAnsi="宋体" w:cs="宋体"/>
                <w:bCs/>
                <w:color w:val="auto"/>
                <w:spacing w:val="-12"/>
                <w:sz w:val="21"/>
                <w:szCs w:val="21"/>
                <w:highlight w:val="none"/>
              </w:rPr>
              <w:t>.0-</w:t>
            </w:r>
            <w:r>
              <w:rPr>
                <w:rFonts w:hint="eastAsia" w:ascii="宋体" w:hAnsi="宋体" w:cs="宋体"/>
                <w:bCs/>
                <w:color w:val="auto"/>
                <w:spacing w:val="-12"/>
                <w:sz w:val="21"/>
                <w:szCs w:val="21"/>
                <w:highlight w:val="none"/>
                <w:lang w:val="en-US" w:eastAsia="zh-CN"/>
              </w:rPr>
              <w:t>8</w:t>
            </w:r>
            <w:r>
              <w:rPr>
                <w:rFonts w:hint="eastAsia" w:ascii="宋体" w:hAnsi="宋体" w:cs="宋体"/>
                <w:bCs/>
                <w:color w:val="auto"/>
                <w:spacing w:val="-12"/>
                <w:sz w:val="21"/>
                <w:szCs w:val="21"/>
                <w:highlight w:val="none"/>
              </w:rPr>
              <w:t>.0分；</w:t>
            </w:r>
          </w:p>
        </w:tc>
      </w:tr>
      <w:tr w14:paraId="5BC7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41" w:type="dxa"/>
            <w:vMerge w:val="continue"/>
            <w:noWrap w:val="0"/>
            <w:vAlign w:val="center"/>
          </w:tcPr>
          <w:p w14:paraId="6258E14E">
            <w:pPr>
              <w:pStyle w:val="4"/>
              <w:spacing w:line="160" w:lineRule="atLeast"/>
              <w:jc w:val="center"/>
              <w:rPr>
                <w:rFonts w:ascii="Times New Roman" w:hAnsi="Times New Roman"/>
                <w:szCs w:val="21"/>
                <w:highlight w:val="none"/>
              </w:rPr>
            </w:pPr>
          </w:p>
        </w:tc>
        <w:tc>
          <w:tcPr>
            <w:tcW w:w="741" w:type="dxa"/>
            <w:vMerge w:val="continue"/>
            <w:noWrap w:val="0"/>
            <w:vAlign w:val="top"/>
          </w:tcPr>
          <w:p w14:paraId="283917F7">
            <w:pPr>
              <w:pStyle w:val="4"/>
              <w:spacing w:line="160" w:lineRule="atLeast"/>
              <w:jc w:val="center"/>
              <w:rPr>
                <w:rFonts w:ascii="Times New Roman" w:hAnsi="Times New Roman"/>
                <w:szCs w:val="21"/>
                <w:highlight w:val="none"/>
              </w:rPr>
            </w:pPr>
          </w:p>
        </w:tc>
        <w:tc>
          <w:tcPr>
            <w:tcW w:w="624" w:type="dxa"/>
            <w:vMerge w:val="continue"/>
            <w:noWrap w:val="0"/>
            <w:vAlign w:val="center"/>
          </w:tcPr>
          <w:p w14:paraId="66E242D3">
            <w:pPr>
              <w:pStyle w:val="4"/>
              <w:spacing w:line="160" w:lineRule="atLeast"/>
              <w:jc w:val="center"/>
              <w:rPr>
                <w:rFonts w:ascii="Times New Roman" w:hAnsi="Times New Roman"/>
                <w:szCs w:val="21"/>
                <w:highlight w:val="none"/>
              </w:rPr>
            </w:pPr>
          </w:p>
        </w:tc>
        <w:tc>
          <w:tcPr>
            <w:tcW w:w="1134" w:type="dxa"/>
            <w:vMerge w:val="continue"/>
            <w:noWrap w:val="0"/>
            <w:vAlign w:val="center"/>
          </w:tcPr>
          <w:p w14:paraId="6C1DEC9C">
            <w:pPr>
              <w:jc w:val="center"/>
              <w:rPr>
                <w:rFonts w:hint="eastAsia" w:ascii="宋体" w:hAnsi="宋体" w:cs="宋体"/>
                <w:bCs/>
                <w:color w:val="auto"/>
                <w:sz w:val="21"/>
                <w:szCs w:val="21"/>
                <w:highlight w:val="none"/>
              </w:rPr>
            </w:pPr>
          </w:p>
        </w:tc>
        <w:tc>
          <w:tcPr>
            <w:tcW w:w="772" w:type="dxa"/>
            <w:vMerge w:val="continue"/>
            <w:noWrap w:val="0"/>
            <w:vAlign w:val="center"/>
          </w:tcPr>
          <w:p w14:paraId="754FAE78">
            <w:pPr>
              <w:pStyle w:val="4"/>
              <w:snapToGrid w:val="0"/>
              <w:ind w:left="0" w:leftChars="-48" w:right="-42" w:rightChars="-15" w:hanging="134" w:hangingChars="64"/>
              <w:jc w:val="center"/>
              <w:rPr>
                <w:rFonts w:hint="eastAsia" w:hAnsi="宋体" w:cs="宋体"/>
                <w:bCs/>
                <w:color w:val="auto"/>
                <w:sz w:val="21"/>
                <w:szCs w:val="21"/>
                <w:highlight w:val="none"/>
                <w:lang w:val="en-US" w:eastAsia="zh-CN"/>
              </w:rPr>
            </w:pPr>
          </w:p>
        </w:tc>
        <w:tc>
          <w:tcPr>
            <w:tcW w:w="5640" w:type="dxa"/>
            <w:noWrap w:val="0"/>
            <w:vAlign w:val="center"/>
          </w:tcPr>
          <w:p w14:paraId="40740C00">
            <w:pPr>
              <w:rPr>
                <w:rFonts w:ascii="Times New Roman" w:hAnsi="Times New Roman"/>
                <w:sz w:val="21"/>
                <w:szCs w:val="21"/>
                <w:highlight w:val="none"/>
              </w:rPr>
            </w:pPr>
            <w:r>
              <w:rPr>
                <w:rFonts w:hint="eastAsia" w:ascii="宋体" w:hAnsi="宋体" w:cs="宋体"/>
                <w:bCs/>
                <w:color w:val="auto"/>
                <w:spacing w:val="-1"/>
                <w:sz w:val="21"/>
                <w:szCs w:val="21"/>
                <w:highlight w:val="none"/>
              </w:rPr>
              <w:t>基本满足要求，得</w:t>
            </w:r>
            <w:r>
              <w:rPr>
                <w:rFonts w:hint="eastAsia" w:ascii="宋体" w:hAnsi="宋体" w:cs="宋体"/>
                <w:bCs/>
                <w:color w:val="auto"/>
                <w:spacing w:val="-1"/>
                <w:sz w:val="21"/>
                <w:szCs w:val="21"/>
                <w:highlight w:val="none"/>
                <w:lang w:val="en-US" w:eastAsia="zh-CN"/>
              </w:rPr>
              <w:t>6</w:t>
            </w:r>
            <w:r>
              <w:rPr>
                <w:rFonts w:hint="eastAsia" w:ascii="宋体" w:hAnsi="宋体" w:cs="宋体"/>
                <w:bCs/>
                <w:color w:val="auto"/>
                <w:spacing w:val="-1"/>
                <w:sz w:val="21"/>
                <w:szCs w:val="21"/>
                <w:highlight w:val="none"/>
              </w:rPr>
              <w:t>.0分。</w:t>
            </w:r>
          </w:p>
        </w:tc>
      </w:tr>
      <w:tr w14:paraId="0CA0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41" w:type="dxa"/>
            <w:vMerge w:val="continue"/>
            <w:noWrap w:val="0"/>
            <w:vAlign w:val="center"/>
          </w:tcPr>
          <w:p w14:paraId="6B32FA4C">
            <w:pPr>
              <w:pStyle w:val="4"/>
              <w:spacing w:line="160" w:lineRule="atLeast"/>
              <w:jc w:val="center"/>
              <w:rPr>
                <w:rFonts w:ascii="Times New Roman" w:hAnsi="Times New Roman"/>
                <w:szCs w:val="21"/>
                <w:highlight w:val="none"/>
              </w:rPr>
            </w:pPr>
          </w:p>
        </w:tc>
        <w:tc>
          <w:tcPr>
            <w:tcW w:w="741" w:type="dxa"/>
            <w:vMerge w:val="continue"/>
            <w:noWrap w:val="0"/>
            <w:vAlign w:val="top"/>
          </w:tcPr>
          <w:p w14:paraId="2143DB4A">
            <w:pPr>
              <w:pStyle w:val="4"/>
              <w:spacing w:line="160" w:lineRule="atLeast"/>
              <w:jc w:val="center"/>
              <w:rPr>
                <w:rFonts w:ascii="Times New Roman" w:hAnsi="Times New Roman"/>
                <w:szCs w:val="21"/>
                <w:highlight w:val="none"/>
              </w:rPr>
            </w:pPr>
          </w:p>
        </w:tc>
        <w:tc>
          <w:tcPr>
            <w:tcW w:w="624" w:type="dxa"/>
            <w:vMerge w:val="continue"/>
            <w:noWrap w:val="0"/>
            <w:vAlign w:val="center"/>
          </w:tcPr>
          <w:p w14:paraId="1DB1BAEB">
            <w:pPr>
              <w:pStyle w:val="4"/>
              <w:spacing w:line="160" w:lineRule="atLeast"/>
              <w:jc w:val="center"/>
              <w:rPr>
                <w:rFonts w:ascii="Times New Roman" w:hAnsi="Times New Roman"/>
                <w:szCs w:val="21"/>
                <w:highlight w:val="none"/>
              </w:rPr>
            </w:pPr>
          </w:p>
        </w:tc>
        <w:tc>
          <w:tcPr>
            <w:tcW w:w="1134" w:type="dxa"/>
            <w:vMerge w:val="restart"/>
            <w:noWrap w:val="0"/>
            <w:vAlign w:val="center"/>
          </w:tcPr>
          <w:p w14:paraId="031E03BA">
            <w:pPr>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应急、保密措施</w:t>
            </w:r>
          </w:p>
        </w:tc>
        <w:tc>
          <w:tcPr>
            <w:tcW w:w="772" w:type="dxa"/>
            <w:vMerge w:val="restart"/>
            <w:noWrap w:val="0"/>
            <w:vAlign w:val="center"/>
          </w:tcPr>
          <w:p w14:paraId="1EC69D29">
            <w:pPr>
              <w:pStyle w:val="4"/>
              <w:snapToGrid w:val="0"/>
              <w:jc w:val="center"/>
              <w:rPr>
                <w:rFonts w:hint="eastAsia" w:hAnsi="宋体" w:cs="宋体"/>
                <w:bCs/>
                <w:color w:val="auto"/>
                <w:sz w:val="21"/>
                <w:szCs w:val="21"/>
                <w:highlight w:val="none"/>
                <w:lang w:val="en-US" w:eastAsia="zh-CN"/>
              </w:rPr>
            </w:pPr>
            <w:r>
              <w:rPr>
                <w:rFonts w:hint="eastAsia" w:hAnsi="宋体" w:cs="宋体"/>
                <w:bCs/>
                <w:color w:val="auto"/>
                <w:sz w:val="21"/>
                <w:szCs w:val="21"/>
                <w:highlight w:val="none"/>
              </w:rPr>
              <w:t>10分</w:t>
            </w:r>
          </w:p>
        </w:tc>
        <w:tc>
          <w:tcPr>
            <w:tcW w:w="5640" w:type="dxa"/>
            <w:noWrap w:val="0"/>
            <w:vAlign w:val="center"/>
          </w:tcPr>
          <w:p w14:paraId="2B5ACFAB">
            <w:pPr>
              <w:rPr>
                <w:rFonts w:hint="eastAsia" w:ascii="宋体" w:hAnsi="宋体" w:cs="宋体"/>
                <w:bCs/>
                <w:color w:val="auto"/>
                <w:spacing w:val="-1"/>
                <w:sz w:val="21"/>
                <w:szCs w:val="21"/>
                <w:highlight w:val="none"/>
              </w:rPr>
            </w:pPr>
            <w:r>
              <w:rPr>
                <w:rFonts w:hint="eastAsia" w:ascii="宋体" w:hAnsi="宋体" w:cs="宋体"/>
                <w:bCs/>
                <w:color w:val="auto"/>
                <w:spacing w:val="-1"/>
                <w:sz w:val="21"/>
                <w:szCs w:val="21"/>
                <w:highlight w:val="none"/>
              </w:rPr>
              <w:t>科学合理、完善可行、有针对性，得8.0-10.0分；</w:t>
            </w:r>
          </w:p>
        </w:tc>
      </w:tr>
      <w:tr w14:paraId="38A6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41" w:type="dxa"/>
            <w:vMerge w:val="continue"/>
            <w:noWrap w:val="0"/>
            <w:vAlign w:val="center"/>
          </w:tcPr>
          <w:p w14:paraId="12FEEE8B">
            <w:pPr>
              <w:pStyle w:val="4"/>
              <w:spacing w:line="160" w:lineRule="atLeast"/>
              <w:jc w:val="center"/>
              <w:rPr>
                <w:rFonts w:ascii="Times New Roman" w:hAnsi="Times New Roman"/>
                <w:szCs w:val="21"/>
                <w:highlight w:val="none"/>
              </w:rPr>
            </w:pPr>
          </w:p>
        </w:tc>
        <w:tc>
          <w:tcPr>
            <w:tcW w:w="741" w:type="dxa"/>
            <w:vMerge w:val="continue"/>
            <w:noWrap w:val="0"/>
            <w:vAlign w:val="top"/>
          </w:tcPr>
          <w:p w14:paraId="69E995D5">
            <w:pPr>
              <w:pStyle w:val="4"/>
              <w:spacing w:line="160" w:lineRule="atLeast"/>
              <w:jc w:val="center"/>
              <w:rPr>
                <w:rFonts w:ascii="Times New Roman" w:hAnsi="Times New Roman"/>
                <w:szCs w:val="21"/>
                <w:highlight w:val="none"/>
              </w:rPr>
            </w:pPr>
          </w:p>
        </w:tc>
        <w:tc>
          <w:tcPr>
            <w:tcW w:w="624" w:type="dxa"/>
            <w:vMerge w:val="continue"/>
            <w:noWrap w:val="0"/>
            <w:vAlign w:val="center"/>
          </w:tcPr>
          <w:p w14:paraId="63322042">
            <w:pPr>
              <w:pStyle w:val="4"/>
              <w:spacing w:line="160" w:lineRule="atLeast"/>
              <w:jc w:val="center"/>
              <w:rPr>
                <w:rFonts w:ascii="Times New Roman" w:hAnsi="Times New Roman"/>
                <w:szCs w:val="21"/>
                <w:highlight w:val="none"/>
              </w:rPr>
            </w:pPr>
          </w:p>
        </w:tc>
        <w:tc>
          <w:tcPr>
            <w:tcW w:w="1134" w:type="dxa"/>
            <w:vMerge w:val="continue"/>
            <w:noWrap w:val="0"/>
            <w:vAlign w:val="center"/>
          </w:tcPr>
          <w:p w14:paraId="0ACF3203">
            <w:pPr>
              <w:jc w:val="center"/>
              <w:rPr>
                <w:rFonts w:hint="eastAsia" w:ascii="宋体" w:hAnsi="宋体" w:eastAsia="宋体" w:cs="宋体"/>
                <w:bCs/>
                <w:color w:val="auto"/>
                <w:sz w:val="21"/>
                <w:szCs w:val="21"/>
                <w:highlight w:val="none"/>
                <w:lang w:eastAsia="zh-CN"/>
              </w:rPr>
            </w:pPr>
          </w:p>
        </w:tc>
        <w:tc>
          <w:tcPr>
            <w:tcW w:w="772" w:type="dxa"/>
            <w:vMerge w:val="continue"/>
            <w:noWrap w:val="0"/>
            <w:vAlign w:val="center"/>
          </w:tcPr>
          <w:p w14:paraId="1DA68298">
            <w:pPr>
              <w:pStyle w:val="4"/>
              <w:snapToGrid w:val="0"/>
              <w:jc w:val="center"/>
              <w:rPr>
                <w:rFonts w:hint="eastAsia" w:hAnsi="宋体" w:cs="宋体"/>
                <w:bCs/>
                <w:color w:val="auto"/>
                <w:sz w:val="21"/>
                <w:szCs w:val="21"/>
                <w:highlight w:val="none"/>
                <w:lang w:val="en-US" w:eastAsia="zh-CN"/>
              </w:rPr>
            </w:pPr>
          </w:p>
        </w:tc>
        <w:tc>
          <w:tcPr>
            <w:tcW w:w="5640" w:type="dxa"/>
            <w:noWrap w:val="0"/>
            <w:vAlign w:val="center"/>
          </w:tcPr>
          <w:p w14:paraId="28E3E88D">
            <w:pPr>
              <w:rPr>
                <w:rFonts w:hint="eastAsia" w:ascii="宋体" w:hAnsi="宋体" w:cs="宋体"/>
                <w:bCs/>
                <w:color w:val="auto"/>
                <w:spacing w:val="-1"/>
                <w:sz w:val="21"/>
                <w:szCs w:val="21"/>
                <w:highlight w:val="none"/>
              </w:rPr>
            </w:pPr>
            <w:r>
              <w:rPr>
                <w:rFonts w:hint="eastAsia" w:ascii="宋体" w:hAnsi="宋体" w:cs="宋体"/>
                <w:bCs/>
                <w:color w:val="auto"/>
                <w:spacing w:val="-1"/>
                <w:sz w:val="21"/>
                <w:szCs w:val="21"/>
                <w:highlight w:val="none"/>
              </w:rPr>
              <w:t>较科学、较完善可行、较有针对性，得6.0-8.0分；</w:t>
            </w:r>
          </w:p>
        </w:tc>
      </w:tr>
      <w:tr w14:paraId="67D5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41" w:type="dxa"/>
            <w:vMerge w:val="continue"/>
            <w:noWrap w:val="0"/>
            <w:vAlign w:val="center"/>
          </w:tcPr>
          <w:p w14:paraId="51E11685">
            <w:pPr>
              <w:pStyle w:val="4"/>
              <w:spacing w:line="160" w:lineRule="atLeast"/>
              <w:jc w:val="center"/>
              <w:rPr>
                <w:rFonts w:ascii="Times New Roman" w:hAnsi="Times New Roman"/>
                <w:szCs w:val="21"/>
                <w:highlight w:val="none"/>
              </w:rPr>
            </w:pPr>
          </w:p>
        </w:tc>
        <w:tc>
          <w:tcPr>
            <w:tcW w:w="741" w:type="dxa"/>
            <w:vMerge w:val="continue"/>
            <w:noWrap w:val="0"/>
            <w:vAlign w:val="top"/>
          </w:tcPr>
          <w:p w14:paraId="7F73F366">
            <w:pPr>
              <w:pStyle w:val="4"/>
              <w:spacing w:line="160" w:lineRule="atLeast"/>
              <w:jc w:val="center"/>
              <w:rPr>
                <w:rFonts w:ascii="Times New Roman" w:hAnsi="Times New Roman"/>
                <w:szCs w:val="21"/>
                <w:highlight w:val="none"/>
              </w:rPr>
            </w:pPr>
          </w:p>
        </w:tc>
        <w:tc>
          <w:tcPr>
            <w:tcW w:w="624" w:type="dxa"/>
            <w:vMerge w:val="continue"/>
            <w:noWrap w:val="0"/>
            <w:vAlign w:val="center"/>
          </w:tcPr>
          <w:p w14:paraId="1286A2E4">
            <w:pPr>
              <w:pStyle w:val="4"/>
              <w:spacing w:line="160" w:lineRule="atLeast"/>
              <w:jc w:val="center"/>
              <w:rPr>
                <w:rFonts w:ascii="Times New Roman" w:hAnsi="Times New Roman"/>
                <w:szCs w:val="21"/>
                <w:highlight w:val="none"/>
              </w:rPr>
            </w:pPr>
          </w:p>
        </w:tc>
        <w:tc>
          <w:tcPr>
            <w:tcW w:w="1134" w:type="dxa"/>
            <w:vMerge w:val="continue"/>
            <w:noWrap w:val="0"/>
            <w:vAlign w:val="center"/>
          </w:tcPr>
          <w:p w14:paraId="326EE213">
            <w:pPr>
              <w:jc w:val="center"/>
              <w:rPr>
                <w:rFonts w:hint="eastAsia" w:ascii="宋体" w:hAnsi="宋体" w:eastAsia="宋体" w:cs="宋体"/>
                <w:bCs/>
                <w:color w:val="auto"/>
                <w:sz w:val="21"/>
                <w:szCs w:val="21"/>
                <w:highlight w:val="none"/>
                <w:lang w:eastAsia="zh-CN"/>
              </w:rPr>
            </w:pPr>
          </w:p>
        </w:tc>
        <w:tc>
          <w:tcPr>
            <w:tcW w:w="772" w:type="dxa"/>
            <w:vMerge w:val="continue"/>
            <w:noWrap w:val="0"/>
            <w:vAlign w:val="center"/>
          </w:tcPr>
          <w:p w14:paraId="28E391F6">
            <w:pPr>
              <w:pStyle w:val="4"/>
              <w:snapToGrid w:val="0"/>
              <w:jc w:val="center"/>
              <w:rPr>
                <w:rFonts w:hint="eastAsia" w:hAnsi="宋体" w:cs="宋体"/>
                <w:bCs/>
                <w:color w:val="auto"/>
                <w:sz w:val="21"/>
                <w:szCs w:val="21"/>
                <w:highlight w:val="none"/>
                <w:lang w:val="en-US" w:eastAsia="zh-CN"/>
              </w:rPr>
            </w:pPr>
          </w:p>
        </w:tc>
        <w:tc>
          <w:tcPr>
            <w:tcW w:w="5640" w:type="dxa"/>
            <w:noWrap w:val="0"/>
            <w:vAlign w:val="center"/>
          </w:tcPr>
          <w:p w14:paraId="7390070B">
            <w:pPr>
              <w:rPr>
                <w:rFonts w:hint="eastAsia" w:ascii="宋体" w:hAnsi="宋体" w:cs="宋体"/>
                <w:bCs/>
                <w:color w:val="auto"/>
                <w:spacing w:val="-1"/>
                <w:sz w:val="21"/>
                <w:szCs w:val="21"/>
                <w:highlight w:val="none"/>
              </w:rPr>
            </w:pPr>
            <w:r>
              <w:rPr>
                <w:rFonts w:hint="eastAsia" w:ascii="宋体" w:hAnsi="宋体" w:cs="宋体"/>
                <w:bCs/>
                <w:color w:val="auto"/>
                <w:sz w:val="21"/>
                <w:szCs w:val="21"/>
                <w:highlight w:val="none"/>
              </w:rPr>
              <w:t>应急、保密</w:t>
            </w:r>
            <w:r>
              <w:rPr>
                <w:rFonts w:hint="eastAsia" w:ascii="宋体" w:hAnsi="宋体" w:cs="宋体"/>
                <w:bCs/>
                <w:color w:val="auto"/>
                <w:spacing w:val="-1"/>
                <w:sz w:val="21"/>
                <w:szCs w:val="21"/>
                <w:highlight w:val="none"/>
              </w:rPr>
              <w:t>措施一般，得6.0分。</w:t>
            </w:r>
          </w:p>
        </w:tc>
      </w:tr>
      <w:tr w14:paraId="49E5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41" w:type="dxa"/>
            <w:vMerge w:val="continue"/>
            <w:noWrap w:val="0"/>
            <w:vAlign w:val="center"/>
          </w:tcPr>
          <w:p w14:paraId="25F7E864">
            <w:pPr>
              <w:pStyle w:val="4"/>
              <w:spacing w:line="160" w:lineRule="atLeast"/>
              <w:jc w:val="center"/>
              <w:rPr>
                <w:rFonts w:ascii="Times New Roman" w:hAnsi="Times New Roman"/>
                <w:szCs w:val="21"/>
                <w:highlight w:val="none"/>
              </w:rPr>
            </w:pPr>
          </w:p>
        </w:tc>
        <w:tc>
          <w:tcPr>
            <w:tcW w:w="741" w:type="dxa"/>
            <w:vMerge w:val="continue"/>
            <w:noWrap w:val="0"/>
            <w:vAlign w:val="top"/>
          </w:tcPr>
          <w:p w14:paraId="754410A3">
            <w:pPr>
              <w:pStyle w:val="4"/>
              <w:spacing w:line="160" w:lineRule="atLeast"/>
              <w:jc w:val="center"/>
              <w:rPr>
                <w:rFonts w:ascii="Times New Roman" w:hAnsi="Times New Roman"/>
                <w:szCs w:val="21"/>
                <w:highlight w:val="none"/>
              </w:rPr>
            </w:pPr>
          </w:p>
        </w:tc>
        <w:tc>
          <w:tcPr>
            <w:tcW w:w="624" w:type="dxa"/>
            <w:vMerge w:val="continue"/>
            <w:noWrap w:val="0"/>
            <w:vAlign w:val="center"/>
          </w:tcPr>
          <w:p w14:paraId="75F6ECFE">
            <w:pPr>
              <w:pStyle w:val="4"/>
              <w:spacing w:line="160" w:lineRule="atLeast"/>
              <w:jc w:val="center"/>
              <w:rPr>
                <w:rFonts w:ascii="Times New Roman" w:hAnsi="Times New Roman"/>
                <w:szCs w:val="21"/>
                <w:highlight w:val="none"/>
              </w:rPr>
            </w:pPr>
          </w:p>
        </w:tc>
        <w:tc>
          <w:tcPr>
            <w:tcW w:w="1134" w:type="dxa"/>
            <w:vMerge w:val="restart"/>
            <w:noWrap w:val="0"/>
            <w:vAlign w:val="center"/>
          </w:tcPr>
          <w:p w14:paraId="1BDCEF7B">
            <w:pPr>
              <w:jc w:val="center"/>
              <w:rPr>
                <w:rFonts w:hint="default" w:ascii="Times New Roman" w:hAnsi="Times New Roman" w:eastAsia="宋体"/>
                <w:sz w:val="21"/>
                <w:szCs w:val="21"/>
                <w:highlight w:val="none"/>
                <w:lang w:val="en-US" w:eastAsia="zh-CN"/>
              </w:rPr>
            </w:pPr>
            <w:r>
              <w:rPr>
                <w:rFonts w:hint="eastAsia" w:ascii="宋体" w:hAnsi="宋体" w:cs="宋体"/>
                <w:bCs/>
                <w:color w:val="auto"/>
                <w:sz w:val="21"/>
                <w:szCs w:val="21"/>
                <w:highlight w:val="none"/>
                <w:lang w:val="en-US" w:eastAsia="zh-CN"/>
              </w:rPr>
              <w:t>系统支持</w:t>
            </w:r>
          </w:p>
        </w:tc>
        <w:tc>
          <w:tcPr>
            <w:tcW w:w="772" w:type="dxa"/>
            <w:vMerge w:val="restart"/>
            <w:noWrap w:val="0"/>
            <w:vAlign w:val="center"/>
          </w:tcPr>
          <w:p w14:paraId="4CEC78EA">
            <w:pPr>
              <w:pStyle w:val="4"/>
              <w:snapToGrid w:val="0"/>
              <w:ind w:left="0" w:leftChars="-48" w:right="-42" w:rightChars="-15" w:hanging="134" w:hangingChars="64"/>
              <w:jc w:val="center"/>
              <w:rPr>
                <w:rFonts w:ascii="Times New Roman" w:hAnsi="Times New Roman"/>
                <w:sz w:val="21"/>
                <w:szCs w:val="21"/>
                <w:highlight w:val="none"/>
              </w:rPr>
            </w:pPr>
            <w:r>
              <w:rPr>
                <w:rFonts w:hint="eastAsia" w:hAnsi="宋体" w:cs="宋体"/>
                <w:bCs/>
                <w:color w:val="auto"/>
                <w:sz w:val="21"/>
                <w:szCs w:val="21"/>
                <w:highlight w:val="none"/>
              </w:rPr>
              <w:t>10分</w:t>
            </w:r>
          </w:p>
        </w:tc>
        <w:tc>
          <w:tcPr>
            <w:tcW w:w="5640" w:type="dxa"/>
            <w:noWrap w:val="0"/>
            <w:vAlign w:val="center"/>
          </w:tcPr>
          <w:p w14:paraId="4A0E45BD">
            <w:pPr>
              <w:rPr>
                <w:rFonts w:ascii="Times New Roman" w:hAnsi="Times New Roman"/>
                <w:sz w:val="21"/>
                <w:szCs w:val="21"/>
                <w:highlight w:val="none"/>
              </w:rPr>
            </w:pPr>
            <w:r>
              <w:rPr>
                <w:rFonts w:hint="eastAsia" w:hAnsi="宋体" w:cs="宋体"/>
                <w:color w:val="auto"/>
                <w:sz w:val="21"/>
                <w:szCs w:val="21"/>
                <w:highlight w:val="none"/>
                <w:lang w:val="en-US" w:eastAsia="zh-CN"/>
              </w:rPr>
              <w:t>具备系统支持，包括下单系统、下单金额、对应收款人员信息、返款通知等，系统具备多种下单模式、摘要及同步回单功能，功能完备，专业性高，安全性高，得8.0-10.0分。</w:t>
            </w:r>
          </w:p>
        </w:tc>
      </w:tr>
      <w:tr w14:paraId="12F5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1" w:type="dxa"/>
            <w:vMerge w:val="continue"/>
            <w:noWrap w:val="0"/>
            <w:vAlign w:val="center"/>
          </w:tcPr>
          <w:p w14:paraId="78A965F1">
            <w:pPr>
              <w:pStyle w:val="4"/>
              <w:spacing w:line="160" w:lineRule="atLeast"/>
              <w:jc w:val="center"/>
              <w:rPr>
                <w:rFonts w:ascii="Times New Roman" w:hAnsi="Times New Roman"/>
                <w:szCs w:val="21"/>
                <w:highlight w:val="none"/>
              </w:rPr>
            </w:pPr>
          </w:p>
        </w:tc>
        <w:tc>
          <w:tcPr>
            <w:tcW w:w="741" w:type="dxa"/>
            <w:vMerge w:val="continue"/>
            <w:noWrap w:val="0"/>
            <w:vAlign w:val="top"/>
          </w:tcPr>
          <w:p w14:paraId="64A8051B">
            <w:pPr>
              <w:pStyle w:val="4"/>
              <w:spacing w:line="160" w:lineRule="atLeast"/>
              <w:jc w:val="center"/>
              <w:rPr>
                <w:rFonts w:ascii="Times New Roman" w:hAnsi="Times New Roman"/>
                <w:szCs w:val="21"/>
                <w:highlight w:val="none"/>
              </w:rPr>
            </w:pPr>
          </w:p>
        </w:tc>
        <w:tc>
          <w:tcPr>
            <w:tcW w:w="624" w:type="dxa"/>
            <w:vMerge w:val="continue"/>
            <w:noWrap w:val="0"/>
            <w:vAlign w:val="center"/>
          </w:tcPr>
          <w:p w14:paraId="73431136">
            <w:pPr>
              <w:pStyle w:val="4"/>
              <w:spacing w:line="160" w:lineRule="atLeast"/>
              <w:jc w:val="center"/>
              <w:rPr>
                <w:rFonts w:ascii="Times New Roman" w:hAnsi="Times New Roman"/>
                <w:szCs w:val="21"/>
                <w:highlight w:val="none"/>
              </w:rPr>
            </w:pPr>
          </w:p>
        </w:tc>
        <w:tc>
          <w:tcPr>
            <w:tcW w:w="1134" w:type="dxa"/>
            <w:vMerge w:val="continue"/>
            <w:noWrap w:val="0"/>
            <w:vAlign w:val="center"/>
          </w:tcPr>
          <w:p w14:paraId="002D2EC5">
            <w:pPr>
              <w:jc w:val="center"/>
              <w:rPr>
                <w:rFonts w:hint="eastAsia" w:ascii="宋体" w:hAnsi="宋体" w:cs="宋体"/>
                <w:bCs/>
                <w:color w:val="auto"/>
                <w:sz w:val="21"/>
                <w:szCs w:val="21"/>
                <w:highlight w:val="none"/>
              </w:rPr>
            </w:pPr>
          </w:p>
        </w:tc>
        <w:tc>
          <w:tcPr>
            <w:tcW w:w="772" w:type="dxa"/>
            <w:vMerge w:val="continue"/>
            <w:noWrap w:val="0"/>
            <w:vAlign w:val="center"/>
          </w:tcPr>
          <w:p w14:paraId="2BF02046">
            <w:pPr>
              <w:pStyle w:val="4"/>
              <w:snapToGrid w:val="0"/>
              <w:ind w:left="0" w:leftChars="-48" w:right="-42" w:rightChars="-15" w:hanging="134" w:hangingChars="64"/>
              <w:jc w:val="center"/>
              <w:rPr>
                <w:rFonts w:hint="eastAsia" w:hAnsi="宋体" w:cs="宋体"/>
                <w:bCs/>
                <w:color w:val="auto"/>
                <w:sz w:val="21"/>
                <w:szCs w:val="21"/>
                <w:highlight w:val="none"/>
              </w:rPr>
            </w:pPr>
          </w:p>
        </w:tc>
        <w:tc>
          <w:tcPr>
            <w:tcW w:w="5640" w:type="dxa"/>
            <w:noWrap w:val="0"/>
            <w:vAlign w:val="center"/>
          </w:tcPr>
          <w:p w14:paraId="1646690D">
            <w:pPr>
              <w:rPr>
                <w:rFonts w:ascii="Times New Roman" w:hAnsi="Times New Roman"/>
                <w:sz w:val="21"/>
                <w:szCs w:val="21"/>
                <w:highlight w:val="none"/>
              </w:rPr>
            </w:pPr>
            <w:r>
              <w:rPr>
                <w:rFonts w:hint="eastAsia" w:hAnsi="宋体" w:cs="宋体"/>
                <w:color w:val="auto"/>
                <w:sz w:val="21"/>
                <w:szCs w:val="21"/>
                <w:highlight w:val="none"/>
                <w:lang w:val="en-US" w:eastAsia="zh-CN"/>
              </w:rPr>
              <w:t>具备系统支持，包括下单系统、下单金额、对应收款人员信息、返款通知等，系统具备多种下单模式，功能和安全性一般，得6.0-8.0分；</w:t>
            </w:r>
          </w:p>
        </w:tc>
      </w:tr>
      <w:tr w14:paraId="60D8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Merge w:val="continue"/>
            <w:noWrap w:val="0"/>
            <w:vAlign w:val="center"/>
          </w:tcPr>
          <w:p w14:paraId="7635E923">
            <w:pPr>
              <w:pStyle w:val="4"/>
              <w:spacing w:line="160" w:lineRule="atLeast"/>
              <w:jc w:val="center"/>
              <w:rPr>
                <w:rFonts w:ascii="Times New Roman" w:hAnsi="Times New Roman"/>
                <w:szCs w:val="21"/>
                <w:highlight w:val="none"/>
              </w:rPr>
            </w:pPr>
          </w:p>
        </w:tc>
        <w:tc>
          <w:tcPr>
            <w:tcW w:w="741" w:type="dxa"/>
            <w:vMerge w:val="continue"/>
            <w:noWrap w:val="0"/>
            <w:vAlign w:val="top"/>
          </w:tcPr>
          <w:p w14:paraId="5C7B2331">
            <w:pPr>
              <w:pStyle w:val="4"/>
              <w:spacing w:line="160" w:lineRule="atLeast"/>
              <w:jc w:val="center"/>
              <w:rPr>
                <w:rFonts w:ascii="Times New Roman" w:hAnsi="Times New Roman"/>
                <w:szCs w:val="21"/>
                <w:highlight w:val="none"/>
              </w:rPr>
            </w:pPr>
          </w:p>
        </w:tc>
        <w:tc>
          <w:tcPr>
            <w:tcW w:w="624" w:type="dxa"/>
            <w:vMerge w:val="continue"/>
            <w:noWrap w:val="0"/>
            <w:vAlign w:val="center"/>
          </w:tcPr>
          <w:p w14:paraId="02140D70">
            <w:pPr>
              <w:pStyle w:val="4"/>
              <w:spacing w:line="160" w:lineRule="atLeast"/>
              <w:jc w:val="center"/>
              <w:rPr>
                <w:rFonts w:ascii="Times New Roman" w:hAnsi="Times New Roman"/>
                <w:szCs w:val="21"/>
                <w:highlight w:val="none"/>
              </w:rPr>
            </w:pPr>
          </w:p>
        </w:tc>
        <w:tc>
          <w:tcPr>
            <w:tcW w:w="1134" w:type="dxa"/>
            <w:vMerge w:val="continue"/>
            <w:noWrap w:val="0"/>
            <w:vAlign w:val="center"/>
          </w:tcPr>
          <w:p w14:paraId="68DEA101">
            <w:pPr>
              <w:jc w:val="center"/>
              <w:rPr>
                <w:rFonts w:hint="eastAsia" w:ascii="宋体" w:hAnsi="宋体" w:cs="宋体"/>
                <w:bCs/>
                <w:color w:val="auto"/>
                <w:sz w:val="21"/>
                <w:szCs w:val="21"/>
                <w:highlight w:val="none"/>
              </w:rPr>
            </w:pPr>
          </w:p>
        </w:tc>
        <w:tc>
          <w:tcPr>
            <w:tcW w:w="772" w:type="dxa"/>
            <w:vMerge w:val="continue"/>
            <w:noWrap w:val="0"/>
            <w:vAlign w:val="center"/>
          </w:tcPr>
          <w:p w14:paraId="1E7EF749">
            <w:pPr>
              <w:pStyle w:val="4"/>
              <w:snapToGrid w:val="0"/>
              <w:ind w:left="0" w:leftChars="-48" w:right="-42" w:rightChars="-15" w:hanging="134" w:hangingChars="64"/>
              <w:jc w:val="center"/>
              <w:rPr>
                <w:rFonts w:hint="eastAsia" w:hAnsi="宋体" w:cs="宋体"/>
                <w:bCs/>
                <w:color w:val="auto"/>
                <w:sz w:val="21"/>
                <w:szCs w:val="21"/>
                <w:highlight w:val="none"/>
              </w:rPr>
            </w:pPr>
          </w:p>
        </w:tc>
        <w:tc>
          <w:tcPr>
            <w:tcW w:w="5640" w:type="dxa"/>
            <w:noWrap w:val="0"/>
            <w:vAlign w:val="center"/>
          </w:tcPr>
          <w:p w14:paraId="0745AE2D">
            <w:pPr>
              <w:rPr>
                <w:rFonts w:ascii="Times New Roman" w:hAnsi="Times New Roman"/>
                <w:sz w:val="21"/>
                <w:szCs w:val="21"/>
                <w:highlight w:val="none"/>
              </w:rPr>
            </w:pPr>
            <w:r>
              <w:rPr>
                <w:rFonts w:hint="eastAsia" w:hAnsi="宋体" w:cs="宋体"/>
                <w:color w:val="auto"/>
                <w:sz w:val="21"/>
                <w:szCs w:val="21"/>
                <w:highlight w:val="none"/>
                <w:lang w:val="en-US" w:eastAsia="zh-CN"/>
              </w:rPr>
              <w:t>具备系统支持，包括下单系统、下单金额、对应收款人员信息、返款通知等，得6.0分；</w:t>
            </w:r>
          </w:p>
        </w:tc>
      </w:tr>
      <w:tr w14:paraId="67B0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41" w:type="dxa"/>
            <w:vMerge w:val="continue"/>
            <w:noWrap w:val="0"/>
            <w:vAlign w:val="center"/>
          </w:tcPr>
          <w:p w14:paraId="3428BFB0">
            <w:pPr>
              <w:pStyle w:val="4"/>
              <w:spacing w:line="160" w:lineRule="atLeast"/>
              <w:jc w:val="center"/>
              <w:rPr>
                <w:rFonts w:ascii="Times New Roman" w:hAnsi="Times New Roman"/>
                <w:szCs w:val="21"/>
                <w:highlight w:val="none"/>
              </w:rPr>
            </w:pPr>
          </w:p>
        </w:tc>
        <w:tc>
          <w:tcPr>
            <w:tcW w:w="741" w:type="dxa"/>
            <w:vMerge w:val="continue"/>
            <w:noWrap w:val="0"/>
            <w:vAlign w:val="center"/>
          </w:tcPr>
          <w:p w14:paraId="4DCAC650">
            <w:pPr>
              <w:pStyle w:val="4"/>
              <w:spacing w:line="160" w:lineRule="atLeast"/>
              <w:jc w:val="center"/>
              <w:rPr>
                <w:rFonts w:ascii="Times New Roman" w:hAnsi="Times New Roman"/>
                <w:szCs w:val="21"/>
                <w:highlight w:val="none"/>
              </w:rPr>
            </w:pPr>
          </w:p>
        </w:tc>
        <w:tc>
          <w:tcPr>
            <w:tcW w:w="624" w:type="dxa"/>
            <w:vMerge w:val="continue"/>
            <w:noWrap w:val="0"/>
            <w:vAlign w:val="center"/>
          </w:tcPr>
          <w:p w14:paraId="2CC16C45">
            <w:pPr>
              <w:pStyle w:val="4"/>
              <w:spacing w:line="160" w:lineRule="atLeast"/>
              <w:jc w:val="center"/>
              <w:rPr>
                <w:rFonts w:ascii="Times New Roman" w:hAnsi="Times New Roman"/>
                <w:szCs w:val="21"/>
                <w:highlight w:val="none"/>
              </w:rPr>
            </w:pPr>
          </w:p>
        </w:tc>
        <w:tc>
          <w:tcPr>
            <w:tcW w:w="1134" w:type="dxa"/>
            <w:vMerge w:val="restart"/>
            <w:noWrap w:val="0"/>
            <w:vAlign w:val="center"/>
          </w:tcPr>
          <w:p w14:paraId="2F050C17">
            <w:pPr>
              <w:jc w:val="center"/>
              <w:rPr>
                <w:rFonts w:ascii="Times New Roman" w:hAnsi="Times New Roman"/>
                <w:sz w:val="21"/>
                <w:szCs w:val="21"/>
                <w:highlight w:val="none"/>
              </w:rPr>
            </w:pPr>
            <w:r>
              <w:rPr>
                <w:rFonts w:hint="eastAsia" w:ascii="宋体" w:hAnsi="宋体" w:cs="宋体"/>
                <w:bCs/>
                <w:color w:val="auto"/>
                <w:sz w:val="21"/>
                <w:szCs w:val="21"/>
                <w:highlight w:val="none"/>
              </w:rPr>
              <w:t>订单响应时效</w:t>
            </w:r>
          </w:p>
        </w:tc>
        <w:tc>
          <w:tcPr>
            <w:tcW w:w="772" w:type="dxa"/>
            <w:vMerge w:val="restart"/>
            <w:noWrap w:val="0"/>
            <w:vAlign w:val="center"/>
          </w:tcPr>
          <w:p w14:paraId="1C6CC1EC">
            <w:pPr>
              <w:pStyle w:val="4"/>
              <w:snapToGrid w:val="0"/>
              <w:jc w:val="center"/>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5分</w:t>
            </w:r>
          </w:p>
        </w:tc>
        <w:tc>
          <w:tcPr>
            <w:tcW w:w="5640" w:type="dxa"/>
            <w:tcBorders>
              <w:bottom w:val="single" w:color="auto" w:sz="4" w:space="0"/>
            </w:tcBorders>
            <w:noWrap w:val="0"/>
            <w:vAlign w:val="center"/>
          </w:tcPr>
          <w:p w14:paraId="15DEC361">
            <w:pPr>
              <w:rPr>
                <w:rFonts w:hint="default" w:eastAsia="宋体"/>
                <w:kern w:val="2"/>
                <w:sz w:val="21"/>
                <w:szCs w:val="21"/>
                <w:highlight w:val="none"/>
                <w:lang w:val="en-US" w:eastAsia="zh-CN"/>
              </w:rPr>
            </w:pPr>
            <w:r>
              <w:rPr>
                <w:rFonts w:hint="eastAsia"/>
                <w:kern w:val="2"/>
                <w:sz w:val="21"/>
                <w:szCs w:val="21"/>
                <w:highlight w:val="none"/>
              </w:rPr>
              <w:t>订单响应</w:t>
            </w:r>
            <w:r>
              <w:rPr>
                <w:rFonts w:hint="eastAsia"/>
                <w:kern w:val="2"/>
                <w:sz w:val="21"/>
                <w:szCs w:val="21"/>
                <w:highlight w:val="none"/>
                <w:lang w:val="en-US" w:eastAsia="zh-CN"/>
              </w:rPr>
              <w:t>时间：</w:t>
            </w:r>
            <w:r>
              <w:rPr>
                <w:rFonts w:hint="eastAsia"/>
                <w:kern w:val="2"/>
                <w:sz w:val="21"/>
                <w:szCs w:val="21"/>
                <w:highlight w:val="none"/>
              </w:rPr>
              <w:t>1小时内上门</w:t>
            </w:r>
            <w:r>
              <w:rPr>
                <w:rFonts w:hint="eastAsia"/>
                <w:kern w:val="2"/>
                <w:sz w:val="21"/>
                <w:szCs w:val="21"/>
                <w:highlight w:val="none"/>
                <w:lang w:eastAsia="zh-CN"/>
              </w:rPr>
              <w:t>，</w:t>
            </w:r>
            <w:r>
              <w:rPr>
                <w:rFonts w:hint="eastAsia"/>
                <w:kern w:val="2"/>
                <w:sz w:val="21"/>
                <w:szCs w:val="21"/>
                <w:highlight w:val="none"/>
                <w:lang w:val="en-US" w:eastAsia="zh-CN"/>
              </w:rPr>
              <w:t>得5.0分；</w:t>
            </w:r>
          </w:p>
        </w:tc>
      </w:tr>
      <w:tr w14:paraId="7A42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41" w:type="dxa"/>
            <w:vMerge w:val="continue"/>
            <w:noWrap w:val="0"/>
            <w:vAlign w:val="center"/>
          </w:tcPr>
          <w:p w14:paraId="6CBB5432">
            <w:pPr>
              <w:pStyle w:val="4"/>
              <w:spacing w:line="160" w:lineRule="atLeast"/>
              <w:jc w:val="center"/>
              <w:rPr>
                <w:rFonts w:ascii="Times New Roman" w:hAnsi="Times New Roman"/>
                <w:szCs w:val="21"/>
                <w:highlight w:val="none"/>
              </w:rPr>
            </w:pPr>
          </w:p>
        </w:tc>
        <w:tc>
          <w:tcPr>
            <w:tcW w:w="741" w:type="dxa"/>
            <w:vMerge w:val="continue"/>
            <w:noWrap w:val="0"/>
            <w:vAlign w:val="center"/>
          </w:tcPr>
          <w:p w14:paraId="7F4465D5">
            <w:pPr>
              <w:pStyle w:val="4"/>
              <w:spacing w:line="160" w:lineRule="atLeast"/>
              <w:jc w:val="center"/>
              <w:rPr>
                <w:rFonts w:ascii="Times New Roman" w:hAnsi="Times New Roman"/>
                <w:szCs w:val="21"/>
                <w:highlight w:val="none"/>
              </w:rPr>
            </w:pPr>
          </w:p>
        </w:tc>
        <w:tc>
          <w:tcPr>
            <w:tcW w:w="624" w:type="dxa"/>
            <w:vMerge w:val="continue"/>
            <w:noWrap w:val="0"/>
            <w:vAlign w:val="center"/>
          </w:tcPr>
          <w:p w14:paraId="7EFD00EC">
            <w:pPr>
              <w:pStyle w:val="4"/>
              <w:spacing w:line="160" w:lineRule="atLeast"/>
              <w:jc w:val="center"/>
              <w:rPr>
                <w:rFonts w:ascii="Times New Roman" w:hAnsi="Times New Roman"/>
                <w:szCs w:val="21"/>
                <w:highlight w:val="none"/>
              </w:rPr>
            </w:pPr>
          </w:p>
        </w:tc>
        <w:tc>
          <w:tcPr>
            <w:tcW w:w="1134" w:type="dxa"/>
            <w:vMerge w:val="continue"/>
            <w:noWrap w:val="0"/>
            <w:vAlign w:val="center"/>
          </w:tcPr>
          <w:p w14:paraId="777E07E5">
            <w:pPr>
              <w:jc w:val="center"/>
              <w:rPr>
                <w:rFonts w:hint="eastAsia" w:ascii="宋体" w:hAnsi="宋体" w:cs="宋体"/>
                <w:bCs/>
                <w:color w:val="auto"/>
                <w:sz w:val="21"/>
                <w:szCs w:val="21"/>
                <w:highlight w:val="none"/>
              </w:rPr>
            </w:pPr>
          </w:p>
        </w:tc>
        <w:tc>
          <w:tcPr>
            <w:tcW w:w="772" w:type="dxa"/>
            <w:vMerge w:val="continue"/>
            <w:noWrap w:val="0"/>
            <w:vAlign w:val="center"/>
          </w:tcPr>
          <w:p w14:paraId="21DB1593">
            <w:pPr>
              <w:pStyle w:val="4"/>
              <w:snapToGrid w:val="0"/>
              <w:jc w:val="center"/>
              <w:rPr>
                <w:rFonts w:hint="eastAsia" w:hAnsi="宋体" w:cs="宋体"/>
                <w:bCs/>
                <w:color w:val="auto"/>
                <w:sz w:val="21"/>
                <w:szCs w:val="21"/>
                <w:highlight w:val="none"/>
              </w:rPr>
            </w:pPr>
          </w:p>
        </w:tc>
        <w:tc>
          <w:tcPr>
            <w:tcW w:w="5640" w:type="dxa"/>
            <w:tcBorders>
              <w:bottom w:val="single" w:color="auto" w:sz="4" w:space="0"/>
            </w:tcBorders>
            <w:noWrap w:val="0"/>
            <w:vAlign w:val="center"/>
          </w:tcPr>
          <w:p w14:paraId="2E8418FA">
            <w:pPr>
              <w:rPr>
                <w:kern w:val="2"/>
                <w:sz w:val="21"/>
                <w:szCs w:val="21"/>
                <w:highlight w:val="none"/>
              </w:rPr>
            </w:pPr>
            <w:r>
              <w:rPr>
                <w:rFonts w:hint="eastAsia"/>
                <w:kern w:val="2"/>
                <w:sz w:val="21"/>
                <w:szCs w:val="21"/>
                <w:highlight w:val="none"/>
              </w:rPr>
              <w:t>订单响应</w:t>
            </w:r>
            <w:r>
              <w:rPr>
                <w:rFonts w:hint="eastAsia"/>
                <w:kern w:val="2"/>
                <w:sz w:val="21"/>
                <w:szCs w:val="21"/>
                <w:highlight w:val="none"/>
                <w:lang w:val="en-US" w:eastAsia="zh-CN"/>
              </w:rPr>
              <w:t>时间：</w:t>
            </w:r>
            <w:r>
              <w:rPr>
                <w:rFonts w:hint="eastAsia"/>
                <w:kern w:val="2"/>
                <w:sz w:val="21"/>
                <w:szCs w:val="21"/>
                <w:highlight w:val="none"/>
              </w:rPr>
              <w:t>3小时</w:t>
            </w:r>
            <w:r>
              <w:rPr>
                <w:rFonts w:hint="eastAsia"/>
                <w:kern w:val="2"/>
                <w:sz w:val="21"/>
                <w:szCs w:val="21"/>
                <w:highlight w:val="none"/>
                <w:lang w:val="en-US" w:eastAsia="zh-CN"/>
              </w:rPr>
              <w:t>内</w:t>
            </w:r>
            <w:r>
              <w:rPr>
                <w:rFonts w:hint="eastAsia"/>
                <w:kern w:val="2"/>
                <w:sz w:val="21"/>
                <w:szCs w:val="21"/>
                <w:highlight w:val="none"/>
              </w:rPr>
              <w:t>上门，</w:t>
            </w:r>
            <w:r>
              <w:rPr>
                <w:rFonts w:hint="eastAsia"/>
                <w:kern w:val="2"/>
                <w:sz w:val="21"/>
                <w:szCs w:val="21"/>
                <w:highlight w:val="none"/>
                <w:lang w:val="en-US" w:eastAsia="zh-CN"/>
              </w:rPr>
              <w:t>得</w:t>
            </w:r>
            <w:r>
              <w:rPr>
                <w:rFonts w:hint="eastAsia"/>
                <w:kern w:val="2"/>
                <w:sz w:val="21"/>
                <w:szCs w:val="21"/>
                <w:highlight w:val="none"/>
              </w:rPr>
              <w:t>3</w:t>
            </w:r>
            <w:r>
              <w:rPr>
                <w:rFonts w:hint="eastAsia"/>
                <w:kern w:val="2"/>
                <w:sz w:val="21"/>
                <w:szCs w:val="21"/>
                <w:highlight w:val="none"/>
                <w:lang w:val="en-US" w:eastAsia="zh-CN"/>
              </w:rPr>
              <w:t>.0</w:t>
            </w:r>
            <w:r>
              <w:rPr>
                <w:rFonts w:hint="eastAsia"/>
                <w:kern w:val="2"/>
                <w:sz w:val="21"/>
                <w:szCs w:val="21"/>
                <w:highlight w:val="none"/>
              </w:rPr>
              <w:t>分</w:t>
            </w:r>
            <w:r>
              <w:rPr>
                <w:rFonts w:hint="eastAsia"/>
                <w:kern w:val="2"/>
                <w:sz w:val="21"/>
                <w:szCs w:val="21"/>
                <w:highlight w:val="none"/>
                <w:lang w:eastAsia="zh-CN"/>
              </w:rPr>
              <w:t>；</w:t>
            </w:r>
          </w:p>
        </w:tc>
      </w:tr>
      <w:tr w14:paraId="7EB1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41" w:type="dxa"/>
            <w:vMerge w:val="continue"/>
            <w:noWrap w:val="0"/>
            <w:vAlign w:val="center"/>
          </w:tcPr>
          <w:p w14:paraId="54B43B98">
            <w:pPr>
              <w:pStyle w:val="4"/>
              <w:spacing w:line="160" w:lineRule="atLeast"/>
              <w:jc w:val="center"/>
              <w:rPr>
                <w:rFonts w:ascii="Times New Roman" w:hAnsi="Times New Roman"/>
                <w:szCs w:val="21"/>
                <w:highlight w:val="none"/>
              </w:rPr>
            </w:pPr>
          </w:p>
        </w:tc>
        <w:tc>
          <w:tcPr>
            <w:tcW w:w="741" w:type="dxa"/>
            <w:vMerge w:val="continue"/>
            <w:noWrap w:val="0"/>
            <w:vAlign w:val="center"/>
          </w:tcPr>
          <w:p w14:paraId="00D7DFE9">
            <w:pPr>
              <w:pStyle w:val="4"/>
              <w:spacing w:line="160" w:lineRule="atLeast"/>
              <w:jc w:val="center"/>
              <w:rPr>
                <w:rFonts w:ascii="Times New Roman" w:hAnsi="Times New Roman"/>
                <w:szCs w:val="21"/>
                <w:highlight w:val="none"/>
              </w:rPr>
            </w:pPr>
          </w:p>
        </w:tc>
        <w:tc>
          <w:tcPr>
            <w:tcW w:w="624" w:type="dxa"/>
            <w:vMerge w:val="continue"/>
            <w:noWrap w:val="0"/>
            <w:vAlign w:val="center"/>
          </w:tcPr>
          <w:p w14:paraId="4E9AC0EE">
            <w:pPr>
              <w:pStyle w:val="4"/>
              <w:spacing w:line="160" w:lineRule="atLeast"/>
              <w:jc w:val="center"/>
              <w:rPr>
                <w:rFonts w:ascii="Times New Roman" w:hAnsi="Times New Roman"/>
                <w:szCs w:val="21"/>
                <w:highlight w:val="none"/>
              </w:rPr>
            </w:pPr>
          </w:p>
        </w:tc>
        <w:tc>
          <w:tcPr>
            <w:tcW w:w="1134" w:type="dxa"/>
            <w:vMerge w:val="continue"/>
            <w:noWrap w:val="0"/>
            <w:vAlign w:val="center"/>
          </w:tcPr>
          <w:p w14:paraId="5798508E">
            <w:pPr>
              <w:jc w:val="center"/>
              <w:rPr>
                <w:rFonts w:hint="eastAsia" w:ascii="宋体" w:hAnsi="宋体" w:cs="宋体"/>
                <w:bCs/>
                <w:color w:val="auto"/>
                <w:sz w:val="21"/>
                <w:szCs w:val="21"/>
                <w:highlight w:val="none"/>
              </w:rPr>
            </w:pPr>
          </w:p>
        </w:tc>
        <w:tc>
          <w:tcPr>
            <w:tcW w:w="772" w:type="dxa"/>
            <w:vMerge w:val="continue"/>
            <w:noWrap w:val="0"/>
            <w:vAlign w:val="center"/>
          </w:tcPr>
          <w:p w14:paraId="67858EB0">
            <w:pPr>
              <w:pStyle w:val="4"/>
              <w:snapToGrid w:val="0"/>
              <w:jc w:val="center"/>
              <w:rPr>
                <w:rFonts w:hint="eastAsia" w:hAnsi="宋体" w:cs="宋体"/>
                <w:bCs/>
                <w:color w:val="auto"/>
                <w:sz w:val="21"/>
                <w:szCs w:val="21"/>
                <w:highlight w:val="none"/>
              </w:rPr>
            </w:pPr>
          </w:p>
        </w:tc>
        <w:tc>
          <w:tcPr>
            <w:tcW w:w="5640" w:type="dxa"/>
            <w:tcBorders>
              <w:bottom w:val="single" w:color="auto" w:sz="4" w:space="0"/>
            </w:tcBorders>
            <w:noWrap w:val="0"/>
            <w:vAlign w:val="center"/>
          </w:tcPr>
          <w:p w14:paraId="72246489">
            <w:pPr>
              <w:rPr>
                <w:rFonts w:hint="default" w:eastAsia="宋体"/>
                <w:kern w:val="2"/>
                <w:sz w:val="21"/>
                <w:szCs w:val="21"/>
                <w:highlight w:val="none"/>
                <w:lang w:val="en-US" w:eastAsia="zh-CN"/>
              </w:rPr>
            </w:pPr>
            <w:r>
              <w:rPr>
                <w:rFonts w:hint="eastAsia"/>
                <w:kern w:val="2"/>
                <w:sz w:val="21"/>
                <w:szCs w:val="21"/>
                <w:highlight w:val="none"/>
              </w:rPr>
              <w:t>订单响应</w:t>
            </w:r>
            <w:r>
              <w:rPr>
                <w:rFonts w:hint="eastAsia"/>
                <w:kern w:val="2"/>
                <w:sz w:val="21"/>
                <w:szCs w:val="21"/>
                <w:highlight w:val="none"/>
                <w:lang w:val="en-US" w:eastAsia="zh-CN"/>
              </w:rPr>
              <w:t>时间：</w:t>
            </w:r>
            <w:r>
              <w:rPr>
                <w:rFonts w:hint="eastAsia"/>
                <w:kern w:val="2"/>
                <w:sz w:val="21"/>
                <w:szCs w:val="21"/>
                <w:highlight w:val="none"/>
              </w:rPr>
              <w:t>超过3小时上门，</w:t>
            </w:r>
            <w:r>
              <w:rPr>
                <w:rFonts w:hint="eastAsia"/>
                <w:kern w:val="2"/>
                <w:sz w:val="21"/>
                <w:szCs w:val="21"/>
                <w:highlight w:val="none"/>
                <w:lang w:val="en-US" w:eastAsia="zh-CN"/>
              </w:rPr>
              <w:t>得1.0分。</w:t>
            </w:r>
          </w:p>
        </w:tc>
      </w:tr>
      <w:tr w14:paraId="782F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41" w:type="dxa"/>
            <w:vMerge w:val="continue"/>
            <w:noWrap w:val="0"/>
            <w:vAlign w:val="center"/>
          </w:tcPr>
          <w:p w14:paraId="62223AF1">
            <w:pPr>
              <w:pStyle w:val="4"/>
              <w:spacing w:line="160" w:lineRule="atLeast"/>
              <w:jc w:val="center"/>
              <w:rPr>
                <w:rFonts w:ascii="Times New Roman" w:hAnsi="Times New Roman"/>
                <w:szCs w:val="21"/>
                <w:highlight w:val="none"/>
              </w:rPr>
            </w:pPr>
          </w:p>
        </w:tc>
        <w:tc>
          <w:tcPr>
            <w:tcW w:w="741" w:type="dxa"/>
            <w:vMerge w:val="continue"/>
            <w:noWrap w:val="0"/>
            <w:vAlign w:val="center"/>
          </w:tcPr>
          <w:p w14:paraId="4C9B0022">
            <w:pPr>
              <w:pStyle w:val="4"/>
              <w:spacing w:line="160" w:lineRule="atLeast"/>
              <w:jc w:val="center"/>
              <w:rPr>
                <w:rFonts w:ascii="Times New Roman" w:hAnsi="Times New Roman"/>
                <w:szCs w:val="21"/>
                <w:highlight w:val="none"/>
              </w:rPr>
            </w:pPr>
          </w:p>
        </w:tc>
        <w:tc>
          <w:tcPr>
            <w:tcW w:w="624" w:type="dxa"/>
            <w:vMerge w:val="continue"/>
            <w:noWrap w:val="0"/>
            <w:vAlign w:val="center"/>
          </w:tcPr>
          <w:p w14:paraId="37D50689">
            <w:pPr>
              <w:pStyle w:val="4"/>
              <w:spacing w:line="160" w:lineRule="atLeast"/>
              <w:jc w:val="center"/>
              <w:rPr>
                <w:rFonts w:ascii="Times New Roman" w:hAnsi="Times New Roman"/>
                <w:szCs w:val="21"/>
                <w:highlight w:val="none"/>
              </w:rPr>
            </w:pPr>
          </w:p>
        </w:tc>
        <w:tc>
          <w:tcPr>
            <w:tcW w:w="1134" w:type="dxa"/>
            <w:vMerge w:val="restart"/>
            <w:noWrap w:val="0"/>
            <w:vAlign w:val="center"/>
          </w:tcPr>
          <w:p w14:paraId="61BD9855">
            <w:pPr>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lang w:eastAsia="zh-CN"/>
              </w:rPr>
              <w:t>返款时效</w:t>
            </w:r>
          </w:p>
        </w:tc>
        <w:tc>
          <w:tcPr>
            <w:tcW w:w="772" w:type="dxa"/>
            <w:vMerge w:val="restart"/>
            <w:noWrap w:val="0"/>
            <w:vAlign w:val="center"/>
          </w:tcPr>
          <w:p w14:paraId="2AC08F38">
            <w:pPr>
              <w:pStyle w:val="4"/>
              <w:snapToGrid w:val="0"/>
              <w:jc w:val="center"/>
              <w:rPr>
                <w:rFonts w:hint="default"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5分</w:t>
            </w:r>
          </w:p>
        </w:tc>
        <w:tc>
          <w:tcPr>
            <w:tcW w:w="5640" w:type="dxa"/>
            <w:tcBorders>
              <w:bottom w:val="single" w:color="auto" w:sz="4" w:space="0"/>
            </w:tcBorders>
            <w:noWrap w:val="0"/>
            <w:vAlign w:val="center"/>
          </w:tcPr>
          <w:p w14:paraId="37F2513F">
            <w:pP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10分钟内返款，</w:t>
            </w:r>
            <w:r>
              <w:rPr>
                <w:rFonts w:hint="eastAsia" w:ascii="宋体" w:hAnsi="宋体" w:cs="宋体"/>
                <w:bCs/>
                <w:color w:val="auto"/>
                <w:sz w:val="21"/>
                <w:szCs w:val="21"/>
                <w:highlight w:val="none"/>
                <w:lang w:val="en-US" w:eastAsia="zh-CN"/>
              </w:rPr>
              <w:t>得5.0</w:t>
            </w:r>
            <w:r>
              <w:rPr>
                <w:rFonts w:hint="eastAsia" w:ascii="宋体" w:hAnsi="宋体" w:cs="宋体"/>
                <w:bCs/>
                <w:color w:val="auto"/>
                <w:sz w:val="21"/>
                <w:szCs w:val="21"/>
                <w:highlight w:val="none"/>
              </w:rPr>
              <w:t>分</w:t>
            </w:r>
            <w:r>
              <w:rPr>
                <w:rFonts w:hint="eastAsia" w:ascii="宋体" w:hAnsi="宋体" w:cs="宋体"/>
                <w:bCs/>
                <w:color w:val="auto"/>
                <w:sz w:val="21"/>
                <w:szCs w:val="21"/>
                <w:highlight w:val="none"/>
                <w:lang w:eastAsia="zh-CN"/>
              </w:rPr>
              <w:t>；</w:t>
            </w:r>
          </w:p>
        </w:tc>
      </w:tr>
      <w:tr w14:paraId="63B5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41" w:type="dxa"/>
            <w:vMerge w:val="continue"/>
            <w:noWrap w:val="0"/>
            <w:vAlign w:val="center"/>
          </w:tcPr>
          <w:p w14:paraId="387BDCBE">
            <w:pPr>
              <w:pStyle w:val="4"/>
              <w:spacing w:line="160" w:lineRule="atLeast"/>
              <w:jc w:val="center"/>
              <w:rPr>
                <w:rFonts w:ascii="Times New Roman" w:hAnsi="Times New Roman"/>
                <w:szCs w:val="21"/>
                <w:highlight w:val="none"/>
              </w:rPr>
            </w:pPr>
          </w:p>
        </w:tc>
        <w:tc>
          <w:tcPr>
            <w:tcW w:w="741" w:type="dxa"/>
            <w:vMerge w:val="continue"/>
            <w:noWrap w:val="0"/>
            <w:vAlign w:val="center"/>
          </w:tcPr>
          <w:p w14:paraId="652F677E">
            <w:pPr>
              <w:pStyle w:val="4"/>
              <w:spacing w:line="160" w:lineRule="atLeast"/>
              <w:jc w:val="center"/>
              <w:rPr>
                <w:rFonts w:ascii="Times New Roman" w:hAnsi="Times New Roman"/>
                <w:szCs w:val="21"/>
                <w:highlight w:val="none"/>
              </w:rPr>
            </w:pPr>
          </w:p>
        </w:tc>
        <w:tc>
          <w:tcPr>
            <w:tcW w:w="624" w:type="dxa"/>
            <w:vMerge w:val="continue"/>
            <w:noWrap w:val="0"/>
            <w:vAlign w:val="center"/>
          </w:tcPr>
          <w:p w14:paraId="6F96DA33">
            <w:pPr>
              <w:pStyle w:val="4"/>
              <w:spacing w:line="160" w:lineRule="atLeast"/>
              <w:jc w:val="center"/>
              <w:rPr>
                <w:rFonts w:ascii="Times New Roman" w:hAnsi="Times New Roman"/>
                <w:szCs w:val="21"/>
                <w:highlight w:val="none"/>
              </w:rPr>
            </w:pPr>
          </w:p>
        </w:tc>
        <w:tc>
          <w:tcPr>
            <w:tcW w:w="1134" w:type="dxa"/>
            <w:vMerge w:val="continue"/>
            <w:noWrap w:val="0"/>
            <w:vAlign w:val="center"/>
          </w:tcPr>
          <w:p w14:paraId="30108780">
            <w:pPr>
              <w:jc w:val="center"/>
              <w:rPr>
                <w:rFonts w:hint="eastAsia" w:ascii="宋体" w:hAnsi="宋体" w:cs="宋体"/>
                <w:bCs/>
                <w:color w:val="auto"/>
                <w:sz w:val="21"/>
                <w:szCs w:val="21"/>
                <w:highlight w:val="none"/>
              </w:rPr>
            </w:pPr>
          </w:p>
        </w:tc>
        <w:tc>
          <w:tcPr>
            <w:tcW w:w="772" w:type="dxa"/>
            <w:vMerge w:val="continue"/>
            <w:noWrap w:val="0"/>
            <w:vAlign w:val="center"/>
          </w:tcPr>
          <w:p w14:paraId="66081199">
            <w:pPr>
              <w:pStyle w:val="4"/>
              <w:snapToGrid w:val="0"/>
              <w:jc w:val="center"/>
              <w:rPr>
                <w:rFonts w:hint="eastAsia" w:hAnsi="宋体" w:cs="宋体"/>
                <w:bCs/>
                <w:color w:val="auto"/>
                <w:sz w:val="21"/>
                <w:szCs w:val="21"/>
                <w:highlight w:val="none"/>
              </w:rPr>
            </w:pPr>
          </w:p>
        </w:tc>
        <w:tc>
          <w:tcPr>
            <w:tcW w:w="5640" w:type="dxa"/>
            <w:tcBorders>
              <w:bottom w:val="single" w:color="auto" w:sz="4" w:space="0"/>
            </w:tcBorders>
            <w:noWrap w:val="0"/>
            <w:vAlign w:val="center"/>
          </w:tcPr>
          <w:p w14:paraId="4451DE5A">
            <w:pP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1小时返款，</w:t>
            </w:r>
            <w:r>
              <w:rPr>
                <w:rFonts w:hint="eastAsia" w:ascii="宋体" w:hAnsi="宋体" w:cs="宋体"/>
                <w:bCs/>
                <w:color w:val="auto"/>
                <w:sz w:val="21"/>
                <w:szCs w:val="21"/>
                <w:highlight w:val="none"/>
                <w:lang w:val="en-US" w:eastAsia="zh-CN"/>
              </w:rPr>
              <w:t>得3.0</w:t>
            </w:r>
            <w:r>
              <w:rPr>
                <w:rFonts w:hint="eastAsia" w:ascii="宋体" w:hAnsi="宋体" w:cs="宋体"/>
                <w:bCs/>
                <w:color w:val="auto"/>
                <w:sz w:val="21"/>
                <w:szCs w:val="21"/>
                <w:highlight w:val="none"/>
              </w:rPr>
              <w:t>分</w:t>
            </w:r>
            <w:r>
              <w:rPr>
                <w:rFonts w:hint="eastAsia" w:ascii="宋体" w:hAnsi="宋体" w:cs="宋体"/>
                <w:bCs/>
                <w:color w:val="auto"/>
                <w:sz w:val="21"/>
                <w:szCs w:val="21"/>
                <w:highlight w:val="none"/>
                <w:lang w:eastAsia="zh-CN"/>
              </w:rPr>
              <w:t>；</w:t>
            </w:r>
          </w:p>
        </w:tc>
      </w:tr>
      <w:tr w14:paraId="6B2A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41" w:type="dxa"/>
            <w:vMerge w:val="continue"/>
            <w:noWrap w:val="0"/>
            <w:vAlign w:val="center"/>
          </w:tcPr>
          <w:p w14:paraId="0801AC5A">
            <w:pPr>
              <w:pStyle w:val="4"/>
              <w:spacing w:line="160" w:lineRule="atLeast"/>
              <w:jc w:val="center"/>
              <w:rPr>
                <w:rFonts w:ascii="Times New Roman" w:hAnsi="Times New Roman"/>
                <w:szCs w:val="21"/>
                <w:highlight w:val="none"/>
              </w:rPr>
            </w:pPr>
          </w:p>
        </w:tc>
        <w:tc>
          <w:tcPr>
            <w:tcW w:w="741" w:type="dxa"/>
            <w:vMerge w:val="continue"/>
            <w:noWrap w:val="0"/>
            <w:vAlign w:val="center"/>
          </w:tcPr>
          <w:p w14:paraId="19A537A1">
            <w:pPr>
              <w:pStyle w:val="4"/>
              <w:spacing w:line="160" w:lineRule="atLeast"/>
              <w:jc w:val="center"/>
              <w:rPr>
                <w:rFonts w:ascii="Times New Roman" w:hAnsi="Times New Roman"/>
                <w:szCs w:val="21"/>
                <w:highlight w:val="none"/>
              </w:rPr>
            </w:pPr>
          </w:p>
        </w:tc>
        <w:tc>
          <w:tcPr>
            <w:tcW w:w="624" w:type="dxa"/>
            <w:vMerge w:val="continue"/>
            <w:noWrap w:val="0"/>
            <w:vAlign w:val="center"/>
          </w:tcPr>
          <w:p w14:paraId="5B0B56C8">
            <w:pPr>
              <w:pStyle w:val="4"/>
              <w:spacing w:line="160" w:lineRule="atLeast"/>
              <w:jc w:val="center"/>
              <w:rPr>
                <w:rFonts w:ascii="Times New Roman" w:hAnsi="Times New Roman"/>
                <w:szCs w:val="21"/>
                <w:highlight w:val="none"/>
              </w:rPr>
            </w:pPr>
          </w:p>
        </w:tc>
        <w:tc>
          <w:tcPr>
            <w:tcW w:w="1134" w:type="dxa"/>
            <w:vMerge w:val="continue"/>
            <w:noWrap w:val="0"/>
            <w:vAlign w:val="center"/>
          </w:tcPr>
          <w:p w14:paraId="7642FD8D">
            <w:pPr>
              <w:jc w:val="center"/>
              <w:rPr>
                <w:rFonts w:hint="eastAsia" w:ascii="宋体" w:hAnsi="宋体" w:cs="宋体"/>
                <w:bCs/>
                <w:color w:val="auto"/>
                <w:sz w:val="21"/>
                <w:szCs w:val="21"/>
                <w:highlight w:val="none"/>
              </w:rPr>
            </w:pPr>
          </w:p>
        </w:tc>
        <w:tc>
          <w:tcPr>
            <w:tcW w:w="772" w:type="dxa"/>
            <w:vMerge w:val="continue"/>
            <w:noWrap w:val="0"/>
            <w:vAlign w:val="center"/>
          </w:tcPr>
          <w:p w14:paraId="3D5826C4">
            <w:pPr>
              <w:pStyle w:val="4"/>
              <w:snapToGrid w:val="0"/>
              <w:jc w:val="center"/>
              <w:rPr>
                <w:rFonts w:hint="eastAsia" w:hAnsi="宋体" w:cs="宋体"/>
                <w:bCs/>
                <w:color w:val="auto"/>
                <w:sz w:val="21"/>
                <w:szCs w:val="21"/>
                <w:highlight w:val="none"/>
              </w:rPr>
            </w:pPr>
          </w:p>
        </w:tc>
        <w:tc>
          <w:tcPr>
            <w:tcW w:w="5640" w:type="dxa"/>
            <w:tcBorders>
              <w:bottom w:val="single" w:color="auto" w:sz="4" w:space="0"/>
            </w:tcBorders>
            <w:noWrap w:val="0"/>
            <w:vAlign w:val="center"/>
          </w:tcPr>
          <w:p w14:paraId="7A3F4AC8">
            <w:pP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T+1返款</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得</w:t>
            </w:r>
            <w:r>
              <w:rPr>
                <w:rFonts w:hint="eastAsia" w:ascii="宋体" w:hAnsi="宋体" w:cs="宋体"/>
                <w:bCs/>
                <w:color w:val="auto"/>
                <w:sz w:val="21"/>
                <w:szCs w:val="21"/>
                <w:highlight w:val="none"/>
              </w:rPr>
              <w:t>1</w:t>
            </w:r>
            <w:r>
              <w:rPr>
                <w:rFonts w:hint="eastAsia" w:ascii="宋体" w:hAnsi="宋体" w:cs="宋体"/>
                <w:bCs/>
                <w:color w:val="auto"/>
                <w:sz w:val="21"/>
                <w:szCs w:val="21"/>
                <w:highlight w:val="none"/>
                <w:lang w:val="en-US" w:eastAsia="zh-CN"/>
              </w:rPr>
              <w:t>.0</w:t>
            </w:r>
            <w:r>
              <w:rPr>
                <w:rFonts w:hint="eastAsia" w:ascii="宋体" w:hAnsi="宋体" w:cs="宋体"/>
                <w:bCs/>
                <w:color w:val="auto"/>
                <w:sz w:val="21"/>
                <w:szCs w:val="21"/>
                <w:highlight w:val="none"/>
              </w:rPr>
              <w:t>分</w:t>
            </w:r>
            <w:r>
              <w:rPr>
                <w:rFonts w:hint="eastAsia" w:ascii="宋体" w:hAnsi="宋体" w:cs="宋体"/>
                <w:bCs/>
                <w:color w:val="auto"/>
                <w:sz w:val="21"/>
                <w:szCs w:val="21"/>
                <w:highlight w:val="none"/>
                <w:lang w:eastAsia="zh-CN"/>
              </w:rPr>
              <w:t>。</w:t>
            </w:r>
          </w:p>
        </w:tc>
      </w:tr>
      <w:tr w14:paraId="4066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tcBorders>
              <w:top w:val="nil"/>
            </w:tcBorders>
            <w:noWrap w:val="0"/>
            <w:vAlign w:val="center"/>
          </w:tcPr>
          <w:p w14:paraId="558CA738">
            <w:pPr>
              <w:pStyle w:val="4"/>
              <w:spacing w:line="160" w:lineRule="atLeast"/>
              <w:jc w:val="center"/>
              <w:rPr>
                <w:rFonts w:ascii="Times New Roman" w:hAnsi="Times New Roman"/>
                <w:szCs w:val="21"/>
                <w:highlight w:val="none"/>
              </w:rPr>
            </w:pPr>
            <w:r>
              <w:rPr>
                <w:rFonts w:ascii="Times New Roman" w:hAnsi="Times New Roman"/>
                <w:szCs w:val="21"/>
                <w:highlight w:val="none"/>
              </w:rPr>
              <w:t>2.2.4（3）</w:t>
            </w:r>
          </w:p>
        </w:tc>
        <w:tc>
          <w:tcPr>
            <w:tcW w:w="741" w:type="dxa"/>
            <w:vMerge w:val="restart"/>
            <w:tcBorders>
              <w:top w:val="nil"/>
            </w:tcBorders>
            <w:noWrap w:val="0"/>
            <w:vAlign w:val="center"/>
          </w:tcPr>
          <w:p w14:paraId="60EA888C">
            <w:pPr>
              <w:pStyle w:val="4"/>
              <w:spacing w:line="160" w:lineRule="atLeast"/>
              <w:jc w:val="center"/>
              <w:rPr>
                <w:rFonts w:ascii="Times New Roman" w:hAnsi="Times New Roman"/>
                <w:szCs w:val="21"/>
                <w:highlight w:val="none"/>
              </w:rPr>
            </w:pPr>
            <w:r>
              <w:rPr>
                <w:rFonts w:ascii="Times New Roman" w:hAnsi="Times New Roman"/>
                <w:szCs w:val="21"/>
                <w:highlight w:val="none"/>
              </w:rPr>
              <w:t>评标价</w:t>
            </w:r>
          </w:p>
        </w:tc>
        <w:tc>
          <w:tcPr>
            <w:tcW w:w="624" w:type="dxa"/>
            <w:vMerge w:val="restart"/>
            <w:tcBorders>
              <w:top w:val="nil"/>
            </w:tcBorders>
            <w:noWrap w:val="0"/>
            <w:vAlign w:val="center"/>
          </w:tcPr>
          <w:p w14:paraId="3E44B5AD">
            <w:pPr>
              <w:pStyle w:val="4"/>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3</w:t>
            </w:r>
            <w:r>
              <w:rPr>
                <w:rFonts w:ascii="Times New Roman" w:hAnsi="Times New Roman"/>
                <w:szCs w:val="21"/>
                <w:highlight w:val="none"/>
              </w:rPr>
              <w:t>0分</w:t>
            </w:r>
          </w:p>
        </w:tc>
        <w:tc>
          <w:tcPr>
            <w:tcW w:w="7546" w:type="dxa"/>
            <w:gridSpan w:val="3"/>
            <w:tcBorders>
              <w:bottom w:val="single" w:color="auto" w:sz="4" w:space="0"/>
            </w:tcBorders>
            <w:noWrap w:val="0"/>
            <w:vAlign w:val="center"/>
          </w:tcPr>
          <w:p w14:paraId="0DB58679">
            <w:pPr>
              <w:rPr>
                <w:kern w:val="2"/>
                <w:sz w:val="21"/>
                <w:szCs w:val="21"/>
                <w:highlight w:val="none"/>
              </w:rPr>
            </w:pPr>
            <w:r>
              <w:rPr>
                <w:rFonts w:hint="eastAsia"/>
                <w:b/>
                <w:bCs/>
                <w:sz w:val="21"/>
                <w:szCs w:val="21"/>
                <w:highlight w:val="none"/>
                <w:lang w:val="en-US" w:eastAsia="zh-CN"/>
              </w:rPr>
              <w:t>单次累计收取金额2万（含）以下</w:t>
            </w:r>
            <w:r>
              <w:rPr>
                <w:kern w:val="2"/>
                <w:sz w:val="21"/>
                <w:szCs w:val="21"/>
                <w:highlight w:val="none"/>
              </w:rPr>
              <w:t>评标价得分计算公式示例：</w:t>
            </w:r>
          </w:p>
          <w:p w14:paraId="29440CB4">
            <w:pPr>
              <w:rPr>
                <w:kern w:val="2"/>
                <w:sz w:val="21"/>
                <w:szCs w:val="21"/>
                <w:highlight w:val="none"/>
              </w:rPr>
            </w:pPr>
            <w:r>
              <w:rPr>
                <w:kern w:val="2"/>
                <w:sz w:val="21"/>
                <w:szCs w:val="21"/>
                <w:highlight w:val="none"/>
              </w:rPr>
              <w:t>（1）如果投标人的评标价＞评标基准价，则评标价得分=F</w:t>
            </w:r>
            <w:r>
              <w:rPr>
                <w:rFonts w:hint="eastAsia"/>
                <w:kern w:val="2"/>
                <w:sz w:val="21"/>
                <w:szCs w:val="21"/>
                <w:highlight w:val="none"/>
                <w:lang w:val="en-US" w:eastAsia="zh-CN"/>
              </w:rPr>
              <w:t>1</w:t>
            </w:r>
            <w:r>
              <w:rPr>
                <w:kern w:val="2"/>
                <w:sz w:val="21"/>
                <w:szCs w:val="21"/>
                <w:highlight w:val="none"/>
              </w:rPr>
              <w:t>-（投标人评标价-评标基准价）/评标基准价×100×E1；</w:t>
            </w:r>
          </w:p>
          <w:p w14:paraId="32EF55EB">
            <w:pPr>
              <w:rPr>
                <w:kern w:val="2"/>
                <w:sz w:val="21"/>
                <w:szCs w:val="21"/>
                <w:highlight w:val="none"/>
              </w:rPr>
            </w:pPr>
            <w:r>
              <w:rPr>
                <w:kern w:val="2"/>
                <w:sz w:val="21"/>
                <w:szCs w:val="21"/>
                <w:highlight w:val="none"/>
              </w:rPr>
              <w:t>（2）如果投标人的评标价≤评标基准价，则评标价得分=F</w:t>
            </w:r>
            <w:r>
              <w:rPr>
                <w:rFonts w:hint="eastAsia"/>
                <w:kern w:val="2"/>
                <w:sz w:val="21"/>
                <w:szCs w:val="21"/>
                <w:highlight w:val="none"/>
                <w:lang w:val="en-US" w:eastAsia="zh-CN"/>
              </w:rPr>
              <w:t>1</w:t>
            </w:r>
            <w:r>
              <w:rPr>
                <w:kern w:val="2"/>
                <w:sz w:val="21"/>
                <w:szCs w:val="21"/>
                <w:highlight w:val="none"/>
              </w:rPr>
              <w:t>+（投标人评标价-评标基准价）/评标基准价×100×E2。</w:t>
            </w:r>
          </w:p>
          <w:p w14:paraId="2B7212D8">
            <w:pPr>
              <w:jc w:val="left"/>
              <w:rPr>
                <w:rFonts w:hint="eastAsia" w:eastAsia="宋体"/>
                <w:kern w:val="2"/>
                <w:sz w:val="21"/>
                <w:szCs w:val="21"/>
                <w:highlight w:val="none"/>
                <w:lang w:eastAsia="zh-CN"/>
              </w:rPr>
            </w:pPr>
            <w:r>
              <w:rPr>
                <w:sz w:val="21"/>
                <w:szCs w:val="21"/>
                <w:highlight w:val="none"/>
              </w:rPr>
              <w:t>其中</w:t>
            </w:r>
            <w:r>
              <w:rPr>
                <w:rFonts w:hint="eastAsia"/>
                <w:sz w:val="21"/>
                <w:szCs w:val="21"/>
                <w:highlight w:val="none"/>
                <w:lang w:eastAsia="zh-CN"/>
              </w:rPr>
              <w:t>：</w:t>
            </w:r>
            <w:r>
              <w:rPr>
                <w:sz w:val="21"/>
                <w:szCs w:val="21"/>
                <w:highlight w:val="none"/>
              </w:rPr>
              <w:t>F</w:t>
            </w:r>
            <w:r>
              <w:rPr>
                <w:rFonts w:hint="eastAsia"/>
                <w:sz w:val="21"/>
                <w:szCs w:val="21"/>
                <w:highlight w:val="none"/>
                <w:lang w:val="en-US" w:eastAsia="zh-CN"/>
              </w:rPr>
              <w:t>1</w:t>
            </w:r>
            <w:r>
              <w:rPr>
                <w:sz w:val="21"/>
                <w:szCs w:val="21"/>
                <w:highlight w:val="none"/>
              </w:rPr>
              <w:t>=</w:t>
            </w:r>
            <w:r>
              <w:rPr>
                <w:rFonts w:hint="eastAsia"/>
                <w:sz w:val="21"/>
                <w:szCs w:val="21"/>
                <w:highlight w:val="none"/>
                <w:lang w:val="en-US" w:eastAsia="zh-CN"/>
              </w:rPr>
              <w:t>1</w:t>
            </w:r>
            <w:r>
              <w:rPr>
                <w:sz w:val="21"/>
                <w:szCs w:val="21"/>
                <w:highlight w:val="none"/>
              </w:rPr>
              <w:t>0；E1=0.</w:t>
            </w:r>
            <w:r>
              <w:rPr>
                <w:rFonts w:hint="eastAsia"/>
                <w:sz w:val="21"/>
                <w:szCs w:val="21"/>
                <w:highlight w:val="none"/>
              </w:rPr>
              <w:t>2</w:t>
            </w:r>
            <w:r>
              <w:rPr>
                <w:sz w:val="21"/>
                <w:szCs w:val="21"/>
                <w:highlight w:val="none"/>
              </w:rPr>
              <w:t>；E2=0.</w:t>
            </w:r>
            <w:r>
              <w:rPr>
                <w:rFonts w:hint="eastAsia"/>
                <w:sz w:val="21"/>
                <w:szCs w:val="21"/>
                <w:highlight w:val="none"/>
              </w:rPr>
              <w:t>1</w:t>
            </w:r>
            <w:r>
              <w:rPr>
                <w:sz w:val="21"/>
                <w:szCs w:val="21"/>
                <w:highlight w:val="none"/>
              </w:rPr>
              <w:t>；评标价最低得分为0分。</w:t>
            </w:r>
            <w:r>
              <w:rPr>
                <w:kern w:val="2"/>
                <w:sz w:val="21"/>
                <w:szCs w:val="21"/>
                <w:highlight w:val="none"/>
              </w:rPr>
              <w:t>评标价得分保留两位小数，第三位四舍五入。</w:t>
            </w:r>
          </w:p>
        </w:tc>
      </w:tr>
      <w:tr w14:paraId="693A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41" w:type="dxa"/>
            <w:vMerge w:val="continue"/>
            <w:noWrap w:val="0"/>
            <w:vAlign w:val="center"/>
          </w:tcPr>
          <w:p w14:paraId="3BFA2F9C">
            <w:pPr>
              <w:pStyle w:val="4"/>
              <w:spacing w:line="160" w:lineRule="atLeast"/>
              <w:jc w:val="center"/>
              <w:rPr>
                <w:rFonts w:ascii="Times New Roman" w:hAnsi="Times New Roman"/>
                <w:szCs w:val="21"/>
                <w:highlight w:val="none"/>
              </w:rPr>
            </w:pPr>
          </w:p>
        </w:tc>
        <w:tc>
          <w:tcPr>
            <w:tcW w:w="741" w:type="dxa"/>
            <w:vMerge w:val="continue"/>
            <w:noWrap w:val="0"/>
            <w:vAlign w:val="center"/>
          </w:tcPr>
          <w:p w14:paraId="59401DDB">
            <w:pPr>
              <w:pStyle w:val="4"/>
              <w:spacing w:line="160" w:lineRule="atLeast"/>
              <w:jc w:val="center"/>
              <w:rPr>
                <w:rFonts w:ascii="Times New Roman" w:hAnsi="Times New Roman"/>
                <w:szCs w:val="21"/>
                <w:highlight w:val="none"/>
              </w:rPr>
            </w:pPr>
          </w:p>
        </w:tc>
        <w:tc>
          <w:tcPr>
            <w:tcW w:w="624" w:type="dxa"/>
            <w:vMerge w:val="continue"/>
            <w:tcBorders>
              <w:bottom w:val="nil"/>
            </w:tcBorders>
            <w:noWrap w:val="0"/>
            <w:vAlign w:val="center"/>
          </w:tcPr>
          <w:p w14:paraId="45296D6D">
            <w:pPr>
              <w:pStyle w:val="4"/>
              <w:spacing w:line="160" w:lineRule="atLeast"/>
              <w:jc w:val="center"/>
              <w:rPr>
                <w:rFonts w:hint="eastAsia" w:ascii="Times New Roman" w:hAnsi="Times New Roman"/>
                <w:szCs w:val="21"/>
                <w:highlight w:val="none"/>
                <w:lang w:val="en-US" w:eastAsia="zh-CN"/>
              </w:rPr>
            </w:pPr>
          </w:p>
        </w:tc>
        <w:tc>
          <w:tcPr>
            <w:tcW w:w="7546" w:type="dxa"/>
            <w:gridSpan w:val="3"/>
            <w:tcBorders>
              <w:bottom w:val="single" w:color="auto" w:sz="4" w:space="0"/>
            </w:tcBorders>
            <w:noWrap w:val="0"/>
            <w:vAlign w:val="center"/>
          </w:tcPr>
          <w:p w14:paraId="7ED1C679">
            <w:pPr>
              <w:rPr>
                <w:kern w:val="2"/>
                <w:sz w:val="21"/>
                <w:szCs w:val="21"/>
                <w:highlight w:val="none"/>
              </w:rPr>
            </w:pPr>
            <w:r>
              <w:rPr>
                <w:rFonts w:hint="eastAsia"/>
                <w:b/>
                <w:bCs/>
                <w:sz w:val="21"/>
                <w:szCs w:val="21"/>
                <w:highlight w:val="none"/>
                <w:lang w:val="en-US" w:eastAsia="zh-CN"/>
              </w:rPr>
              <w:t>单次累计收取金额2万以上</w:t>
            </w:r>
            <w:r>
              <w:rPr>
                <w:kern w:val="2"/>
                <w:sz w:val="21"/>
                <w:szCs w:val="21"/>
                <w:highlight w:val="none"/>
              </w:rPr>
              <w:t>评标价得分计算公式示例：</w:t>
            </w:r>
          </w:p>
          <w:p w14:paraId="148126C5">
            <w:pPr>
              <w:rPr>
                <w:kern w:val="2"/>
                <w:sz w:val="21"/>
                <w:szCs w:val="21"/>
                <w:highlight w:val="none"/>
              </w:rPr>
            </w:pPr>
            <w:r>
              <w:rPr>
                <w:kern w:val="2"/>
                <w:sz w:val="21"/>
                <w:szCs w:val="21"/>
                <w:highlight w:val="none"/>
              </w:rPr>
              <w:t>（1）如果投标人的评标价＞评标基准价，则评标价得分=F</w:t>
            </w:r>
            <w:r>
              <w:rPr>
                <w:rFonts w:hint="eastAsia"/>
                <w:kern w:val="2"/>
                <w:sz w:val="21"/>
                <w:szCs w:val="21"/>
                <w:highlight w:val="none"/>
                <w:lang w:val="en-US" w:eastAsia="zh-CN"/>
              </w:rPr>
              <w:t>2</w:t>
            </w:r>
            <w:r>
              <w:rPr>
                <w:kern w:val="2"/>
                <w:sz w:val="21"/>
                <w:szCs w:val="21"/>
                <w:highlight w:val="none"/>
              </w:rPr>
              <w:t>-（投标人评标价-评标基准价）/评标基准价×100×E1；</w:t>
            </w:r>
          </w:p>
          <w:p w14:paraId="03EB6EF5">
            <w:pPr>
              <w:rPr>
                <w:kern w:val="2"/>
                <w:sz w:val="21"/>
                <w:szCs w:val="21"/>
                <w:highlight w:val="none"/>
              </w:rPr>
            </w:pPr>
            <w:r>
              <w:rPr>
                <w:kern w:val="2"/>
                <w:sz w:val="21"/>
                <w:szCs w:val="21"/>
                <w:highlight w:val="none"/>
              </w:rPr>
              <w:t>（2）如果投标人的评标价≤评标基准价，则评标价得分=F</w:t>
            </w:r>
            <w:r>
              <w:rPr>
                <w:rFonts w:hint="eastAsia"/>
                <w:kern w:val="2"/>
                <w:sz w:val="21"/>
                <w:szCs w:val="21"/>
                <w:highlight w:val="none"/>
                <w:lang w:val="en-US" w:eastAsia="zh-CN"/>
              </w:rPr>
              <w:t>2</w:t>
            </w:r>
            <w:r>
              <w:rPr>
                <w:kern w:val="2"/>
                <w:sz w:val="21"/>
                <w:szCs w:val="21"/>
                <w:highlight w:val="none"/>
              </w:rPr>
              <w:t>+（投标人评标价-评标基准价）/评标基准价×100×E2。</w:t>
            </w:r>
          </w:p>
          <w:p w14:paraId="3221B2CF">
            <w:pPr>
              <w:jc w:val="left"/>
              <w:rPr>
                <w:rFonts w:hint="eastAsia"/>
                <w:kern w:val="2"/>
                <w:sz w:val="21"/>
                <w:szCs w:val="21"/>
                <w:highlight w:val="none"/>
                <w:lang w:val="en-US" w:eastAsia="zh-CN"/>
              </w:rPr>
            </w:pPr>
            <w:r>
              <w:rPr>
                <w:sz w:val="21"/>
                <w:szCs w:val="21"/>
                <w:highlight w:val="none"/>
              </w:rPr>
              <w:t>其中</w:t>
            </w:r>
            <w:r>
              <w:rPr>
                <w:rFonts w:hint="eastAsia"/>
                <w:sz w:val="21"/>
                <w:szCs w:val="21"/>
                <w:highlight w:val="none"/>
                <w:lang w:eastAsia="zh-CN"/>
              </w:rPr>
              <w:t>：</w:t>
            </w:r>
            <w:r>
              <w:rPr>
                <w:sz w:val="21"/>
                <w:szCs w:val="21"/>
                <w:highlight w:val="none"/>
              </w:rPr>
              <w:t>F</w:t>
            </w:r>
            <w:r>
              <w:rPr>
                <w:rFonts w:hint="eastAsia"/>
                <w:sz w:val="21"/>
                <w:szCs w:val="21"/>
                <w:highlight w:val="none"/>
                <w:lang w:val="en-US" w:eastAsia="zh-CN"/>
              </w:rPr>
              <w:t>2</w:t>
            </w:r>
            <w:r>
              <w:rPr>
                <w:sz w:val="21"/>
                <w:szCs w:val="21"/>
                <w:highlight w:val="none"/>
              </w:rPr>
              <w:t>=</w:t>
            </w:r>
            <w:r>
              <w:rPr>
                <w:rFonts w:hint="eastAsia"/>
                <w:sz w:val="21"/>
                <w:szCs w:val="21"/>
                <w:highlight w:val="none"/>
                <w:lang w:val="en-US" w:eastAsia="zh-CN"/>
              </w:rPr>
              <w:t>1</w:t>
            </w:r>
            <w:r>
              <w:rPr>
                <w:sz w:val="21"/>
                <w:szCs w:val="21"/>
                <w:highlight w:val="none"/>
              </w:rPr>
              <w:t>0；E1=0.</w:t>
            </w:r>
            <w:r>
              <w:rPr>
                <w:rFonts w:hint="eastAsia"/>
                <w:sz w:val="21"/>
                <w:szCs w:val="21"/>
                <w:highlight w:val="none"/>
              </w:rPr>
              <w:t>2</w:t>
            </w:r>
            <w:r>
              <w:rPr>
                <w:sz w:val="21"/>
                <w:szCs w:val="21"/>
                <w:highlight w:val="none"/>
              </w:rPr>
              <w:t>；E2=0.</w:t>
            </w:r>
            <w:r>
              <w:rPr>
                <w:rFonts w:hint="eastAsia"/>
                <w:sz w:val="21"/>
                <w:szCs w:val="21"/>
                <w:highlight w:val="none"/>
              </w:rPr>
              <w:t>1</w:t>
            </w:r>
            <w:r>
              <w:rPr>
                <w:sz w:val="21"/>
                <w:szCs w:val="21"/>
                <w:highlight w:val="none"/>
              </w:rPr>
              <w:t>；评标价最低得分为0分。</w:t>
            </w:r>
            <w:r>
              <w:rPr>
                <w:kern w:val="2"/>
                <w:sz w:val="21"/>
                <w:szCs w:val="21"/>
                <w:highlight w:val="none"/>
              </w:rPr>
              <w:t>评标价得分保留两位小数，第三位四舍五入。</w:t>
            </w:r>
          </w:p>
        </w:tc>
      </w:tr>
      <w:tr w14:paraId="582A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741" w:type="dxa"/>
            <w:vMerge w:val="continue"/>
            <w:noWrap w:val="0"/>
            <w:vAlign w:val="center"/>
          </w:tcPr>
          <w:p w14:paraId="4CBA6A8D">
            <w:pPr>
              <w:pStyle w:val="4"/>
              <w:spacing w:line="160" w:lineRule="atLeast"/>
              <w:jc w:val="center"/>
              <w:rPr>
                <w:rFonts w:ascii="Times New Roman" w:hAnsi="Times New Roman"/>
                <w:szCs w:val="21"/>
                <w:highlight w:val="none"/>
              </w:rPr>
            </w:pPr>
          </w:p>
        </w:tc>
        <w:tc>
          <w:tcPr>
            <w:tcW w:w="741" w:type="dxa"/>
            <w:vMerge w:val="continue"/>
            <w:noWrap w:val="0"/>
            <w:vAlign w:val="center"/>
          </w:tcPr>
          <w:p w14:paraId="2E29E764">
            <w:pPr>
              <w:pStyle w:val="4"/>
              <w:spacing w:line="160" w:lineRule="atLeast"/>
              <w:jc w:val="center"/>
              <w:rPr>
                <w:rFonts w:ascii="Times New Roman" w:hAnsi="Times New Roman"/>
                <w:szCs w:val="21"/>
                <w:highlight w:val="none"/>
              </w:rPr>
            </w:pPr>
          </w:p>
        </w:tc>
        <w:tc>
          <w:tcPr>
            <w:tcW w:w="624" w:type="dxa"/>
            <w:tcBorders>
              <w:top w:val="nil"/>
              <w:bottom w:val="single" w:color="auto" w:sz="4" w:space="0"/>
            </w:tcBorders>
            <w:noWrap w:val="0"/>
            <w:vAlign w:val="center"/>
          </w:tcPr>
          <w:p w14:paraId="0A8ECDF3">
            <w:pPr>
              <w:pStyle w:val="4"/>
              <w:spacing w:line="160" w:lineRule="atLeast"/>
              <w:jc w:val="center"/>
              <w:rPr>
                <w:rFonts w:hint="eastAsia" w:ascii="Times New Roman" w:hAnsi="Times New Roman"/>
                <w:szCs w:val="21"/>
                <w:highlight w:val="none"/>
                <w:lang w:val="en-US" w:eastAsia="zh-CN"/>
              </w:rPr>
            </w:pPr>
          </w:p>
        </w:tc>
        <w:tc>
          <w:tcPr>
            <w:tcW w:w="7546" w:type="dxa"/>
            <w:gridSpan w:val="3"/>
            <w:tcBorders>
              <w:bottom w:val="single" w:color="auto" w:sz="4" w:space="0"/>
            </w:tcBorders>
            <w:noWrap w:val="0"/>
            <w:vAlign w:val="center"/>
          </w:tcPr>
          <w:p w14:paraId="79F5F9CC">
            <w:pPr>
              <w:rPr>
                <w:kern w:val="2"/>
                <w:sz w:val="21"/>
                <w:szCs w:val="21"/>
                <w:highlight w:val="none"/>
              </w:rPr>
            </w:pPr>
            <w:r>
              <w:rPr>
                <w:rStyle w:val="10"/>
                <w:rFonts w:hint="eastAsia" w:ascii="宋体" w:hAnsi="宋体" w:eastAsia="宋体" w:cs="宋体"/>
                <w:b/>
                <w:bCs/>
                <w:sz w:val="21"/>
                <w:szCs w:val="21"/>
                <w:highlight w:val="none"/>
                <w:u w:val="none"/>
                <w:lang w:val="en-US" w:eastAsia="zh-CN" w:bidi="ar"/>
              </w:rPr>
              <w:t>各</w:t>
            </w:r>
            <w:r>
              <w:rPr>
                <w:rStyle w:val="10"/>
                <w:rFonts w:hint="eastAsia" w:ascii="宋体" w:hAnsi="宋体" w:cs="宋体"/>
                <w:b/>
                <w:bCs/>
                <w:sz w:val="21"/>
                <w:szCs w:val="21"/>
                <w:highlight w:val="none"/>
                <w:u w:val="none"/>
                <w:lang w:val="en-US" w:eastAsia="zh-CN" w:bidi="ar"/>
              </w:rPr>
              <w:t>站</w:t>
            </w:r>
            <w:r>
              <w:rPr>
                <w:rStyle w:val="10"/>
                <w:rFonts w:hint="eastAsia" w:ascii="宋体" w:hAnsi="宋体" w:eastAsia="宋体" w:cs="宋体"/>
                <w:b/>
                <w:bCs/>
                <w:sz w:val="21"/>
                <w:szCs w:val="21"/>
                <w:highlight w:val="none"/>
                <w:u w:val="none"/>
                <w:lang w:val="en-US" w:eastAsia="zh-CN" w:bidi="ar"/>
              </w:rPr>
              <w:t>点</w:t>
            </w:r>
            <w:r>
              <w:rPr>
                <w:rStyle w:val="10"/>
                <w:rFonts w:hint="eastAsia" w:ascii="宋体" w:hAnsi="宋体" w:cs="宋体"/>
                <w:b/>
                <w:bCs/>
                <w:sz w:val="21"/>
                <w:szCs w:val="21"/>
                <w:highlight w:val="none"/>
                <w:u w:val="none"/>
                <w:lang w:val="en-US" w:eastAsia="zh-CN" w:bidi="ar"/>
              </w:rPr>
              <w:t>单次里程费用合计</w:t>
            </w:r>
            <w:r>
              <w:rPr>
                <w:kern w:val="2"/>
                <w:sz w:val="21"/>
                <w:szCs w:val="21"/>
                <w:highlight w:val="none"/>
              </w:rPr>
              <w:t>评标价得分计算公式示例：</w:t>
            </w:r>
          </w:p>
          <w:p w14:paraId="383ECE7D">
            <w:pPr>
              <w:rPr>
                <w:kern w:val="2"/>
                <w:sz w:val="21"/>
                <w:szCs w:val="21"/>
                <w:highlight w:val="none"/>
              </w:rPr>
            </w:pPr>
            <w:r>
              <w:rPr>
                <w:kern w:val="2"/>
                <w:sz w:val="21"/>
                <w:szCs w:val="21"/>
                <w:highlight w:val="none"/>
              </w:rPr>
              <w:t>（1）如果投标人的评标价＞评标基准价，则评标价得分=F</w:t>
            </w:r>
            <w:r>
              <w:rPr>
                <w:rFonts w:hint="eastAsia"/>
                <w:kern w:val="2"/>
                <w:sz w:val="21"/>
                <w:szCs w:val="21"/>
                <w:highlight w:val="none"/>
                <w:lang w:val="en-US" w:eastAsia="zh-CN"/>
              </w:rPr>
              <w:t>3</w:t>
            </w:r>
            <w:r>
              <w:rPr>
                <w:kern w:val="2"/>
                <w:sz w:val="21"/>
                <w:szCs w:val="21"/>
                <w:highlight w:val="none"/>
              </w:rPr>
              <w:t>-（投标人评标价-评标基准价）/评标基准价×100×E1；</w:t>
            </w:r>
          </w:p>
          <w:p w14:paraId="2088E1A2">
            <w:pPr>
              <w:rPr>
                <w:kern w:val="2"/>
                <w:sz w:val="21"/>
                <w:szCs w:val="21"/>
                <w:highlight w:val="none"/>
              </w:rPr>
            </w:pPr>
            <w:r>
              <w:rPr>
                <w:kern w:val="2"/>
                <w:sz w:val="21"/>
                <w:szCs w:val="21"/>
                <w:highlight w:val="none"/>
              </w:rPr>
              <w:t>（2）如果投标人的评标价≤评标基准价，则评标价得分=F</w:t>
            </w:r>
            <w:r>
              <w:rPr>
                <w:rFonts w:hint="eastAsia"/>
                <w:kern w:val="2"/>
                <w:sz w:val="21"/>
                <w:szCs w:val="21"/>
                <w:highlight w:val="none"/>
                <w:lang w:val="en-US" w:eastAsia="zh-CN"/>
              </w:rPr>
              <w:t>3</w:t>
            </w:r>
            <w:r>
              <w:rPr>
                <w:kern w:val="2"/>
                <w:sz w:val="21"/>
                <w:szCs w:val="21"/>
                <w:highlight w:val="none"/>
              </w:rPr>
              <w:t>+（投标人评标价-评标基准价）/评标基准价×100×E2。</w:t>
            </w:r>
          </w:p>
          <w:p w14:paraId="06D9567E">
            <w:pPr>
              <w:jc w:val="left"/>
              <w:rPr>
                <w:sz w:val="21"/>
                <w:szCs w:val="21"/>
                <w:highlight w:val="none"/>
              </w:rPr>
            </w:pPr>
            <w:r>
              <w:rPr>
                <w:sz w:val="21"/>
                <w:szCs w:val="21"/>
                <w:highlight w:val="none"/>
              </w:rPr>
              <w:t>其中</w:t>
            </w:r>
            <w:r>
              <w:rPr>
                <w:rFonts w:hint="eastAsia"/>
                <w:sz w:val="21"/>
                <w:szCs w:val="21"/>
                <w:highlight w:val="none"/>
                <w:lang w:eastAsia="zh-CN"/>
              </w:rPr>
              <w:t>：</w:t>
            </w:r>
            <w:r>
              <w:rPr>
                <w:sz w:val="21"/>
                <w:szCs w:val="21"/>
                <w:highlight w:val="none"/>
              </w:rPr>
              <w:t>F</w:t>
            </w:r>
            <w:r>
              <w:rPr>
                <w:rFonts w:hint="eastAsia"/>
                <w:sz w:val="21"/>
                <w:szCs w:val="21"/>
                <w:highlight w:val="none"/>
                <w:lang w:val="en-US" w:eastAsia="zh-CN"/>
              </w:rPr>
              <w:t>3</w:t>
            </w:r>
            <w:r>
              <w:rPr>
                <w:sz w:val="21"/>
                <w:szCs w:val="21"/>
                <w:highlight w:val="none"/>
              </w:rPr>
              <w:t>=</w:t>
            </w:r>
            <w:r>
              <w:rPr>
                <w:rFonts w:hint="eastAsia"/>
                <w:sz w:val="21"/>
                <w:szCs w:val="21"/>
                <w:highlight w:val="none"/>
                <w:lang w:val="en-US" w:eastAsia="zh-CN"/>
              </w:rPr>
              <w:t>1</w:t>
            </w:r>
            <w:r>
              <w:rPr>
                <w:sz w:val="21"/>
                <w:szCs w:val="21"/>
                <w:highlight w:val="none"/>
              </w:rPr>
              <w:t>0；E1=0.</w:t>
            </w:r>
            <w:r>
              <w:rPr>
                <w:rFonts w:hint="eastAsia"/>
                <w:sz w:val="21"/>
                <w:szCs w:val="21"/>
                <w:highlight w:val="none"/>
              </w:rPr>
              <w:t>2</w:t>
            </w:r>
            <w:r>
              <w:rPr>
                <w:sz w:val="21"/>
                <w:szCs w:val="21"/>
                <w:highlight w:val="none"/>
              </w:rPr>
              <w:t>；E2=0.</w:t>
            </w:r>
            <w:r>
              <w:rPr>
                <w:rFonts w:hint="eastAsia"/>
                <w:sz w:val="21"/>
                <w:szCs w:val="21"/>
                <w:highlight w:val="none"/>
              </w:rPr>
              <w:t>1</w:t>
            </w:r>
            <w:r>
              <w:rPr>
                <w:sz w:val="21"/>
                <w:szCs w:val="21"/>
                <w:highlight w:val="none"/>
              </w:rPr>
              <w:t>；评标价最低得分为0分。</w:t>
            </w:r>
            <w:r>
              <w:rPr>
                <w:kern w:val="2"/>
                <w:sz w:val="21"/>
                <w:szCs w:val="21"/>
                <w:highlight w:val="none"/>
              </w:rPr>
              <w:t>评标价得分保留两位小数，第三位四舍五入。</w:t>
            </w:r>
          </w:p>
        </w:tc>
      </w:tr>
      <w:tr w14:paraId="224D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41" w:type="dxa"/>
            <w:noWrap w:val="0"/>
            <w:vAlign w:val="center"/>
          </w:tcPr>
          <w:p w14:paraId="31E3B56A">
            <w:pPr>
              <w:pStyle w:val="4"/>
              <w:spacing w:line="160" w:lineRule="atLeast"/>
              <w:jc w:val="center"/>
              <w:rPr>
                <w:rFonts w:ascii="Times New Roman" w:hAnsi="Times New Roman"/>
                <w:szCs w:val="21"/>
                <w:highlight w:val="none"/>
              </w:rPr>
            </w:pPr>
            <w:r>
              <w:rPr>
                <w:rFonts w:ascii="Times New Roman" w:hAnsi="Times New Roman"/>
                <w:szCs w:val="21"/>
                <w:highlight w:val="none"/>
              </w:rPr>
              <w:t>2.2.4（4）</w:t>
            </w:r>
          </w:p>
        </w:tc>
        <w:tc>
          <w:tcPr>
            <w:tcW w:w="741" w:type="dxa"/>
            <w:noWrap w:val="0"/>
            <w:vAlign w:val="center"/>
          </w:tcPr>
          <w:p w14:paraId="2F7B9FF5">
            <w:pPr>
              <w:pStyle w:val="4"/>
              <w:spacing w:line="160" w:lineRule="atLeast"/>
              <w:jc w:val="center"/>
              <w:rPr>
                <w:rFonts w:ascii="Times New Roman" w:hAnsi="Times New Roman"/>
                <w:szCs w:val="21"/>
                <w:highlight w:val="none"/>
              </w:rPr>
            </w:pPr>
            <w:r>
              <w:rPr>
                <w:rFonts w:ascii="Times New Roman" w:hAnsi="Times New Roman"/>
                <w:szCs w:val="21"/>
                <w:highlight w:val="none"/>
              </w:rPr>
              <w:t>其他因素</w:t>
            </w:r>
          </w:p>
        </w:tc>
        <w:tc>
          <w:tcPr>
            <w:tcW w:w="624" w:type="dxa"/>
            <w:tcBorders>
              <w:top w:val="single" w:color="auto" w:sz="4" w:space="0"/>
            </w:tcBorders>
            <w:noWrap w:val="0"/>
            <w:vAlign w:val="center"/>
          </w:tcPr>
          <w:p w14:paraId="59D0BE8D">
            <w:pPr>
              <w:pStyle w:val="4"/>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20</w:t>
            </w:r>
            <w:r>
              <w:rPr>
                <w:rFonts w:ascii="Times New Roman" w:hAnsi="Times New Roman"/>
                <w:szCs w:val="21"/>
                <w:highlight w:val="none"/>
              </w:rPr>
              <w:t>分</w:t>
            </w:r>
          </w:p>
        </w:tc>
        <w:tc>
          <w:tcPr>
            <w:tcW w:w="1134" w:type="dxa"/>
            <w:tcBorders>
              <w:top w:val="single" w:color="auto" w:sz="4" w:space="0"/>
            </w:tcBorders>
            <w:noWrap w:val="0"/>
            <w:vAlign w:val="center"/>
          </w:tcPr>
          <w:p w14:paraId="58B3DBFC">
            <w:pPr>
              <w:pStyle w:val="4"/>
              <w:spacing w:line="160" w:lineRule="atLeast"/>
              <w:jc w:val="center"/>
              <w:rPr>
                <w:rFonts w:ascii="Times New Roman" w:hAnsi="Times New Roman"/>
                <w:szCs w:val="21"/>
                <w:highlight w:val="none"/>
              </w:rPr>
            </w:pPr>
            <w:r>
              <w:rPr>
                <w:rFonts w:ascii="Times New Roman" w:hAnsi="Times New Roman"/>
                <w:szCs w:val="21"/>
                <w:highlight w:val="none"/>
              </w:rPr>
              <w:t>业绩</w:t>
            </w:r>
          </w:p>
        </w:tc>
        <w:tc>
          <w:tcPr>
            <w:tcW w:w="772" w:type="dxa"/>
            <w:tcBorders>
              <w:top w:val="single" w:color="auto" w:sz="4" w:space="0"/>
            </w:tcBorders>
            <w:noWrap w:val="0"/>
            <w:vAlign w:val="center"/>
          </w:tcPr>
          <w:p w14:paraId="3620290D">
            <w:pPr>
              <w:pStyle w:val="4"/>
              <w:spacing w:line="160" w:lineRule="atLeast"/>
              <w:jc w:val="center"/>
              <w:rPr>
                <w:rFonts w:hint="eastAsia" w:ascii="Times New Roman" w:hAnsi="Times New Roman"/>
                <w:szCs w:val="21"/>
                <w:highlight w:val="none"/>
                <w:lang w:val="en-US" w:eastAsia="zh-CN"/>
              </w:rPr>
            </w:pPr>
            <w:r>
              <w:rPr>
                <w:rFonts w:hint="eastAsia" w:ascii="Times New Roman" w:hAnsi="Times New Roman"/>
                <w:szCs w:val="21"/>
                <w:highlight w:val="none"/>
                <w:lang w:val="en-US" w:eastAsia="zh-CN"/>
              </w:rPr>
              <w:t>20</w:t>
            </w:r>
            <w:r>
              <w:rPr>
                <w:rFonts w:ascii="Times New Roman" w:hAnsi="Times New Roman"/>
                <w:szCs w:val="21"/>
                <w:highlight w:val="none"/>
              </w:rPr>
              <w:t>分</w:t>
            </w:r>
          </w:p>
        </w:tc>
        <w:tc>
          <w:tcPr>
            <w:tcW w:w="5640" w:type="dxa"/>
            <w:tcBorders>
              <w:top w:val="single" w:color="auto" w:sz="4" w:space="0"/>
            </w:tcBorders>
            <w:noWrap w:val="0"/>
            <w:vAlign w:val="center"/>
          </w:tcPr>
          <w:p w14:paraId="395BEB9E">
            <w:pPr>
              <w:rPr>
                <w:kern w:val="2"/>
                <w:sz w:val="21"/>
                <w:szCs w:val="21"/>
                <w:highlight w:val="none"/>
              </w:rPr>
            </w:pPr>
            <w:r>
              <w:rPr>
                <w:kern w:val="2"/>
                <w:sz w:val="21"/>
                <w:szCs w:val="21"/>
                <w:highlight w:val="none"/>
              </w:rPr>
              <w:t>满足</w:t>
            </w:r>
            <w:r>
              <w:rPr>
                <w:rFonts w:hint="eastAsia"/>
                <w:kern w:val="2"/>
                <w:sz w:val="21"/>
                <w:szCs w:val="21"/>
                <w:highlight w:val="none"/>
              </w:rPr>
              <w:t>“</w:t>
            </w:r>
            <w:r>
              <w:rPr>
                <w:kern w:val="2"/>
                <w:sz w:val="21"/>
                <w:szCs w:val="21"/>
                <w:highlight w:val="none"/>
              </w:rPr>
              <w:t>资格审查条件（业绩最低要求）</w:t>
            </w:r>
            <w:r>
              <w:rPr>
                <w:rFonts w:hint="eastAsia"/>
                <w:kern w:val="2"/>
                <w:sz w:val="21"/>
                <w:szCs w:val="21"/>
                <w:highlight w:val="none"/>
              </w:rPr>
              <w:t>”</w:t>
            </w:r>
            <w:r>
              <w:rPr>
                <w:kern w:val="2"/>
                <w:sz w:val="21"/>
                <w:szCs w:val="21"/>
                <w:highlight w:val="none"/>
              </w:rPr>
              <w:t>得</w:t>
            </w:r>
            <w:r>
              <w:rPr>
                <w:rFonts w:hint="eastAsia"/>
                <w:kern w:val="2"/>
                <w:sz w:val="21"/>
                <w:szCs w:val="21"/>
                <w:highlight w:val="none"/>
                <w:lang w:val="en-US" w:eastAsia="zh-CN"/>
              </w:rPr>
              <w:t>12</w:t>
            </w:r>
            <w:r>
              <w:rPr>
                <w:kern w:val="2"/>
                <w:sz w:val="21"/>
                <w:szCs w:val="21"/>
                <w:highlight w:val="none"/>
              </w:rPr>
              <w:t>分；</w:t>
            </w:r>
          </w:p>
          <w:p w14:paraId="5A53637E">
            <w:pPr>
              <w:rPr>
                <w:kern w:val="2"/>
                <w:sz w:val="21"/>
                <w:szCs w:val="21"/>
                <w:highlight w:val="none"/>
              </w:rPr>
            </w:pPr>
            <w:r>
              <w:rPr>
                <w:rFonts w:hint="eastAsia"/>
                <w:sz w:val="21"/>
                <w:szCs w:val="21"/>
                <w:highlight w:val="none"/>
              </w:rPr>
              <w:t>近</w:t>
            </w:r>
            <w:r>
              <w:rPr>
                <w:rFonts w:hint="eastAsia"/>
                <w:sz w:val="21"/>
                <w:szCs w:val="21"/>
                <w:highlight w:val="none"/>
                <w:lang w:val="en-US" w:eastAsia="zh-CN"/>
              </w:rPr>
              <w:t>3</w:t>
            </w:r>
            <w:r>
              <w:rPr>
                <w:rFonts w:hint="eastAsia"/>
                <w:sz w:val="21"/>
                <w:szCs w:val="21"/>
                <w:highlight w:val="none"/>
              </w:rPr>
              <w:t>年（20</w:t>
            </w:r>
            <w:r>
              <w:rPr>
                <w:rFonts w:hint="eastAsia"/>
                <w:sz w:val="21"/>
                <w:szCs w:val="21"/>
                <w:highlight w:val="none"/>
                <w:lang w:val="en-US" w:eastAsia="zh-CN"/>
              </w:rPr>
              <w:t>22</w:t>
            </w:r>
            <w:r>
              <w:rPr>
                <w:rFonts w:hint="eastAsia"/>
                <w:sz w:val="21"/>
                <w:szCs w:val="21"/>
                <w:highlight w:val="none"/>
              </w:rPr>
              <w:t>年</w:t>
            </w:r>
            <w:r>
              <w:rPr>
                <w:rFonts w:hint="eastAsia"/>
                <w:sz w:val="21"/>
                <w:szCs w:val="21"/>
                <w:highlight w:val="none"/>
                <w:lang w:val="en-US" w:eastAsia="zh-CN"/>
              </w:rPr>
              <w:t>3月</w:t>
            </w:r>
            <w:r>
              <w:rPr>
                <w:rFonts w:hint="eastAsia"/>
                <w:sz w:val="21"/>
                <w:szCs w:val="21"/>
                <w:highlight w:val="none"/>
              </w:rPr>
              <w:t>1日</w:t>
            </w:r>
            <w:r>
              <w:rPr>
                <w:rFonts w:hint="eastAsia"/>
                <w:sz w:val="21"/>
                <w:szCs w:val="21"/>
                <w:highlight w:val="none"/>
                <w:lang w:eastAsia="zh-CN"/>
              </w:rPr>
              <w:t>至投标截止时间</w:t>
            </w:r>
            <w:r>
              <w:rPr>
                <w:rFonts w:hint="eastAsia"/>
                <w:sz w:val="21"/>
                <w:szCs w:val="21"/>
                <w:highlight w:val="none"/>
              </w:rPr>
              <w:t>，以合同签订时间为准）</w:t>
            </w:r>
            <w:r>
              <w:rPr>
                <w:rFonts w:hint="eastAsia"/>
                <w:sz w:val="21"/>
                <w:szCs w:val="21"/>
                <w:highlight w:val="none"/>
                <w:lang w:val="en-US" w:eastAsia="zh-CN"/>
              </w:rPr>
              <w:t>每</w:t>
            </w:r>
            <w:r>
              <w:rPr>
                <w:rFonts w:hint="eastAsia"/>
                <w:sz w:val="21"/>
                <w:szCs w:val="21"/>
                <w:highlight w:val="none"/>
                <w:lang w:eastAsia="zh-CN"/>
              </w:rPr>
              <w:t>有一项</w:t>
            </w:r>
            <w:r>
              <w:rPr>
                <w:rFonts w:hint="eastAsia"/>
                <w:sz w:val="21"/>
                <w:szCs w:val="21"/>
                <w:highlight w:val="none"/>
                <w:lang w:val="en-US" w:eastAsia="zh-CN"/>
              </w:rPr>
              <w:t>通行费</w:t>
            </w:r>
            <w:r>
              <w:rPr>
                <w:rFonts w:hint="eastAsia"/>
                <w:sz w:val="21"/>
                <w:szCs w:val="21"/>
                <w:highlight w:val="none"/>
                <w:lang w:eastAsia="zh-CN"/>
              </w:rPr>
              <w:t>现金收款服务业绩</w:t>
            </w:r>
            <w:r>
              <w:rPr>
                <w:kern w:val="2"/>
                <w:sz w:val="21"/>
                <w:szCs w:val="21"/>
                <w:highlight w:val="none"/>
              </w:rPr>
              <w:t>加</w:t>
            </w:r>
            <w:r>
              <w:rPr>
                <w:rFonts w:hint="eastAsia"/>
                <w:kern w:val="2"/>
                <w:sz w:val="21"/>
                <w:szCs w:val="21"/>
                <w:highlight w:val="none"/>
                <w:lang w:val="en-US" w:eastAsia="zh-CN"/>
              </w:rPr>
              <w:t>8</w:t>
            </w:r>
            <w:r>
              <w:rPr>
                <w:kern w:val="2"/>
                <w:sz w:val="21"/>
                <w:szCs w:val="21"/>
                <w:highlight w:val="none"/>
              </w:rPr>
              <w:t>分，最多加</w:t>
            </w:r>
            <w:r>
              <w:rPr>
                <w:rFonts w:hint="eastAsia"/>
                <w:kern w:val="2"/>
                <w:sz w:val="21"/>
                <w:szCs w:val="21"/>
                <w:highlight w:val="none"/>
                <w:lang w:val="en-US" w:eastAsia="zh-CN"/>
              </w:rPr>
              <w:t>8</w:t>
            </w:r>
            <w:r>
              <w:rPr>
                <w:kern w:val="2"/>
                <w:sz w:val="21"/>
                <w:szCs w:val="21"/>
                <w:highlight w:val="none"/>
              </w:rPr>
              <w:t>分。</w:t>
            </w:r>
          </w:p>
        </w:tc>
      </w:tr>
    </w:tbl>
    <w:p w14:paraId="4BDD637C">
      <w:pPr>
        <w:pStyle w:val="4"/>
        <w:rPr>
          <w:rFonts w:ascii="Times New Roman" w:hAnsi="Times New Roman"/>
          <w:szCs w:val="21"/>
          <w:highlight w:val="none"/>
        </w:rPr>
      </w:pPr>
    </w:p>
    <w:p w14:paraId="0CC8C0C0">
      <w:pPr>
        <w:ind w:firstLine="400" w:firstLineChars="200"/>
        <w:rPr>
          <w:kern w:val="0"/>
          <w:sz w:val="20"/>
          <w:highlight w:val="none"/>
          <w:lang w:val="zh-CN"/>
        </w:rPr>
      </w:pPr>
      <w:r>
        <w:rPr>
          <w:kern w:val="0"/>
          <w:sz w:val="20"/>
          <w:highlight w:val="none"/>
          <w:lang w:val="zh-CN"/>
        </w:rPr>
        <w:t>注：1、第2.2.4（1）项各评委打分保留1位小数，投标人该项得分以各评委打分平均值计算所得，保留两位小数，第三位小数四舍五入。</w:t>
      </w:r>
    </w:p>
    <w:p w14:paraId="4C8E5589">
      <w:pPr>
        <w:ind w:firstLine="800" w:firstLineChars="400"/>
      </w:pPr>
      <w:r>
        <w:rPr>
          <w:kern w:val="0"/>
          <w:sz w:val="20"/>
          <w:highlight w:val="none"/>
          <w:lang w:val="zh-CN"/>
        </w:rPr>
        <w:t>2、第2.2.4（1）项评审因素缺项则该项得0分。</w:t>
      </w:r>
    </w:p>
    <w:p w14:paraId="3EAB6D31">
      <w:bookmarkStart w:id="14" w:name="_GoBack"/>
      <w:bookmarkEnd w:id="14"/>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50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4"/>
    <w:semiHidden/>
    <w:unhideWhenUsed/>
    <w:qFormat/>
    <w:uiPriority w:val="99"/>
    <w:pPr>
      <w:ind w:firstLine="420" w:firstLineChars="200"/>
    </w:pPr>
  </w:style>
  <w:style w:type="paragraph" w:styleId="4">
    <w:name w:val="Plain Text"/>
    <w:basedOn w:val="1"/>
    <w:qFormat/>
    <w:uiPriority w:val="0"/>
    <w:rPr>
      <w:rFonts w:ascii="宋体" w:hAnsi="Courier New"/>
      <w:kern w:val="2"/>
      <w:sz w:val="21"/>
    </w:rPr>
  </w:style>
  <w:style w:type="paragraph" w:styleId="5">
    <w:name w:val="Body Text"/>
    <w:basedOn w:val="1"/>
    <w:qFormat/>
    <w:uiPriority w:val="0"/>
    <w:rPr>
      <w:kern w:val="2"/>
      <w:szCs w:val="24"/>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样式54"/>
    <w:basedOn w:val="2"/>
    <w:autoRedefine/>
    <w:qFormat/>
    <w:uiPriority w:val="0"/>
    <w:pPr>
      <w:spacing w:before="0" w:after="0" w:line="360" w:lineRule="auto"/>
      <w:jc w:val="center"/>
    </w:pPr>
  </w:style>
  <w:style w:type="character" w:customStyle="1" w:styleId="10">
    <w:name w:val="font11"/>
    <w:basedOn w:val="8"/>
    <w:autoRedefine/>
    <w:qFormat/>
    <w:uiPriority w:val="0"/>
    <w:rPr>
      <w:rFonts w:hint="eastAsia" w:ascii="宋体" w:hAnsi="宋体" w:eastAsia="宋体" w:cs="宋体"/>
      <w:color w:val="000000"/>
      <w:sz w:val="20"/>
      <w:szCs w:val="20"/>
      <w:u w:val="single"/>
    </w:rPr>
  </w:style>
  <w:style w:type="character" w:customStyle="1" w:styleId="11">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2025-03-26T01:32:49Z</dcterms:created>
  <dc:creator>Administrator</dc:creator>
  <cp:lastModifiedBy>李娜</cp:lastModifiedBy>
  <dcterms:modified xsi:type="dcterms:W3CDTF">2025-03-26T01:32:56Z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5F4BDE45D2E34A80837E54C089F06519_12</vt:lpwstr>
  </property>
</Properties>
</file>