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B700">
      <w:pPr>
        <w:spacing w:after="0" w:line="360" w:lineRule="auto"/>
        <w:jc w:val="center"/>
        <w:rPr>
          <w:rFonts w:hint="eastAsia" w:ascii="宋体" w:hAnsi="宋体"/>
          <w:b/>
          <w:sz w:val="36"/>
          <w:szCs w:val="36"/>
        </w:rPr>
      </w:pPr>
      <w:bookmarkStart w:id="0" w:name="OLE_LINK1"/>
      <w:bookmarkStart w:id="14" w:name="_GoBack"/>
      <w:r>
        <w:rPr>
          <w:rFonts w:hint="eastAsia" w:ascii="宋体" w:hAnsi="宋体"/>
          <w:b/>
          <w:sz w:val="36"/>
          <w:szCs w:val="36"/>
        </w:rPr>
        <w:t>河北高速公路集团有限公司承德分公司2025年隧道照明系统改造工程设计施工总承包更正公告</w:t>
      </w:r>
    </w:p>
    <w:bookmarkEnd w:id="14"/>
    <w:p w14:paraId="113E6EEB">
      <w:pPr>
        <w:rPr>
          <w:rFonts w:hint="eastAsia" w:ascii="宋体" w:hAnsi="宋体"/>
          <w:b/>
          <w:sz w:val="24"/>
        </w:rPr>
      </w:pPr>
    </w:p>
    <w:p w14:paraId="2331E0D9">
      <w:pPr>
        <w:adjustRightInd w:val="0"/>
        <w:snapToGrid w:val="0"/>
        <w:spacing w:after="0" w:line="360" w:lineRule="auto"/>
        <w:ind w:firstLine="480" w:firstLineChars="200"/>
        <w:rPr>
          <w:rFonts w:hint="eastAsia" w:ascii="宋体" w:hAnsi="宋体"/>
          <w:sz w:val="24"/>
        </w:rPr>
      </w:pPr>
      <w:r>
        <w:rPr>
          <w:rFonts w:hint="eastAsia" w:ascii="宋体" w:hAnsi="宋体"/>
          <w:sz w:val="24"/>
        </w:rPr>
        <w:t>由于内容修改，原公告相关内容声明无效，以新公告为准。</w:t>
      </w:r>
    </w:p>
    <w:p w14:paraId="4B8BB681">
      <w:pPr>
        <w:adjustRightInd w:val="0"/>
        <w:snapToGrid w:val="0"/>
        <w:spacing w:after="0" w:line="360" w:lineRule="auto"/>
        <w:ind w:firstLine="480" w:firstLineChars="200"/>
        <w:rPr>
          <w:rFonts w:hint="eastAsia" w:ascii="宋体" w:hAnsi="宋体"/>
          <w:sz w:val="24"/>
        </w:rPr>
      </w:pPr>
      <w:r>
        <w:rPr>
          <w:rFonts w:hint="eastAsia" w:ascii="宋体" w:hAnsi="宋体"/>
          <w:sz w:val="24"/>
        </w:rPr>
        <w:t>更正内容为：</w:t>
      </w:r>
    </w:p>
    <w:p w14:paraId="49E54C41">
      <w:pPr>
        <w:adjustRightInd w:val="0"/>
        <w:snapToGrid w:val="0"/>
        <w:spacing w:after="0" w:line="360" w:lineRule="auto"/>
        <w:ind w:firstLine="480" w:firstLineChars="200"/>
        <w:rPr>
          <w:rFonts w:hint="eastAsia" w:ascii="宋体" w:hAnsi="宋体"/>
          <w:sz w:val="24"/>
        </w:rPr>
      </w:pPr>
      <w:r>
        <w:rPr>
          <w:rFonts w:hint="eastAsia" w:ascii="宋体" w:hAnsi="宋体"/>
          <w:sz w:val="24"/>
        </w:rPr>
        <w:t>1、原公告日期：2025年3月13日</w:t>
      </w:r>
    </w:p>
    <w:p w14:paraId="616CFCAA">
      <w:pPr>
        <w:adjustRightInd w:val="0"/>
        <w:snapToGrid w:val="0"/>
        <w:spacing w:after="0" w:line="360" w:lineRule="auto"/>
        <w:ind w:firstLine="480" w:firstLineChars="200"/>
        <w:rPr>
          <w:rFonts w:hint="eastAsia" w:ascii="宋体" w:hAnsi="宋体"/>
          <w:sz w:val="24"/>
        </w:rPr>
      </w:pPr>
      <w:r>
        <w:rPr>
          <w:rFonts w:hint="eastAsia" w:ascii="宋体" w:hAnsi="宋体"/>
          <w:sz w:val="24"/>
        </w:rPr>
        <w:t>2、原公告内容:</w:t>
      </w:r>
      <w:r>
        <w:rPr>
          <w:rFonts w:hint="eastAsia"/>
        </w:rPr>
        <w:t xml:space="preserve"> </w:t>
      </w:r>
      <w:r>
        <w:rPr>
          <w:rFonts w:hint="eastAsia" w:ascii="宋体" w:hAnsi="宋体"/>
          <w:sz w:val="24"/>
        </w:rPr>
        <w:t>4.1 凡有意参加投标者，请于2025年3月13日9时00分至2025年3月19日17时00分（北京时间，下同），登录河北省公共资源交易服务平台（http://ggzy.hebei.gov.cn/hbggfwpt/）下载电子招标文件及其相关文件。</w:t>
      </w:r>
    </w:p>
    <w:p w14:paraId="7CAB27D6">
      <w:pPr>
        <w:tabs>
          <w:tab w:val="left" w:pos="480"/>
        </w:tabs>
        <w:adjustRightInd w:val="0"/>
        <w:snapToGrid w:val="0"/>
        <w:spacing w:after="0" w:line="360" w:lineRule="auto"/>
        <w:ind w:firstLine="480" w:firstLineChars="200"/>
        <w:rPr>
          <w:rFonts w:hint="eastAsia" w:ascii="宋体" w:hAnsi="宋体"/>
          <w:sz w:val="24"/>
        </w:rPr>
      </w:pPr>
      <w:r>
        <w:rPr>
          <w:rFonts w:hint="eastAsia" w:ascii="宋体" w:hAnsi="宋体"/>
          <w:sz w:val="24"/>
        </w:rPr>
        <w:t>更正为：4.1 凡有意参加投标者，请于2025年3月18日9时00分至2025年3月23日9时00分（北京时间，下同），登录河北省公共资源交易服务平台（http://ggzy.hebei.gov.cn/hbggfwpt/）下载电子招标文件及其相关文件。</w:t>
      </w:r>
    </w:p>
    <w:p w14:paraId="01B45298">
      <w:pPr>
        <w:tabs>
          <w:tab w:val="left" w:pos="480"/>
        </w:tabs>
        <w:adjustRightInd w:val="0"/>
        <w:snapToGrid w:val="0"/>
        <w:spacing w:after="0" w:line="360" w:lineRule="auto"/>
        <w:ind w:firstLine="480" w:firstLineChars="200"/>
        <w:rPr>
          <w:rFonts w:hint="eastAsia" w:ascii="宋体" w:hAnsi="宋体"/>
          <w:sz w:val="24"/>
        </w:rPr>
      </w:pPr>
      <w:r>
        <w:rPr>
          <w:rFonts w:hint="eastAsia" w:ascii="宋体" w:hAnsi="宋体"/>
          <w:sz w:val="24"/>
        </w:rPr>
        <w:t>3、原公告内容:</w:t>
      </w:r>
      <w:r>
        <w:rPr>
          <w:rFonts w:hint="eastAsia"/>
        </w:rPr>
        <w:t xml:space="preserve"> </w:t>
      </w:r>
      <w:r>
        <w:rPr>
          <w:rFonts w:hint="eastAsia" w:ascii="宋体" w:hAnsi="宋体"/>
          <w:sz w:val="24"/>
        </w:rPr>
        <w:t>5.1投标文件递交的截止时间(投标截止时间，下同)为2025年4月2日10时00分。</w:t>
      </w:r>
    </w:p>
    <w:p w14:paraId="4D242EDC">
      <w:pPr>
        <w:tabs>
          <w:tab w:val="left" w:pos="480"/>
        </w:tabs>
        <w:adjustRightInd w:val="0"/>
        <w:snapToGrid w:val="0"/>
        <w:spacing w:after="0" w:line="360" w:lineRule="auto"/>
        <w:ind w:firstLine="480" w:firstLineChars="200"/>
        <w:rPr>
          <w:rFonts w:hint="eastAsia" w:ascii="宋体" w:hAnsi="宋体"/>
          <w:sz w:val="24"/>
        </w:rPr>
      </w:pPr>
      <w:r>
        <w:rPr>
          <w:rFonts w:hint="eastAsia" w:ascii="宋体" w:hAnsi="宋体"/>
          <w:sz w:val="24"/>
        </w:rPr>
        <w:t>更正为：5.1投标文件递交的截止时间(投标截止时间，下同)为2025年4月8日9时00分。</w:t>
      </w:r>
    </w:p>
    <w:p w14:paraId="03AAC6F8">
      <w:pPr>
        <w:tabs>
          <w:tab w:val="left" w:pos="480"/>
        </w:tabs>
        <w:adjustRightInd w:val="0"/>
        <w:snapToGrid w:val="0"/>
        <w:spacing w:after="0" w:line="360" w:lineRule="auto"/>
        <w:ind w:firstLine="480" w:firstLineChars="200"/>
        <w:rPr>
          <w:rFonts w:hint="eastAsia" w:ascii="宋体" w:hAnsi="宋体"/>
          <w:sz w:val="24"/>
        </w:rPr>
      </w:pPr>
      <w:r>
        <w:rPr>
          <w:rFonts w:hint="eastAsia" w:ascii="宋体" w:hAnsi="宋体"/>
          <w:sz w:val="24"/>
        </w:rPr>
        <w:t>4、原公告附件内容变更如下：</w:t>
      </w:r>
    </w:p>
    <w:p w14:paraId="2DA45275">
      <w:pPr>
        <w:tabs>
          <w:tab w:val="left" w:pos="0"/>
        </w:tabs>
        <w:spacing w:line="360" w:lineRule="auto"/>
        <w:rPr>
          <w:b/>
          <w:bCs/>
          <w:sz w:val="28"/>
          <w:szCs w:val="28"/>
          <w:lang w:bidi="ar"/>
        </w:rPr>
      </w:pPr>
      <w:bookmarkStart w:id="1" w:name="_Toc148447634"/>
      <w:r>
        <w:rPr>
          <w:rFonts w:hint="eastAsia"/>
          <w:b/>
          <w:bCs/>
          <w:sz w:val="28"/>
          <w:szCs w:val="28"/>
          <w:lang w:bidi="ar"/>
        </w:rPr>
        <w:t>附件1：资格审查条件</w:t>
      </w:r>
      <w:bookmarkEnd w:id="1"/>
    </w:p>
    <w:p w14:paraId="13FC1EEF">
      <w:pPr>
        <w:rPr>
          <w:szCs w:val="21"/>
        </w:rPr>
      </w:pPr>
    </w:p>
    <w:p w14:paraId="4A3B74CA">
      <w:pPr>
        <w:spacing w:after="156" w:afterLines="50"/>
        <w:jc w:val="center"/>
        <w:rPr>
          <w:rFonts w:hint="eastAsia" w:ascii="宋体" w:hAnsi="宋体"/>
          <w:b/>
          <w:szCs w:val="24"/>
        </w:rPr>
      </w:pPr>
      <w:bookmarkStart w:id="2" w:name="_Hlk133410725"/>
      <w:r>
        <w:rPr>
          <w:rFonts w:hint="eastAsia" w:ascii="宋体" w:hAnsi="宋体"/>
          <w:b/>
          <w:szCs w:val="24"/>
        </w:rPr>
        <w:t>附录1 资格审查条件(资质最低要求)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14:paraId="1AEA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14:paraId="65FC4B89">
            <w:pPr>
              <w:adjustRightInd w:val="0"/>
              <w:snapToGrid w:val="0"/>
              <w:spacing w:line="320" w:lineRule="exact"/>
              <w:ind w:left="-2" w:leftChars="-1"/>
              <w:jc w:val="center"/>
              <w:rPr>
                <w:rFonts w:hint="eastAsia" w:ascii="宋体" w:hAnsi="宋体"/>
                <w:sz w:val="22"/>
              </w:rPr>
            </w:pPr>
            <w:r>
              <w:rPr>
                <w:rFonts w:hint="eastAsia" w:ascii="宋体" w:hAnsi="宋体"/>
                <w:sz w:val="22"/>
              </w:rPr>
              <w:t>资质要求</w:t>
            </w:r>
          </w:p>
        </w:tc>
      </w:tr>
      <w:tr w14:paraId="1DB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14:paraId="3B95537E">
            <w:pPr>
              <w:snapToGrid w:val="0"/>
              <w:spacing w:line="320" w:lineRule="exact"/>
              <w:jc w:val="center"/>
              <w:rPr>
                <w:rFonts w:hint="eastAsia" w:ascii="宋体" w:hAnsi="宋体"/>
                <w:sz w:val="22"/>
              </w:rPr>
            </w:pPr>
            <w:r>
              <w:rPr>
                <w:rFonts w:hint="eastAsia" w:ascii="宋体" w:hAnsi="宋体"/>
                <w:sz w:val="22"/>
              </w:rPr>
              <w:t>营业执照</w:t>
            </w:r>
          </w:p>
        </w:tc>
        <w:tc>
          <w:tcPr>
            <w:tcW w:w="7702" w:type="dxa"/>
            <w:vAlign w:val="center"/>
          </w:tcPr>
          <w:p w14:paraId="6AB0DA38">
            <w:pPr>
              <w:snapToGrid w:val="0"/>
              <w:spacing w:line="320" w:lineRule="exact"/>
              <w:rPr>
                <w:rFonts w:hint="eastAsia" w:ascii="宋体" w:hAnsi="宋体"/>
                <w:sz w:val="22"/>
              </w:rPr>
            </w:pPr>
            <w:r>
              <w:rPr>
                <w:rFonts w:hint="eastAsia" w:ascii="宋体" w:hAnsi="宋体"/>
                <w:sz w:val="22"/>
              </w:rPr>
              <w:t>投标人具有独立企业法人资格，持有有效的企业营业执照。</w:t>
            </w:r>
          </w:p>
        </w:tc>
      </w:tr>
      <w:tr w14:paraId="4081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466" w:type="dxa"/>
            <w:vAlign w:val="center"/>
          </w:tcPr>
          <w:p w14:paraId="17590F64">
            <w:pPr>
              <w:snapToGrid w:val="0"/>
              <w:spacing w:line="320" w:lineRule="exact"/>
              <w:jc w:val="center"/>
              <w:rPr>
                <w:rFonts w:hint="eastAsia" w:ascii="宋体" w:hAnsi="宋体"/>
                <w:sz w:val="22"/>
              </w:rPr>
            </w:pPr>
            <w:r>
              <w:rPr>
                <w:rFonts w:hint="eastAsia" w:ascii="宋体" w:hAnsi="宋体"/>
                <w:sz w:val="22"/>
              </w:rPr>
              <w:t>资质条件</w:t>
            </w:r>
          </w:p>
        </w:tc>
        <w:tc>
          <w:tcPr>
            <w:tcW w:w="7702" w:type="dxa"/>
            <w:vAlign w:val="center"/>
          </w:tcPr>
          <w:p w14:paraId="4EB039F5">
            <w:pPr>
              <w:snapToGrid w:val="0"/>
              <w:spacing w:after="156" w:afterLines="50" w:line="320" w:lineRule="exact"/>
              <w:rPr>
                <w:rFonts w:hint="eastAsia" w:ascii="宋体" w:hAnsi="宋体"/>
                <w:sz w:val="22"/>
              </w:rPr>
            </w:pPr>
            <w:r>
              <w:rPr>
                <w:rFonts w:hint="eastAsia" w:ascii="宋体" w:hAnsi="宋体"/>
                <w:b/>
                <w:bCs/>
                <w:sz w:val="22"/>
              </w:rPr>
              <w:t>设计资质</w:t>
            </w:r>
            <w:r>
              <w:rPr>
                <w:rFonts w:hint="eastAsia" w:ascii="宋体" w:hAnsi="宋体"/>
                <w:sz w:val="22"/>
              </w:rPr>
              <w:t>：具备住房和城乡建设行政主管部门颁发的工程设计综合甲级资质或公路行业甲级资质或公路行业（交通工程）专业甲级资质。</w:t>
            </w:r>
          </w:p>
          <w:p w14:paraId="59AC428B">
            <w:pPr>
              <w:snapToGrid w:val="0"/>
              <w:spacing w:after="156" w:afterLines="50" w:line="320" w:lineRule="exact"/>
              <w:rPr>
                <w:rFonts w:hint="eastAsia" w:ascii="宋体" w:hAnsi="宋体"/>
                <w:sz w:val="22"/>
              </w:rPr>
            </w:pPr>
            <w:r>
              <w:rPr>
                <w:rFonts w:hint="eastAsia" w:ascii="宋体" w:hAnsi="宋体"/>
                <w:b/>
                <w:bCs/>
                <w:sz w:val="22"/>
              </w:rPr>
              <w:t>施工资质</w:t>
            </w:r>
            <w:r>
              <w:rPr>
                <w:rFonts w:hint="eastAsia" w:ascii="宋体" w:hAnsi="宋体"/>
                <w:sz w:val="22"/>
              </w:rPr>
              <w:t>：具备住房和城乡建设行政主管部门颁发的公路交通工程（公路机电工程分项）专业承包一级资质。具有住房和城乡建设行政主管部门颁发的有效的安全生产许可证。</w:t>
            </w:r>
          </w:p>
        </w:tc>
      </w:tr>
      <w:tr w14:paraId="4D05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14:paraId="4DB5A847">
            <w:pPr>
              <w:snapToGrid w:val="0"/>
              <w:spacing w:line="320" w:lineRule="exact"/>
              <w:rPr>
                <w:rFonts w:hint="eastAsia" w:ascii="宋体" w:hAnsi="宋体"/>
                <w:sz w:val="22"/>
              </w:rPr>
            </w:pPr>
            <w:r>
              <w:rPr>
                <w:rFonts w:hint="eastAsia" w:ascii="宋体" w:hAnsi="宋体"/>
                <w:sz w:val="22"/>
              </w:rPr>
              <w:t>以联合体形式投标的，联合体所有成员数量不得超过2</w:t>
            </w:r>
            <w:r>
              <w:rPr>
                <w:rFonts w:ascii="宋体" w:hAnsi="宋体"/>
                <w:sz w:val="22"/>
              </w:rPr>
              <w:t>家</w:t>
            </w:r>
            <w:r>
              <w:rPr>
                <w:rFonts w:hint="eastAsia" w:ascii="宋体" w:hAnsi="宋体"/>
                <w:sz w:val="22"/>
              </w:rPr>
              <w:t>；联合体牵头人应具备“公路交通工程（公路机电工程分项）专业承包一级资质”，联合体应满足本项规定的资格条件。</w:t>
            </w:r>
          </w:p>
        </w:tc>
      </w:tr>
    </w:tbl>
    <w:p w14:paraId="696E37CE">
      <w:pPr>
        <w:spacing w:after="156" w:afterLines="50"/>
        <w:jc w:val="center"/>
        <w:rPr>
          <w:rFonts w:hint="eastAsia" w:ascii="宋体" w:hAnsi="宋体"/>
          <w:b/>
          <w:szCs w:val="24"/>
        </w:rPr>
      </w:pPr>
    </w:p>
    <w:p w14:paraId="445FBE17">
      <w:pPr>
        <w:spacing w:after="156" w:afterLines="50"/>
        <w:jc w:val="center"/>
        <w:rPr>
          <w:rFonts w:hint="eastAsia" w:ascii="宋体" w:hAnsi="宋体"/>
          <w:b/>
          <w:szCs w:val="24"/>
        </w:rPr>
      </w:pPr>
      <w:r>
        <w:rPr>
          <w:rFonts w:hint="eastAsia" w:ascii="宋体" w:hAnsi="宋体"/>
          <w:b/>
          <w:szCs w:val="24"/>
        </w:rPr>
        <w:t>附录2 资格审查条件(财务最低要求)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7BED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14:paraId="280C538C">
            <w:pPr>
              <w:snapToGrid w:val="0"/>
              <w:spacing w:line="320" w:lineRule="exact"/>
              <w:jc w:val="center"/>
              <w:rPr>
                <w:rFonts w:hint="eastAsia" w:ascii="宋体" w:hAnsi="宋体"/>
                <w:sz w:val="22"/>
              </w:rPr>
            </w:pPr>
            <w:r>
              <w:rPr>
                <w:rFonts w:hint="eastAsia" w:ascii="宋体" w:hAnsi="宋体"/>
                <w:sz w:val="22"/>
              </w:rPr>
              <w:t>财务要求</w:t>
            </w:r>
          </w:p>
        </w:tc>
      </w:tr>
      <w:tr w14:paraId="4E07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9090" w:type="dxa"/>
            <w:vAlign w:val="center"/>
          </w:tcPr>
          <w:p w14:paraId="6E717229">
            <w:pPr>
              <w:spacing w:line="400" w:lineRule="exact"/>
              <w:ind w:firstLine="440" w:firstLineChars="200"/>
              <w:jc w:val="left"/>
              <w:rPr>
                <w:rFonts w:hint="eastAsia" w:ascii="宋体" w:hAnsi="宋体" w:cs="宋体"/>
                <w:sz w:val="22"/>
              </w:rPr>
            </w:pPr>
            <w:r>
              <w:rPr>
                <w:rFonts w:hint="eastAsia" w:ascii="宋体" w:hAnsi="宋体" w:cs="宋体"/>
                <w:sz w:val="22"/>
              </w:rPr>
              <w:t>投标人承诺为本合同所提供的营运资金(以经会计事务所或审计机构审计的最新财务报表(2023年度)中：营运资金=流动资产-流动负债，以年末数计算)以及为本项目而专门开具的银行信贷证明总和不得少于</w:t>
            </w:r>
            <w:r>
              <w:rPr>
                <w:rFonts w:ascii="宋体" w:hAnsi="宋体" w:cs="宋体"/>
                <w:sz w:val="22"/>
              </w:rPr>
              <w:t>200万元</w:t>
            </w:r>
            <w:r>
              <w:rPr>
                <w:rFonts w:hint="eastAsia" w:ascii="宋体" w:hAnsi="宋体" w:cs="宋体"/>
                <w:sz w:val="22"/>
              </w:rPr>
              <w:t>。</w:t>
            </w:r>
          </w:p>
          <w:p w14:paraId="11358A4E">
            <w:pPr>
              <w:adjustRightInd w:val="0"/>
              <w:snapToGrid w:val="0"/>
              <w:spacing w:line="320" w:lineRule="exact"/>
              <w:ind w:firstLine="440" w:firstLineChars="200"/>
              <w:rPr>
                <w:rFonts w:hint="eastAsia" w:ascii="宋体" w:hAnsi="宋体" w:cs="宋体"/>
                <w:sz w:val="22"/>
              </w:rPr>
            </w:pPr>
            <w:r>
              <w:rPr>
                <w:rFonts w:hint="eastAsia" w:ascii="宋体" w:hAnsi="宋体" w:cs="宋体"/>
                <w:sz w:val="22"/>
              </w:rPr>
              <w:t>以联合体形式投标的，联合体牵头人应满足本项规定的资格条件。</w:t>
            </w:r>
          </w:p>
        </w:tc>
      </w:tr>
    </w:tbl>
    <w:p w14:paraId="1296C360">
      <w:pPr>
        <w:spacing w:after="156" w:afterLines="50"/>
        <w:jc w:val="center"/>
        <w:rPr>
          <w:rFonts w:hint="eastAsia" w:ascii="宋体" w:hAnsi="宋体"/>
          <w:b/>
          <w:szCs w:val="24"/>
          <w:highlight w:val="red"/>
        </w:rPr>
      </w:pPr>
    </w:p>
    <w:p w14:paraId="3CD1EC01">
      <w:pPr>
        <w:spacing w:after="156" w:afterLines="50"/>
        <w:jc w:val="center"/>
        <w:rPr>
          <w:rFonts w:hint="eastAsia" w:ascii="宋体" w:hAnsi="宋体"/>
          <w:b/>
          <w:szCs w:val="24"/>
        </w:rPr>
      </w:pPr>
      <w:r>
        <w:rPr>
          <w:rFonts w:hint="eastAsia" w:ascii="宋体" w:hAnsi="宋体"/>
          <w:b/>
          <w:szCs w:val="24"/>
        </w:rPr>
        <w:t>附录3 资格审查条件(业绩最低要求)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14:paraId="2A15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14:paraId="5C57A9B2">
            <w:pPr>
              <w:adjustRightInd w:val="0"/>
              <w:snapToGrid w:val="0"/>
              <w:spacing w:line="320" w:lineRule="exact"/>
              <w:ind w:left="-2" w:leftChars="-1"/>
              <w:jc w:val="center"/>
              <w:rPr>
                <w:rFonts w:hint="eastAsia" w:ascii="宋体" w:hAnsi="宋体"/>
                <w:sz w:val="22"/>
              </w:rPr>
            </w:pPr>
            <w:bookmarkStart w:id="3" w:name="_Hlk52204292"/>
            <w:r>
              <w:rPr>
                <w:rFonts w:hint="eastAsia" w:ascii="宋体" w:hAnsi="宋体"/>
                <w:sz w:val="22"/>
              </w:rPr>
              <w:t>业绩要求</w:t>
            </w:r>
          </w:p>
        </w:tc>
      </w:tr>
      <w:tr w14:paraId="0D7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14:paraId="25858AB6">
            <w:pPr>
              <w:snapToGrid w:val="0"/>
              <w:spacing w:after="156" w:afterLines="50" w:line="320" w:lineRule="exact"/>
              <w:ind w:firstLine="440" w:firstLineChars="200"/>
              <w:rPr>
                <w:rFonts w:hint="eastAsia" w:ascii="宋体" w:hAnsi="宋体"/>
                <w:sz w:val="22"/>
              </w:rPr>
            </w:pPr>
            <w:r>
              <w:rPr>
                <w:rFonts w:hint="eastAsia" w:ascii="宋体" w:hAnsi="宋体"/>
                <w:sz w:val="22"/>
              </w:rPr>
              <w:t>设计业绩：近</w:t>
            </w:r>
            <w:r>
              <w:rPr>
                <w:rFonts w:ascii="宋体" w:hAnsi="宋体"/>
                <w:sz w:val="22"/>
              </w:rPr>
              <w:t>5</w:t>
            </w:r>
            <w:r>
              <w:rPr>
                <w:rFonts w:hint="eastAsia" w:ascii="宋体" w:hAnsi="宋体"/>
                <w:sz w:val="22"/>
              </w:rPr>
              <w:t>年(2020年3月1日至投标截止时间，以施工图批复时间为准)至少完成过1项高速公路（新建或改扩建或养护）机电工程的设计业绩（须包含照明系统）。</w:t>
            </w:r>
          </w:p>
          <w:p w14:paraId="0F272689">
            <w:pPr>
              <w:snapToGrid w:val="0"/>
              <w:spacing w:after="156" w:afterLines="50" w:line="320" w:lineRule="exact"/>
              <w:ind w:firstLine="440" w:firstLineChars="200"/>
              <w:rPr>
                <w:rFonts w:hint="eastAsia" w:ascii="宋体" w:hAnsi="宋体"/>
                <w:sz w:val="22"/>
              </w:rPr>
            </w:pPr>
            <w:r>
              <w:rPr>
                <w:rFonts w:hint="eastAsia" w:ascii="宋体" w:hAnsi="宋体"/>
                <w:sz w:val="22"/>
              </w:rPr>
              <w:t>施工业绩：近5年（2020年3月1日至投标截止时间，以工程交工日期为准），至少完成过1项高速公路（新建或改扩建或养护）机电工程施工业绩（须包含照明系统）。</w:t>
            </w:r>
          </w:p>
          <w:p w14:paraId="6BFE1502">
            <w:pPr>
              <w:spacing w:after="156" w:afterLines="50"/>
              <w:ind w:firstLine="440" w:firstLineChars="200"/>
              <w:rPr>
                <w:rFonts w:hint="eastAsia" w:ascii="宋体" w:hAnsi="宋体"/>
                <w:sz w:val="22"/>
              </w:rPr>
            </w:pPr>
            <w:r>
              <w:rPr>
                <w:rFonts w:hint="eastAsia" w:ascii="宋体" w:hAnsi="宋体"/>
                <w:sz w:val="22"/>
              </w:rPr>
              <w:t>以联合体形式投标的，联合体应满足本项规定的资格条件。同一业绩包含设计业绩和施工业绩的可视为具有设计业绩及施工业绩。</w:t>
            </w:r>
          </w:p>
        </w:tc>
      </w:tr>
      <w:bookmarkEnd w:id="3"/>
    </w:tbl>
    <w:p w14:paraId="6F4D433F">
      <w:pPr>
        <w:spacing w:after="120"/>
        <w:rPr>
          <w:szCs w:val="24"/>
        </w:rPr>
      </w:pPr>
    </w:p>
    <w:p w14:paraId="0219B18A">
      <w:pPr>
        <w:widowControl/>
        <w:jc w:val="left"/>
        <w:rPr>
          <w:rFonts w:hint="eastAsia" w:ascii="宋体" w:hAnsi="宋体"/>
          <w:b/>
          <w:szCs w:val="24"/>
        </w:rPr>
      </w:pPr>
      <w:r>
        <w:rPr>
          <w:rFonts w:ascii="宋体" w:hAnsi="宋体"/>
          <w:b/>
          <w:szCs w:val="24"/>
        </w:rPr>
        <w:br w:type="page"/>
      </w:r>
    </w:p>
    <w:p w14:paraId="2EBCB31B">
      <w:pPr>
        <w:snapToGrid w:val="0"/>
        <w:spacing w:after="156" w:afterLines="50"/>
        <w:jc w:val="center"/>
        <w:rPr>
          <w:rFonts w:hint="eastAsia" w:ascii="宋体" w:hAnsi="宋体"/>
          <w:b/>
          <w:szCs w:val="24"/>
        </w:rPr>
      </w:pPr>
      <w:r>
        <w:rPr>
          <w:rFonts w:hint="eastAsia" w:ascii="宋体" w:hAnsi="宋体"/>
          <w:b/>
          <w:szCs w:val="24"/>
        </w:rPr>
        <w:t>附录4 资格审查条件（信誉最低要求）</w:t>
      </w:r>
    </w:p>
    <w:tbl>
      <w:tblPr>
        <w:tblStyle w:val="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7FC7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14:paraId="182FE097">
            <w:pPr>
              <w:spacing w:line="360" w:lineRule="auto"/>
              <w:jc w:val="center"/>
              <w:rPr>
                <w:rFonts w:hint="eastAsia" w:ascii="宋体" w:hAnsi="宋体"/>
                <w:sz w:val="22"/>
              </w:rPr>
            </w:pPr>
            <w:r>
              <w:rPr>
                <w:rFonts w:hint="eastAsia" w:ascii="宋体" w:hAnsi="宋体"/>
                <w:sz w:val="22"/>
              </w:rPr>
              <w:t>信誉要求</w:t>
            </w:r>
          </w:p>
        </w:tc>
      </w:tr>
      <w:tr w14:paraId="68CA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9468" w:type="dxa"/>
            <w:vAlign w:val="center"/>
          </w:tcPr>
          <w:p w14:paraId="2C2FC91D">
            <w:pPr>
              <w:snapToGrid w:val="0"/>
              <w:spacing w:line="360" w:lineRule="exact"/>
              <w:ind w:firstLine="440" w:firstLineChars="200"/>
              <w:rPr>
                <w:rFonts w:hint="eastAsia" w:ascii="宋体" w:hAnsi="宋体"/>
                <w:sz w:val="22"/>
              </w:rPr>
            </w:pPr>
            <w:r>
              <w:rPr>
                <w:rFonts w:hint="eastAsia" w:ascii="宋体" w:hAnsi="宋体"/>
                <w:sz w:val="22"/>
              </w:rPr>
              <w:t>投标人在近一年（20</w:t>
            </w:r>
            <w:r>
              <w:rPr>
                <w:rFonts w:ascii="宋体" w:hAnsi="宋体"/>
                <w:sz w:val="22"/>
              </w:rPr>
              <w:t>2</w:t>
            </w:r>
            <w:r>
              <w:rPr>
                <w:rFonts w:hint="eastAsia" w:ascii="宋体" w:hAnsi="宋体"/>
                <w:sz w:val="22"/>
              </w:rPr>
              <w:t>4年3</w:t>
            </w:r>
            <w:r>
              <w:rPr>
                <w:rFonts w:ascii="宋体" w:hAnsi="宋体"/>
                <w:sz w:val="22"/>
              </w:rPr>
              <w:t>月1日</w:t>
            </w:r>
            <w:r>
              <w:rPr>
                <w:rFonts w:hint="eastAsia" w:ascii="宋体" w:hAnsi="宋体"/>
                <w:sz w:val="22"/>
              </w:rPr>
              <w:t>至投标截止时间）</w:t>
            </w:r>
            <w:bookmarkStart w:id="4" w:name="_Hlk192064581"/>
            <w:r>
              <w:rPr>
                <w:rFonts w:hint="eastAsia" w:ascii="宋体" w:hAnsi="宋体"/>
                <w:sz w:val="22"/>
              </w:rPr>
              <w:t>不曾在高速公路机电项目设计或施工中违约被逐或因投标人自身的原因而使高速公路机电项目设计或施工合同被解除。</w:t>
            </w:r>
          </w:p>
          <w:p w14:paraId="404316B5">
            <w:pPr>
              <w:snapToGrid w:val="0"/>
              <w:spacing w:line="360" w:lineRule="exact"/>
              <w:ind w:firstLine="440" w:firstLineChars="200"/>
              <w:rPr>
                <w:szCs w:val="24"/>
              </w:rPr>
            </w:pPr>
            <w:r>
              <w:rPr>
                <w:rFonts w:hint="eastAsia" w:ascii="宋体" w:hAnsi="宋体"/>
                <w:sz w:val="22"/>
              </w:rPr>
              <w:t>以联合体形式投标的，联合体各成员均应满足本项规定的资格条件</w:t>
            </w:r>
            <w:bookmarkEnd w:id="4"/>
            <w:r>
              <w:rPr>
                <w:rFonts w:hint="eastAsia" w:ascii="宋体" w:hAnsi="宋体"/>
                <w:sz w:val="22"/>
              </w:rPr>
              <w:t>。</w:t>
            </w:r>
          </w:p>
        </w:tc>
      </w:tr>
    </w:tbl>
    <w:p w14:paraId="4B308EEB">
      <w:pPr>
        <w:widowControl/>
        <w:jc w:val="center"/>
        <w:rPr>
          <w:rFonts w:hint="eastAsia" w:ascii="宋体" w:hAnsi="宋体"/>
          <w:b/>
          <w:szCs w:val="24"/>
        </w:rPr>
      </w:pPr>
    </w:p>
    <w:p w14:paraId="20E7B812">
      <w:pPr>
        <w:widowControl/>
        <w:jc w:val="center"/>
        <w:rPr>
          <w:szCs w:val="24"/>
        </w:rPr>
      </w:pPr>
    </w:p>
    <w:p w14:paraId="748D5730">
      <w:pPr>
        <w:widowControl/>
        <w:spacing w:after="156" w:afterLines="50"/>
        <w:jc w:val="center"/>
        <w:rPr>
          <w:rFonts w:hint="eastAsia" w:ascii="宋体" w:hAnsi="宋体"/>
          <w:b/>
          <w:szCs w:val="24"/>
        </w:rPr>
      </w:pPr>
      <w:r>
        <w:rPr>
          <w:rFonts w:hint="eastAsia" w:ascii="宋体" w:hAnsi="宋体"/>
          <w:b/>
          <w:szCs w:val="24"/>
        </w:rPr>
        <w:t>附录5 资格审查条件（主要人员最低要求）</w:t>
      </w:r>
    </w:p>
    <w:tbl>
      <w:tblPr>
        <w:tblStyle w:val="2"/>
        <w:tblW w:w="937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709"/>
        <w:gridCol w:w="5390"/>
        <w:gridCol w:w="1670"/>
      </w:tblGrid>
      <w:tr w14:paraId="237829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603" w:type="dxa"/>
            <w:tcBorders>
              <w:top w:val="single" w:color="auto" w:sz="2" w:space="0"/>
              <w:left w:val="single" w:color="auto" w:sz="2" w:space="0"/>
              <w:bottom w:val="single" w:color="auto" w:sz="6" w:space="0"/>
              <w:right w:val="single" w:color="auto" w:sz="6" w:space="0"/>
            </w:tcBorders>
            <w:vAlign w:val="center"/>
          </w:tcPr>
          <w:p w14:paraId="6D56C5AB">
            <w:pPr>
              <w:adjustRightInd w:val="0"/>
              <w:snapToGrid w:val="0"/>
              <w:jc w:val="center"/>
              <w:rPr>
                <w:rFonts w:hint="eastAsia" w:ascii="宋体" w:hAnsi="宋体"/>
                <w:b/>
                <w:szCs w:val="21"/>
              </w:rPr>
            </w:pPr>
            <w:r>
              <w:rPr>
                <w:rFonts w:hint="eastAsia" w:ascii="宋体" w:hAnsi="宋体"/>
                <w:b/>
                <w:szCs w:val="24"/>
              </w:rPr>
              <w:t>岗位</w:t>
            </w:r>
          </w:p>
        </w:tc>
        <w:tc>
          <w:tcPr>
            <w:tcW w:w="709" w:type="dxa"/>
            <w:tcBorders>
              <w:top w:val="single" w:color="auto" w:sz="2" w:space="0"/>
              <w:left w:val="single" w:color="auto" w:sz="6" w:space="0"/>
              <w:bottom w:val="single" w:color="auto" w:sz="6" w:space="0"/>
              <w:right w:val="single" w:color="auto" w:sz="6" w:space="0"/>
            </w:tcBorders>
            <w:vAlign w:val="center"/>
          </w:tcPr>
          <w:p w14:paraId="34EA2D6E">
            <w:pPr>
              <w:adjustRightInd w:val="0"/>
              <w:snapToGrid w:val="0"/>
              <w:jc w:val="center"/>
              <w:rPr>
                <w:rFonts w:hint="eastAsia" w:ascii="宋体" w:hAnsi="宋体"/>
                <w:b/>
                <w:szCs w:val="24"/>
              </w:rPr>
            </w:pPr>
            <w:r>
              <w:rPr>
                <w:rFonts w:hint="eastAsia" w:ascii="宋体" w:hAnsi="宋体"/>
                <w:b/>
                <w:szCs w:val="24"/>
              </w:rPr>
              <w:t>数量</w:t>
            </w:r>
          </w:p>
        </w:tc>
        <w:tc>
          <w:tcPr>
            <w:tcW w:w="5390" w:type="dxa"/>
            <w:tcBorders>
              <w:top w:val="single" w:color="auto" w:sz="2" w:space="0"/>
              <w:left w:val="single" w:color="auto" w:sz="6" w:space="0"/>
              <w:bottom w:val="single" w:color="auto" w:sz="4" w:space="0"/>
              <w:right w:val="single" w:color="auto" w:sz="6" w:space="0"/>
            </w:tcBorders>
            <w:vAlign w:val="center"/>
          </w:tcPr>
          <w:p w14:paraId="16DD95A0">
            <w:pPr>
              <w:adjustRightInd w:val="0"/>
              <w:snapToGrid w:val="0"/>
              <w:jc w:val="center"/>
              <w:rPr>
                <w:rFonts w:hint="eastAsia" w:ascii="宋体" w:hAnsi="宋体"/>
                <w:b/>
                <w:szCs w:val="24"/>
              </w:rPr>
            </w:pPr>
            <w:r>
              <w:rPr>
                <w:rFonts w:hint="eastAsia" w:ascii="宋体" w:hAnsi="宋体"/>
                <w:b/>
                <w:szCs w:val="24"/>
              </w:rPr>
              <w:t>资格标准</w:t>
            </w:r>
          </w:p>
        </w:tc>
        <w:tc>
          <w:tcPr>
            <w:tcW w:w="1670" w:type="dxa"/>
            <w:tcBorders>
              <w:top w:val="single" w:color="auto" w:sz="2" w:space="0"/>
              <w:left w:val="single" w:color="auto" w:sz="6" w:space="0"/>
              <w:bottom w:val="single" w:color="auto" w:sz="4" w:space="0"/>
              <w:right w:val="single" w:color="auto" w:sz="2" w:space="0"/>
            </w:tcBorders>
            <w:vAlign w:val="center"/>
          </w:tcPr>
          <w:p w14:paraId="4DC1EB99">
            <w:pPr>
              <w:adjustRightInd w:val="0"/>
              <w:snapToGrid w:val="0"/>
              <w:jc w:val="center"/>
              <w:rPr>
                <w:rFonts w:hint="eastAsia" w:ascii="宋体" w:hAnsi="宋体"/>
                <w:b/>
                <w:szCs w:val="24"/>
              </w:rPr>
            </w:pPr>
            <w:r>
              <w:rPr>
                <w:rFonts w:hint="eastAsia" w:ascii="宋体" w:hAnsi="宋体"/>
                <w:b/>
                <w:szCs w:val="24"/>
              </w:rPr>
              <w:t>在岗要求</w:t>
            </w:r>
          </w:p>
        </w:tc>
      </w:tr>
      <w:tr w14:paraId="3C52831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41"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53DF8979">
            <w:pPr>
              <w:adjustRightInd w:val="0"/>
              <w:snapToGrid w:val="0"/>
              <w:spacing w:line="400" w:lineRule="exact"/>
              <w:jc w:val="center"/>
              <w:rPr>
                <w:rFonts w:hint="eastAsia" w:ascii="宋体" w:hAnsi="宋体"/>
                <w:szCs w:val="24"/>
              </w:rPr>
            </w:pPr>
            <w:r>
              <w:rPr>
                <w:rFonts w:hint="eastAsia" w:ascii="宋体" w:hAnsi="宋体"/>
                <w:szCs w:val="24"/>
              </w:rPr>
              <w:t>项目经理</w:t>
            </w:r>
          </w:p>
          <w:p w14:paraId="41A9D314">
            <w:pPr>
              <w:adjustRightInd w:val="0"/>
              <w:snapToGrid w:val="0"/>
              <w:spacing w:line="400" w:lineRule="exact"/>
              <w:ind w:leftChars="-95" w:right="-193" w:rightChars="-92" w:hanging="199" w:hangingChars="95"/>
              <w:jc w:val="center"/>
              <w:rPr>
                <w:rFonts w:hint="eastAsia" w:ascii="宋体" w:hAnsi="宋体"/>
                <w:szCs w:val="24"/>
              </w:rPr>
            </w:pPr>
            <w:r>
              <w:rPr>
                <w:rFonts w:hint="eastAsia" w:ascii="宋体" w:hAnsi="宋体"/>
                <w:szCs w:val="24"/>
              </w:rPr>
              <w:t>（兼施工负责人）</w:t>
            </w:r>
          </w:p>
        </w:tc>
        <w:tc>
          <w:tcPr>
            <w:tcW w:w="709" w:type="dxa"/>
            <w:tcBorders>
              <w:top w:val="single" w:color="auto" w:sz="6" w:space="0"/>
              <w:left w:val="single" w:color="auto" w:sz="6" w:space="0"/>
              <w:bottom w:val="single" w:color="auto" w:sz="4" w:space="0"/>
              <w:right w:val="single" w:color="auto" w:sz="6" w:space="0"/>
            </w:tcBorders>
            <w:vAlign w:val="center"/>
          </w:tcPr>
          <w:p w14:paraId="2B13843A">
            <w:pPr>
              <w:adjustRightInd w:val="0"/>
              <w:snapToGrid w:val="0"/>
              <w:spacing w:line="400" w:lineRule="exact"/>
              <w:jc w:val="center"/>
              <w:rPr>
                <w:rFonts w:hint="eastAsia" w:ascii="宋体" w:hAnsi="宋体"/>
                <w:szCs w:val="24"/>
              </w:rPr>
            </w:pPr>
            <w:r>
              <w:rPr>
                <w:rFonts w:hint="eastAsia" w:ascii="宋体" w:hAnsi="宋体"/>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26C4765F">
            <w:pPr>
              <w:snapToGrid w:val="0"/>
              <w:spacing w:line="340" w:lineRule="exact"/>
              <w:ind w:leftChars="-1" w:hanging="2" w:hangingChars="1"/>
              <w:rPr>
                <w:rFonts w:hint="eastAsia" w:ascii="宋体" w:hAnsi="宋体"/>
                <w:sz w:val="22"/>
              </w:rPr>
            </w:pPr>
            <w:r>
              <w:rPr>
                <w:rFonts w:hint="eastAsia" w:ascii="宋体" w:hAnsi="宋体"/>
                <w:sz w:val="22"/>
              </w:rPr>
              <w:t>工程师；</w:t>
            </w:r>
          </w:p>
          <w:p w14:paraId="59FDD10F">
            <w:pPr>
              <w:snapToGrid w:val="0"/>
              <w:spacing w:line="340" w:lineRule="exact"/>
              <w:ind w:leftChars="-1" w:hanging="2" w:hangingChars="1"/>
              <w:rPr>
                <w:rFonts w:hint="eastAsia" w:ascii="宋体" w:hAnsi="宋体"/>
                <w:sz w:val="22"/>
              </w:rPr>
            </w:pPr>
            <w:r>
              <w:rPr>
                <w:rFonts w:hint="eastAsia" w:ascii="宋体" w:hAnsi="宋体"/>
                <w:sz w:val="22"/>
              </w:rPr>
              <w:t>具有“公路工程或机电工程”专业的“一级建造师注册证书”，建造师注册证书的注册单位须与投标人单位名称一致；</w:t>
            </w:r>
          </w:p>
          <w:p w14:paraId="794A0F47">
            <w:pPr>
              <w:snapToGrid w:val="0"/>
              <w:spacing w:line="340" w:lineRule="exact"/>
              <w:ind w:leftChars="-1" w:hanging="2" w:hangingChars="1"/>
              <w:rPr>
                <w:rFonts w:hint="eastAsia" w:ascii="宋体" w:hAnsi="宋体"/>
                <w:sz w:val="22"/>
              </w:rPr>
            </w:pPr>
            <w:r>
              <w:rPr>
                <w:rFonts w:hint="eastAsia" w:ascii="宋体" w:hAnsi="宋体"/>
                <w:sz w:val="22"/>
              </w:rPr>
              <w:t>具有交通运输行政主管部门颁发的有效的《安全生产考核合格证书》（B类），安全生产考核合格证书的登记单位须与投标人单位名称一致；</w:t>
            </w:r>
          </w:p>
          <w:p w14:paraId="2939070A">
            <w:pPr>
              <w:snapToGrid w:val="0"/>
              <w:spacing w:line="340" w:lineRule="exact"/>
              <w:ind w:leftChars="-1" w:hanging="2" w:hangingChars="1"/>
              <w:rPr>
                <w:rFonts w:hint="eastAsia" w:ascii="宋体" w:hAnsi="宋体"/>
                <w:sz w:val="22"/>
              </w:rPr>
            </w:pPr>
            <w:r>
              <w:rPr>
                <w:rFonts w:hint="eastAsia" w:ascii="宋体" w:hAnsi="宋体"/>
                <w:sz w:val="22"/>
              </w:rPr>
              <w:t>近5年（2020年3月1日至投标截止时间，以工程交工日期为准）担任过1项高速公路（新建或改扩建或养护）机电工程施工项目（须包含照明系统）的项目经理（或项目副经理或项目总工）。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vAlign w:val="center"/>
          </w:tcPr>
          <w:p w14:paraId="0BCFC202">
            <w:pPr>
              <w:snapToGrid w:val="0"/>
              <w:spacing w:line="340" w:lineRule="exact"/>
              <w:ind w:leftChars="-1" w:hanging="2" w:hangingChars="1"/>
              <w:rPr>
                <w:rFonts w:hint="eastAsia" w:ascii="宋体" w:hAnsi="宋体"/>
                <w:szCs w:val="24"/>
              </w:rPr>
            </w:pPr>
            <w:r>
              <w:rPr>
                <w:rFonts w:hint="eastAsia" w:ascii="宋体" w:hAnsi="宋体"/>
                <w:sz w:val="22"/>
              </w:rPr>
              <w:t>目前未在其他项目上任职，或虽在其他项目上任职但本项目中标后能够从该项目撤离</w:t>
            </w:r>
          </w:p>
        </w:tc>
      </w:tr>
      <w:tr w14:paraId="36D489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447CFF2C">
            <w:pPr>
              <w:spacing w:line="400" w:lineRule="exact"/>
              <w:jc w:val="center"/>
              <w:rPr>
                <w:rFonts w:hint="eastAsia" w:ascii="宋体" w:hAnsi="宋体"/>
                <w:szCs w:val="24"/>
              </w:rPr>
            </w:pPr>
            <w:r>
              <w:rPr>
                <w:rFonts w:hint="eastAsia" w:ascii="宋体" w:hAnsi="宋体"/>
                <w:szCs w:val="24"/>
              </w:rPr>
              <w:t>项目总工</w:t>
            </w:r>
          </w:p>
        </w:tc>
        <w:tc>
          <w:tcPr>
            <w:tcW w:w="709" w:type="dxa"/>
            <w:tcBorders>
              <w:top w:val="single" w:color="auto" w:sz="6" w:space="0"/>
              <w:left w:val="single" w:color="auto" w:sz="6" w:space="0"/>
              <w:bottom w:val="single" w:color="auto" w:sz="4" w:space="0"/>
              <w:right w:val="single" w:color="auto" w:sz="6" w:space="0"/>
            </w:tcBorders>
            <w:vAlign w:val="center"/>
          </w:tcPr>
          <w:p w14:paraId="0A561CB2">
            <w:pPr>
              <w:spacing w:line="400" w:lineRule="exact"/>
              <w:jc w:val="center"/>
              <w:rPr>
                <w:rFonts w:hint="eastAsia" w:ascii="宋体" w:hAnsi="宋体"/>
                <w:szCs w:val="24"/>
              </w:rPr>
            </w:pPr>
            <w:r>
              <w:rPr>
                <w:rFonts w:hint="eastAsia" w:ascii="宋体" w:hAnsi="宋体"/>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249786BF">
            <w:pPr>
              <w:snapToGrid w:val="0"/>
              <w:spacing w:line="340" w:lineRule="exact"/>
              <w:ind w:leftChars="-1" w:hanging="2" w:hangingChars="1"/>
              <w:rPr>
                <w:rFonts w:hint="eastAsia" w:ascii="宋体" w:hAnsi="宋体"/>
                <w:sz w:val="22"/>
              </w:rPr>
            </w:pPr>
            <w:r>
              <w:rPr>
                <w:rFonts w:hint="eastAsia" w:ascii="宋体" w:hAnsi="宋体"/>
                <w:sz w:val="22"/>
              </w:rPr>
              <w:t>高级工程师；</w:t>
            </w:r>
          </w:p>
          <w:p w14:paraId="64191C0F">
            <w:pPr>
              <w:snapToGrid w:val="0"/>
              <w:spacing w:line="340" w:lineRule="exact"/>
              <w:ind w:leftChars="-1" w:hanging="2" w:hangingChars="1"/>
              <w:rPr>
                <w:rFonts w:hint="eastAsia" w:ascii="宋体" w:hAnsi="宋体"/>
                <w:strike/>
                <w:sz w:val="22"/>
              </w:rPr>
            </w:pPr>
            <w:r>
              <w:rPr>
                <w:rFonts w:hint="eastAsia" w:ascii="宋体" w:hAnsi="宋体"/>
                <w:sz w:val="22"/>
              </w:rPr>
              <w:t>近5年（2020年3月1日至投标截止时间，以工程交工日期为准）担任过1项高速公路（新建或改扩建或养护）机电工程施工项目（须包含照明系统）的项目总工（或项目副总工）。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vAlign w:val="center"/>
          </w:tcPr>
          <w:p w14:paraId="32566103">
            <w:pPr>
              <w:widowControl/>
              <w:jc w:val="left"/>
              <w:rPr>
                <w:rFonts w:hint="eastAsia" w:ascii="宋体" w:hAnsi="宋体"/>
                <w:szCs w:val="21"/>
              </w:rPr>
            </w:pPr>
          </w:p>
        </w:tc>
      </w:tr>
      <w:tr w14:paraId="160DA00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603" w:type="dxa"/>
            <w:tcBorders>
              <w:top w:val="single" w:color="auto" w:sz="6" w:space="0"/>
              <w:left w:val="single" w:color="auto" w:sz="2" w:space="0"/>
              <w:bottom w:val="single" w:color="auto" w:sz="2" w:space="0"/>
              <w:right w:val="single" w:color="auto" w:sz="6" w:space="0"/>
            </w:tcBorders>
            <w:vAlign w:val="center"/>
          </w:tcPr>
          <w:p w14:paraId="12B3A186">
            <w:pPr>
              <w:spacing w:line="400" w:lineRule="exact"/>
              <w:jc w:val="center"/>
              <w:rPr>
                <w:rFonts w:hint="eastAsia" w:ascii="宋体" w:hAnsi="宋体"/>
                <w:szCs w:val="24"/>
              </w:rPr>
            </w:pPr>
            <w:r>
              <w:rPr>
                <w:rFonts w:hint="eastAsia" w:ascii="宋体" w:hAnsi="宋体"/>
                <w:szCs w:val="24"/>
              </w:rPr>
              <w:t>设计负责人</w:t>
            </w:r>
          </w:p>
        </w:tc>
        <w:tc>
          <w:tcPr>
            <w:tcW w:w="709" w:type="dxa"/>
            <w:tcBorders>
              <w:top w:val="single" w:color="auto" w:sz="6" w:space="0"/>
              <w:left w:val="single" w:color="auto" w:sz="6" w:space="0"/>
              <w:bottom w:val="single" w:color="auto" w:sz="2" w:space="0"/>
              <w:right w:val="single" w:color="auto" w:sz="6" w:space="0"/>
            </w:tcBorders>
            <w:vAlign w:val="center"/>
          </w:tcPr>
          <w:p w14:paraId="10485112">
            <w:pPr>
              <w:spacing w:line="400" w:lineRule="exact"/>
              <w:jc w:val="center"/>
              <w:rPr>
                <w:rFonts w:hint="eastAsia" w:ascii="宋体" w:hAnsi="宋体"/>
                <w:szCs w:val="24"/>
              </w:rPr>
            </w:pPr>
            <w:r>
              <w:rPr>
                <w:rFonts w:hint="eastAsia" w:ascii="宋体" w:hAnsi="宋体"/>
                <w:szCs w:val="24"/>
              </w:rPr>
              <w:t>1</w:t>
            </w:r>
          </w:p>
        </w:tc>
        <w:tc>
          <w:tcPr>
            <w:tcW w:w="5390" w:type="dxa"/>
            <w:tcBorders>
              <w:top w:val="single" w:color="auto" w:sz="6" w:space="0"/>
              <w:left w:val="single" w:color="auto" w:sz="6" w:space="0"/>
              <w:bottom w:val="single" w:color="auto" w:sz="2" w:space="0"/>
              <w:right w:val="single" w:color="auto" w:sz="6" w:space="0"/>
            </w:tcBorders>
            <w:vAlign w:val="center"/>
          </w:tcPr>
          <w:p w14:paraId="415AECA4">
            <w:pPr>
              <w:snapToGrid w:val="0"/>
              <w:spacing w:line="340" w:lineRule="exact"/>
              <w:ind w:leftChars="-1" w:hanging="2" w:hangingChars="1"/>
              <w:rPr>
                <w:rFonts w:hint="eastAsia" w:ascii="宋体" w:hAnsi="宋体"/>
                <w:sz w:val="22"/>
              </w:rPr>
            </w:pPr>
            <w:r>
              <w:rPr>
                <w:rFonts w:hint="eastAsia" w:ascii="宋体" w:hAnsi="宋体"/>
                <w:sz w:val="22"/>
              </w:rPr>
              <w:t>高级工程师；</w:t>
            </w:r>
          </w:p>
          <w:p w14:paraId="583525E5">
            <w:pPr>
              <w:snapToGrid w:val="0"/>
              <w:spacing w:line="340" w:lineRule="exact"/>
              <w:ind w:leftChars="-1" w:hanging="2" w:hangingChars="1"/>
              <w:rPr>
                <w:szCs w:val="24"/>
              </w:rPr>
            </w:pPr>
            <w:r>
              <w:rPr>
                <w:rFonts w:hint="eastAsia" w:ascii="宋体" w:hAnsi="宋体"/>
                <w:sz w:val="22"/>
              </w:rPr>
              <w:t>近5年（2020年3月1日至投标截止时间，以施工图批复日期为准)担任过1项高速公路（新建或改扩建或养护）机电工程的设计项目（须包含照明系统）的项目负责人或设计负责人。</w:t>
            </w:r>
          </w:p>
        </w:tc>
        <w:tc>
          <w:tcPr>
            <w:tcW w:w="1670" w:type="dxa"/>
            <w:tcBorders>
              <w:top w:val="single" w:color="auto" w:sz="4" w:space="0"/>
              <w:left w:val="single" w:color="auto" w:sz="6" w:space="0"/>
              <w:bottom w:val="single" w:color="auto" w:sz="2" w:space="0"/>
              <w:right w:val="single" w:color="auto" w:sz="2" w:space="0"/>
            </w:tcBorders>
            <w:vAlign w:val="center"/>
          </w:tcPr>
          <w:p w14:paraId="09FBA5A0">
            <w:pPr>
              <w:snapToGrid w:val="0"/>
              <w:spacing w:line="340" w:lineRule="exact"/>
              <w:ind w:leftChars="-1" w:hanging="2" w:hangingChars="1"/>
              <w:jc w:val="center"/>
              <w:rPr>
                <w:rFonts w:hint="eastAsia" w:ascii="宋体" w:hAnsi="宋体"/>
                <w:szCs w:val="24"/>
              </w:rPr>
            </w:pPr>
            <w:r>
              <w:rPr>
                <w:rFonts w:hint="eastAsia" w:ascii="宋体" w:hAnsi="宋体"/>
                <w:sz w:val="22"/>
              </w:rPr>
              <w:t>无</w:t>
            </w:r>
          </w:p>
        </w:tc>
      </w:tr>
      <w:bookmarkEnd w:id="2"/>
    </w:tbl>
    <w:p w14:paraId="23C0E929">
      <w:pPr>
        <w:spacing w:after="120"/>
        <w:rPr>
          <w:szCs w:val="24"/>
        </w:rPr>
      </w:pPr>
      <w:r>
        <w:rPr>
          <w:szCs w:val="24"/>
        </w:rPr>
        <w:br w:type="page"/>
      </w:r>
    </w:p>
    <w:p w14:paraId="3ABDA1B6">
      <w:pPr>
        <w:tabs>
          <w:tab w:val="left" w:pos="0"/>
        </w:tabs>
        <w:spacing w:line="360" w:lineRule="auto"/>
        <w:rPr>
          <w:b/>
          <w:bCs/>
          <w:sz w:val="28"/>
          <w:szCs w:val="28"/>
          <w:lang w:bidi="ar"/>
        </w:rPr>
      </w:pPr>
      <w:bookmarkStart w:id="5" w:name="_Toc6205"/>
      <w:bookmarkStart w:id="6" w:name="_Toc32256"/>
      <w:bookmarkStart w:id="7" w:name="_Toc172307956"/>
      <w:bookmarkStart w:id="8" w:name="_Toc148447635"/>
      <w:r>
        <w:rPr>
          <w:rFonts w:hint="eastAsia"/>
          <w:b/>
          <w:bCs/>
          <w:sz w:val="28"/>
          <w:szCs w:val="28"/>
          <w:lang w:bidi="ar"/>
        </w:rPr>
        <w:t>附件2：随机确定评标基准价计算方法的规则与程序</w:t>
      </w:r>
      <w:bookmarkEnd w:id="5"/>
      <w:bookmarkEnd w:id="6"/>
      <w:bookmarkEnd w:id="7"/>
    </w:p>
    <w:p w14:paraId="17F19877">
      <w:pPr>
        <w:adjustRightInd w:val="0"/>
        <w:snapToGrid w:val="0"/>
        <w:spacing w:line="360" w:lineRule="auto"/>
        <w:jc w:val="left"/>
        <w:rPr>
          <w:rFonts w:hint="eastAsia" w:ascii="宋体" w:hAnsi="宋体"/>
          <w:b/>
          <w:szCs w:val="24"/>
        </w:rPr>
      </w:pPr>
      <w:r>
        <w:rPr>
          <w:rFonts w:hint="eastAsia" w:ascii="宋体" w:hAnsi="宋体"/>
          <w:b/>
          <w:szCs w:val="24"/>
        </w:rPr>
        <w:t>一、随机抽取规则</w:t>
      </w:r>
    </w:p>
    <w:p w14:paraId="2A72BC70">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参与随机确定评标基准价计算方法的各方当事人（以下简称“各方”）应当严格遵守以下规则：</w:t>
      </w:r>
    </w:p>
    <w:p w14:paraId="0EB3D8CD">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（一）各方必须严格遵守公开、公平、公正和诚实信用原则；</w:t>
      </w:r>
    </w:p>
    <w:p w14:paraId="2490E839">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（二）确定随机确定评标基准价计算方法的活动在招标人的主持下进行，招标人做好影像记录，并存档备查；</w:t>
      </w:r>
    </w:p>
    <w:p w14:paraId="66298B93">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（三）用于随机抽取的器具由招标人提供；</w:t>
      </w:r>
    </w:p>
    <w:p w14:paraId="62DC816F">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（四）各方必须严格遵守现场纪律，确保随机抽取活动有序进行；</w:t>
      </w:r>
    </w:p>
    <w:p w14:paraId="405E62E7">
      <w:pPr>
        <w:adjustRightInd w:val="0"/>
        <w:snapToGrid w:val="0"/>
        <w:spacing w:line="360" w:lineRule="auto"/>
        <w:ind w:firstLine="420" w:firstLineChars="200"/>
        <w:jc w:val="left"/>
        <w:rPr>
          <w:rFonts w:hint="eastAsia" w:ascii="宋体" w:hAnsi="宋体"/>
          <w:szCs w:val="24"/>
        </w:rPr>
      </w:pPr>
      <w:r>
        <w:rPr>
          <w:rFonts w:hint="eastAsia" w:ascii="宋体" w:hAnsi="宋体"/>
          <w:szCs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0005211F">
      <w:pPr>
        <w:adjustRightInd w:val="0"/>
        <w:spacing w:line="360" w:lineRule="auto"/>
        <w:jc w:val="left"/>
        <w:outlineLvl w:val="2"/>
        <w:rPr>
          <w:rFonts w:hint="eastAsia" w:ascii="宋体" w:hAnsi="宋体"/>
          <w:b/>
          <w:szCs w:val="24"/>
        </w:rPr>
      </w:pPr>
      <w:bookmarkStart w:id="9" w:name="_Toc178513970"/>
      <w:r>
        <w:rPr>
          <w:rFonts w:hint="eastAsia" w:ascii="宋体" w:hAnsi="宋体"/>
          <w:b/>
          <w:szCs w:val="24"/>
        </w:rPr>
        <w:t>二、随机抽取确定评标基准价计算方法的程序</w:t>
      </w:r>
      <w:bookmarkEnd w:id="9"/>
    </w:p>
    <w:p w14:paraId="5FD456A3">
      <w:pPr>
        <w:adjustRightInd w:val="0"/>
        <w:spacing w:line="360" w:lineRule="auto"/>
        <w:ind w:firstLine="420" w:firstLineChars="200"/>
        <w:jc w:val="left"/>
        <w:rPr>
          <w:rFonts w:hint="eastAsia" w:ascii="宋体" w:hAnsi="宋体"/>
          <w:bCs/>
          <w:szCs w:val="24"/>
        </w:rPr>
      </w:pPr>
      <w:r>
        <w:rPr>
          <w:rFonts w:hint="eastAsia" w:ascii="宋体" w:hAnsi="宋体"/>
          <w:bCs/>
          <w:szCs w:val="24"/>
        </w:rPr>
        <w:t>（一）确定随机抽取代码球</w:t>
      </w:r>
    </w:p>
    <w:p w14:paraId="700C83C7">
      <w:pPr>
        <w:adjustRightInd w:val="0"/>
        <w:spacing w:line="360" w:lineRule="auto"/>
        <w:ind w:firstLine="420" w:firstLineChars="200"/>
        <w:jc w:val="left"/>
        <w:rPr>
          <w:rFonts w:hint="eastAsia" w:ascii="宋体" w:hAnsi="宋体"/>
          <w:bCs/>
          <w:szCs w:val="24"/>
        </w:rPr>
      </w:pPr>
      <w:r>
        <w:rPr>
          <w:rFonts w:hint="eastAsia" w:ascii="宋体" w:hAnsi="宋体"/>
          <w:bCs/>
          <w:szCs w:val="24"/>
        </w:rPr>
        <w:t>用抽取器具随机确定抽取代码球一套，作为本次随机抽取确定评标基准价计算方法的代码球。</w:t>
      </w:r>
    </w:p>
    <w:p w14:paraId="2B286BD2">
      <w:pPr>
        <w:adjustRightInd w:val="0"/>
        <w:spacing w:line="360" w:lineRule="auto"/>
        <w:ind w:firstLine="420" w:firstLineChars="200"/>
        <w:jc w:val="left"/>
        <w:rPr>
          <w:rFonts w:hint="eastAsia" w:ascii="宋体" w:hAnsi="宋体"/>
          <w:bCs/>
          <w:szCs w:val="24"/>
        </w:rPr>
      </w:pPr>
      <w:r>
        <w:rPr>
          <w:rFonts w:hint="eastAsia" w:ascii="宋体" w:hAnsi="宋体"/>
          <w:bCs/>
          <w:szCs w:val="24"/>
        </w:rPr>
        <w:t>（二）本次招标共设置三种评标基准价计算方法（详见评标办法和）。</w:t>
      </w:r>
    </w:p>
    <w:p w14:paraId="48BD1AF3">
      <w:pPr>
        <w:adjustRightInd w:val="0"/>
        <w:spacing w:line="360" w:lineRule="auto"/>
        <w:ind w:firstLine="420" w:firstLineChars="200"/>
        <w:jc w:val="left"/>
        <w:rPr>
          <w:rFonts w:hint="eastAsia" w:ascii="宋体" w:hAnsi="宋体"/>
          <w:bCs/>
          <w:szCs w:val="24"/>
        </w:rPr>
      </w:pPr>
      <w:r>
        <w:rPr>
          <w:rFonts w:hint="eastAsia" w:ascii="宋体" w:hAnsi="宋体"/>
          <w:bCs/>
          <w:szCs w:val="24"/>
        </w:rPr>
        <w:t>确定评标基准价计算方法的编号及代码球，1号球代表评标基准价计算方法1；2号球代表评标基准价计算方法2；3号球代表评标基准价计算方法3。</w:t>
      </w:r>
    </w:p>
    <w:p w14:paraId="19BFB6F1">
      <w:pPr>
        <w:adjustRightInd w:val="0"/>
        <w:spacing w:line="360" w:lineRule="auto"/>
        <w:ind w:firstLine="420" w:firstLineChars="200"/>
        <w:jc w:val="left"/>
        <w:rPr>
          <w:rFonts w:hint="eastAsia" w:ascii="宋体" w:hAnsi="宋体"/>
          <w:bCs/>
          <w:szCs w:val="24"/>
        </w:rPr>
      </w:pPr>
      <w:r>
        <w:rPr>
          <w:rFonts w:hint="eastAsia" w:ascii="宋体" w:hAnsi="宋体"/>
          <w:bCs/>
          <w:szCs w:val="24"/>
        </w:rPr>
        <w:t>（三）在投标文件第一信封（商务及技术文件）开标现场，将编号1、2、3代码球全部放入随机抽取器具中，由抽取器具随机抽取产生本次招标评标基准价计算方法。</w:t>
      </w:r>
    </w:p>
    <w:p w14:paraId="6ADA0D25">
      <w:pPr>
        <w:adjustRightInd w:val="0"/>
        <w:spacing w:line="360" w:lineRule="auto"/>
        <w:ind w:firstLine="420" w:firstLineChars="200"/>
        <w:jc w:val="left"/>
        <w:rPr>
          <w:rFonts w:hint="eastAsia" w:ascii="宋体" w:hAnsi="宋体"/>
          <w:szCs w:val="24"/>
        </w:rPr>
      </w:pPr>
      <w:r>
        <w:rPr>
          <w:rFonts w:hint="eastAsia" w:ascii="宋体" w:hAnsi="宋体"/>
          <w:bCs/>
          <w:szCs w:val="24"/>
        </w:rPr>
        <w:t>（四）确定评标基准价计算方法需要的系数（如有）</w:t>
      </w:r>
    </w:p>
    <w:p w14:paraId="4A373D3A">
      <w:pPr>
        <w:snapToGrid w:val="0"/>
        <w:spacing w:line="360" w:lineRule="auto"/>
        <w:ind w:firstLine="480"/>
        <w:textAlignment w:val="baseline"/>
        <w:rPr>
          <w:rFonts w:hint="eastAsia" w:ascii="宋体" w:hAnsi="宋体"/>
          <w:szCs w:val="24"/>
        </w:rPr>
      </w:pPr>
      <w:r>
        <w:rPr>
          <w:rFonts w:ascii="宋体" w:hAnsi="宋体"/>
          <w:szCs w:val="24"/>
        </w:rPr>
        <w:t>用抽取器具随机抽取评标基准价计算所需的参数K1、K2。</w:t>
      </w:r>
    </w:p>
    <w:p w14:paraId="4434AC6B">
      <w:pPr>
        <w:snapToGrid w:val="0"/>
        <w:spacing w:line="360" w:lineRule="auto"/>
        <w:ind w:firstLine="480"/>
        <w:textAlignment w:val="baseline"/>
        <w:rPr>
          <w:rFonts w:hint="eastAsia" w:ascii="宋体" w:hAnsi="宋体"/>
          <w:szCs w:val="24"/>
        </w:rPr>
      </w:pPr>
      <w:r>
        <w:rPr>
          <w:rFonts w:ascii="宋体" w:hAnsi="宋体"/>
          <w:szCs w:val="24"/>
        </w:rPr>
        <w:t>1、如果抽取的评标基准价计算方法为方法1，则需要抽取评标基准价系数K1。</w:t>
      </w:r>
    </w:p>
    <w:p w14:paraId="33C75040">
      <w:pPr>
        <w:snapToGrid w:val="0"/>
        <w:spacing w:line="360" w:lineRule="auto"/>
        <w:ind w:firstLine="480"/>
        <w:textAlignment w:val="baseline"/>
        <w:rPr>
          <w:rFonts w:hint="eastAsia" w:ascii="宋体" w:hAnsi="宋体"/>
          <w:szCs w:val="24"/>
        </w:rPr>
      </w:pPr>
      <w:r>
        <w:rPr>
          <w:rFonts w:ascii="宋体" w:hAnsi="宋体"/>
          <w:szCs w:val="24"/>
        </w:rPr>
        <w:t>K1取值范围为0.980、0.985、0.990、0.995、1.000。将编号为1～5的代码球放入抽取器具，由抽取器具随机抽取1个代码球，1号球代表K1值为0.980；2号球代表K1值为0.985；3号球代表K1值为0.990；4号球代表K1值为0.995；5号球代表K1值为1.000。</w:t>
      </w:r>
    </w:p>
    <w:p w14:paraId="005E76C1">
      <w:pPr>
        <w:snapToGrid w:val="0"/>
        <w:spacing w:line="360" w:lineRule="auto"/>
        <w:ind w:firstLine="480"/>
        <w:textAlignment w:val="baseline"/>
        <w:rPr>
          <w:rFonts w:hint="eastAsia" w:ascii="宋体" w:hAnsi="宋体"/>
          <w:szCs w:val="24"/>
        </w:rPr>
      </w:pPr>
      <w:r>
        <w:rPr>
          <w:rFonts w:ascii="宋体" w:hAnsi="宋体"/>
          <w:szCs w:val="24"/>
        </w:rPr>
        <w:t>2、如果抽取的评标基准价计算方法为方法2，则需要抽取评标基准价系数K2。</w:t>
      </w:r>
    </w:p>
    <w:p w14:paraId="42FE72E0">
      <w:pPr>
        <w:snapToGrid w:val="0"/>
        <w:spacing w:line="360" w:lineRule="auto"/>
        <w:ind w:firstLine="480"/>
        <w:textAlignment w:val="baseline"/>
        <w:rPr>
          <w:rFonts w:hint="eastAsia" w:ascii="宋体" w:hAnsi="宋体"/>
          <w:szCs w:val="24"/>
        </w:rPr>
      </w:pPr>
      <w:r>
        <w:rPr>
          <w:rFonts w:ascii="宋体" w:hAnsi="宋体"/>
          <w:szCs w:val="24"/>
        </w:rPr>
        <w:t>K2取值范围为0.10、0.15、0.20、0.25、0.30。将编号为1～5的代码球放入抽取器具，由抽取器具随机抽取1个代码球，1号球代表K2值为0.10；2号球代表K2值为0.15；3号球代表K2值为0.20；4号球代表K2值为0.25；5号球代表K2值为0.30。</w:t>
      </w:r>
    </w:p>
    <w:p w14:paraId="3689CE06">
      <w:pPr>
        <w:snapToGrid w:val="0"/>
        <w:spacing w:line="360" w:lineRule="auto"/>
        <w:ind w:firstLine="480"/>
        <w:textAlignment w:val="baseline"/>
        <w:rPr>
          <w:rFonts w:hint="eastAsia" w:ascii="宋体" w:hAnsi="宋体"/>
          <w:szCs w:val="24"/>
        </w:rPr>
      </w:pPr>
      <w:r>
        <w:rPr>
          <w:rFonts w:ascii="宋体" w:hAnsi="宋体"/>
          <w:szCs w:val="24"/>
        </w:rPr>
        <w:t>3、如果抽取的评标基准价计算方法为方法3，则不需要抽取系数。</w:t>
      </w:r>
    </w:p>
    <w:p w14:paraId="5FB18B74">
      <w:pPr>
        <w:adjustRightInd w:val="0"/>
        <w:spacing w:line="360" w:lineRule="auto"/>
        <w:ind w:firstLine="420" w:firstLineChars="200"/>
        <w:jc w:val="left"/>
        <w:rPr>
          <w:rFonts w:hint="eastAsia" w:ascii="宋体" w:hAnsi="宋体"/>
          <w:bCs/>
          <w:szCs w:val="24"/>
        </w:rPr>
      </w:pPr>
      <w:r>
        <w:rPr>
          <w:rFonts w:hint="eastAsia" w:ascii="宋体" w:hAnsi="宋体"/>
          <w:bCs/>
          <w:szCs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393FC1B9">
      <w:pPr>
        <w:adjustRightInd w:val="0"/>
        <w:spacing w:line="360" w:lineRule="auto"/>
        <w:jc w:val="left"/>
        <w:outlineLvl w:val="2"/>
        <w:rPr>
          <w:rFonts w:hint="eastAsia" w:ascii="宋体" w:hAnsi="宋体"/>
          <w:b/>
          <w:szCs w:val="24"/>
        </w:rPr>
      </w:pPr>
      <w:bookmarkStart w:id="10" w:name="_Toc18909"/>
      <w:bookmarkStart w:id="11" w:name="_Toc178513971"/>
      <w:r>
        <w:rPr>
          <w:rFonts w:hint="eastAsia" w:ascii="宋体" w:hAnsi="宋体"/>
          <w:b/>
          <w:szCs w:val="24"/>
        </w:rPr>
        <w:t>三、随机抽取结果的确认</w:t>
      </w:r>
      <w:bookmarkEnd w:id="10"/>
      <w:bookmarkEnd w:id="11"/>
    </w:p>
    <w:p w14:paraId="5DF7B537">
      <w:pPr>
        <w:adjustRightInd w:val="0"/>
        <w:spacing w:line="360" w:lineRule="auto"/>
        <w:ind w:firstLine="420" w:firstLineChars="200"/>
        <w:jc w:val="left"/>
        <w:rPr>
          <w:rFonts w:hint="eastAsia" w:ascii="宋体" w:hAnsi="宋体"/>
          <w:bCs/>
          <w:szCs w:val="24"/>
        </w:rPr>
      </w:pPr>
      <w:r>
        <w:rPr>
          <w:rFonts w:hint="eastAsia" w:ascii="宋体" w:hAnsi="宋体"/>
          <w:bCs/>
          <w:szCs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02EFE51D">
      <w:pPr>
        <w:widowControl/>
        <w:jc w:val="left"/>
        <w:rPr>
          <w:rFonts w:hint="eastAsia" w:ascii="黑体" w:hAnsi="黑体" w:eastAsia="黑体"/>
          <w:sz w:val="26"/>
          <w:szCs w:val="26"/>
        </w:rPr>
      </w:pPr>
      <w:r>
        <w:rPr>
          <w:rFonts w:hint="eastAsia" w:ascii="黑体" w:hAnsi="黑体"/>
          <w:b/>
          <w:bCs/>
          <w:sz w:val="26"/>
          <w:szCs w:val="26"/>
        </w:rPr>
        <w:br w:type="page"/>
      </w:r>
    </w:p>
    <w:p w14:paraId="48352CC0">
      <w:pPr>
        <w:tabs>
          <w:tab w:val="left" w:pos="0"/>
        </w:tabs>
        <w:spacing w:line="360" w:lineRule="auto"/>
        <w:rPr>
          <w:b/>
          <w:bCs/>
          <w:sz w:val="28"/>
          <w:szCs w:val="28"/>
          <w:lang w:bidi="ar"/>
        </w:rPr>
      </w:pPr>
      <w:r>
        <w:rPr>
          <w:rFonts w:hint="eastAsia"/>
          <w:b/>
          <w:bCs/>
          <w:sz w:val="28"/>
          <w:szCs w:val="28"/>
          <w:lang w:bidi="ar"/>
        </w:rPr>
        <w:t>附件3：评标办法</w:t>
      </w:r>
      <w:bookmarkEnd w:id="8"/>
    </w:p>
    <w:p w14:paraId="3B02A9D4">
      <w:pPr>
        <w:spacing w:after="120" w:line="360" w:lineRule="auto"/>
        <w:jc w:val="center"/>
        <w:rPr>
          <w:rFonts w:hint="eastAsia" w:ascii="宋体" w:hAnsi="宋体"/>
          <w:b/>
          <w:sz w:val="28"/>
          <w:szCs w:val="28"/>
        </w:rPr>
      </w:pPr>
      <w:r>
        <w:rPr>
          <w:rFonts w:hint="eastAsia" w:ascii="宋体" w:hAnsi="宋体"/>
          <w:b/>
          <w:sz w:val="28"/>
          <w:szCs w:val="28"/>
        </w:rPr>
        <w:t>评标办法（综合评估法）</w:t>
      </w:r>
    </w:p>
    <w:p w14:paraId="7039FFF5">
      <w:pPr>
        <w:snapToGrid w:val="0"/>
        <w:rPr>
          <w:rFonts w:hint="eastAsia" w:ascii="宋体" w:hAnsi="宋体"/>
          <w:b/>
          <w:szCs w:val="24"/>
        </w:rPr>
      </w:pPr>
      <w:r>
        <w:rPr>
          <w:rFonts w:ascii="宋体" w:hAnsi="宋体"/>
          <w:b/>
          <w:szCs w:val="24"/>
        </w:rPr>
        <w:t>评标办法前附表</w:t>
      </w:r>
    </w:p>
    <w:tbl>
      <w:tblPr>
        <w:tblStyle w:val="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0C02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14:paraId="7C1D40F4">
            <w:pPr>
              <w:jc w:val="center"/>
              <w:rPr>
                <w:rFonts w:hint="eastAsia" w:ascii="宋体" w:hAnsi="宋体" w:cs="宋体"/>
                <w:b/>
                <w:szCs w:val="21"/>
              </w:rPr>
            </w:pPr>
            <w:r>
              <w:rPr>
                <w:rFonts w:hint="eastAsia" w:ascii="宋体" w:hAnsi="宋体" w:cs="宋体"/>
                <w:b/>
                <w:szCs w:val="21"/>
              </w:rPr>
              <w:t>条款号</w:t>
            </w:r>
          </w:p>
        </w:tc>
        <w:tc>
          <w:tcPr>
            <w:tcW w:w="1246" w:type="dxa"/>
            <w:vAlign w:val="center"/>
          </w:tcPr>
          <w:p w14:paraId="0951C0A9">
            <w:pPr>
              <w:jc w:val="center"/>
              <w:rPr>
                <w:rFonts w:hint="eastAsia" w:ascii="宋体" w:hAnsi="宋体" w:cs="宋体"/>
                <w:b/>
                <w:szCs w:val="21"/>
              </w:rPr>
            </w:pPr>
            <w:r>
              <w:rPr>
                <w:rFonts w:hint="eastAsia" w:ascii="宋体" w:hAnsi="宋体" w:cs="宋体"/>
                <w:b/>
                <w:szCs w:val="21"/>
              </w:rPr>
              <w:t>条款名称</w:t>
            </w:r>
          </w:p>
        </w:tc>
        <w:tc>
          <w:tcPr>
            <w:tcW w:w="7106" w:type="dxa"/>
            <w:vAlign w:val="center"/>
          </w:tcPr>
          <w:p w14:paraId="2058DC27">
            <w:pPr>
              <w:jc w:val="center"/>
              <w:rPr>
                <w:rFonts w:hint="eastAsia" w:ascii="宋体" w:hAnsi="宋体" w:cs="宋体"/>
                <w:b/>
                <w:szCs w:val="21"/>
              </w:rPr>
            </w:pPr>
            <w:r>
              <w:rPr>
                <w:rFonts w:hint="eastAsia" w:ascii="宋体" w:hAnsi="宋体" w:cs="宋体"/>
                <w:b/>
                <w:szCs w:val="21"/>
              </w:rPr>
              <w:t>评审因素与评审标准</w:t>
            </w:r>
          </w:p>
        </w:tc>
      </w:tr>
      <w:tr w14:paraId="5941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57D9CDE9">
            <w:pPr>
              <w:jc w:val="center"/>
              <w:rPr>
                <w:rFonts w:hint="eastAsia" w:ascii="宋体" w:hAnsi="宋体" w:cs="宋体"/>
                <w:szCs w:val="21"/>
              </w:rPr>
            </w:pPr>
            <w:r>
              <w:rPr>
                <w:rFonts w:hint="eastAsia" w:ascii="宋体" w:hAnsi="宋体" w:cs="宋体"/>
                <w:szCs w:val="21"/>
              </w:rPr>
              <w:t>1</w:t>
            </w:r>
          </w:p>
        </w:tc>
        <w:tc>
          <w:tcPr>
            <w:tcW w:w="1246" w:type="dxa"/>
            <w:vAlign w:val="center"/>
          </w:tcPr>
          <w:p w14:paraId="59BD4F8A">
            <w:pPr>
              <w:jc w:val="center"/>
              <w:rPr>
                <w:rFonts w:hint="eastAsia" w:ascii="宋体" w:hAnsi="宋体" w:cs="宋体"/>
                <w:szCs w:val="21"/>
              </w:rPr>
            </w:pPr>
            <w:r>
              <w:rPr>
                <w:rFonts w:hint="eastAsia" w:ascii="宋体" w:hAnsi="宋体" w:cs="宋体"/>
                <w:szCs w:val="21"/>
              </w:rPr>
              <w:t>评标办法</w:t>
            </w:r>
          </w:p>
        </w:tc>
        <w:tc>
          <w:tcPr>
            <w:tcW w:w="7106" w:type="dxa"/>
            <w:vAlign w:val="center"/>
          </w:tcPr>
          <w:p w14:paraId="4EA1508D">
            <w:pPr>
              <w:spacing w:line="288" w:lineRule="auto"/>
              <w:ind w:firstLine="420" w:firstLineChars="200"/>
              <w:rPr>
                <w:rFonts w:hint="eastAsia" w:ascii="宋体" w:hAnsi="宋体"/>
                <w:szCs w:val="21"/>
              </w:rPr>
            </w:pPr>
            <w:r>
              <w:rPr>
                <w:rFonts w:hint="eastAsia" w:ascii="宋体" w:hAnsi="宋体"/>
                <w:szCs w:val="24"/>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szCs w:val="21"/>
              </w:rPr>
              <w:t>综合评分相等时，评标委员会依次按照以下优先顺序推荐中标候选人：</w:t>
            </w:r>
          </w:p>
          <w:p w14:paraId="1D9C0EE3">
            <w:pPr>
              <w:spacing w:line="288" w:lineRule="auto"/>
              <w:ind w:firstLine="117" w:firstLineChars="56"/>
              <w:rPr>
                <w:rFonts w:hint="eastAsia" w:ascii="宋体" w:hAnsi="宋体"/>
                <w:szCs w:val="21"/>
              </w:rPr>
            </w:pPr>
            <w:r>
              <w:rPr>
                <w:rFonts w:hint="eastAsia" w:ascii="宋体" w:hAnsi="宋体"/>
                <w:szCs w:val="21"/>
              </w:rPr>
              <w:t>（1）评标价低的投标人优先；</w:t>
            </w:r>
          </w:p>
          <w:p w14:paraId="06F3CFE4">
            <w:pPr>
              <w:spacing w:line="288" w:lineRule="auto"/>
              <w:ind w:firstLine="117" w:firstLineChars="56"/>
              <w:rPr>
                <w:szCs w:val="24"/>
              </w:rPr>
            </w:pPr>
            <w:r>
              <w:rPr>
                <w:rFonts w:hint="eastAsia" w:ascii="宋体" w:hAnsi="宋体"/>
                <w:szCs w:val="21"/>
              </w:rPr>
              <w:t>（2）承包人建议书和承包人实施方案合计得分较高的投标人优先；</w:t>
            </w:r>
          </w:p>
          <w:p w14:paraId="527B24DC">
            <w:pPr>
              <w:spacing w:line="288" w:lineRule="auto"/>
              <w:ind w:firstLine="117" w:firstLineChars="56"/>
              <w:rPr>
                <w:rFonts w:hint="eastAsia" w:ascii="宋体" w:hAnsi="宋体"/>
                <w:szCs w:val="24"/>
              </w:rPr>
            </w:pPr>
            <w:r>
              <w:rPr>
                <w:rFonts w:hint="eastAsia" w:ascii="宋体" w:hAnsi="宋体"/>
                <w:szCs w:val="21"/>
              </w:rPr>
              <w:t>（</w:t>
            </w:r>
            <w:r>
              <w:rPr>
                <w:rFonts w:ascii="宋体" w:hAnsi="宋体"/>
                <w:szCs w:val="21"/>
              </w:rPr>
              <w:t>3</w:t>
            </w:r>
            <w:r>
              <w:rPr>
                <w:rFonts w:hint="eastAsia" w:ascii="宋体" w:hAnsi="宋体"/>
                <w:szCs w:val="21"/>
              </w:rPr>
              <w:t>）满足资格审查条件(业绩最低要求)要求的施工业绩累计合同金额高的优先。</w:t>
            </w:r>
          </w:p>
        </w:tc>
      </w:tr>
      <w:tr w14:paraId="0CE5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14:paraId="5137AE94">
            <w:pPr>
              <w:jc w:val="center"/>
              <w:rPr>
                <w:rFonts w:hint="eastAsia" w:ascii="宋体" w:hAnsi="宋体" w:cs="宋体"/>
                <w:szCs w:val="21"/>
              </w:rPr>
            </w:pPr>
            <w:r>
              <w:rPr>
                <w:rFonts w:ascii="宋体" w:hAnsi="宋体" w:cs="宋体"/>
                <w:szCs w:val="21"/>
              </w:rPr>
              <w:t>2.1.1</w:t>
            </w:r>
          </w:p>
          <w:p w14:paraId="6031470B">
            <w:pPr>
              <w:jc w:val="center"/>
              <w:rPr>
                <w:rFonts w:hint="eastAsia" w:ascii="宋体" w:hAnsi="宋体" w:cs="宋体"/>
                <w:szCs w:val="21"/>
              </w:rPr>
            </w:pPr>
            <w:r>
              <w:rPr>
                <w:rFonts w:ascii="宋体" w:hAnsi="宋体" w:cs="宋体"/>
                <w:szCs w:val="21"/>
              </w:rPr>
              <w:t>2.1.3</w:t>
            </w:r>
          </w:p>
        </w:tc>
        <w:tc>
          <w:tcPr>
            <w:tcW w:w="1246" w:type="dxa"/>
            <w:vAlign w:val="center"/>
          </w:tcPr>
          <w:p w14:paraId="5D7F64AF">
            <w:pPr>
              <w:jc w:val="center"/>
              <w:rPr>
                <w:rFonts w:hint="eastAsia" w:ascii="宋体" w:hAnsi="宋体" w:cs="宋体"/>
                <w:szCs w:val="21"/>
              </w:rPr>
            </w:pPr>
            <w:r>
              <w:rPr>
                <w:rFonts w:hint="eastAsia" w:ascii="宋体" w:hAnsi="宋体" w:cs="宋体"/>
                <w:szCs w:val="21"/>
              </w:rPr>
              <w:t>形式评审与响应性评审标准</w:t>
            </w:r>
          </w:p>
        </w:tc>
        <w:tc>
          <w:tcPr>
            <w:tcW w:w="7106" w:type="dxa"/>
          </w:tcPr>
          <w:p w14:paraId="7B4678CB">
            <w:pPr>
              <w:tabs>
                <w:tab w:val="left" w:pos="3060"/>
              </w:tabs>
              <w:snapToGrid w:val="0"/>
              <w:spacing w:line="280" w:lineRule="exact"/>
              <w:rPr>
                <w:rFonts w:hint="eastAsia" w:ascii="宋体" w:hAnsi="宋体"/>
                <w:b/>
                <w:szCs w:val="21"/>
              </w:rPr>
            </w:pPr>
            <w:r>
              <w:rPr>
                <w:rFonts w:hint="eastAsia" w:ascii="宋体" w:hAnsi="宋体"/>
                <w:b/>
                <w:szCs w:val="21"/>
              </w:rPr>
              <w:t>第一个信封（商务文件）评审标准:</w:t>
            </w:r>
          </w:p>
          <w:p w14:paraId="5995012D">
            <w:pPr>
              <w:spacing w:line="288" w:lineRule="auto"/>
              <w:ind w:firstLine="386" w:firstLineChars="184"/>
              <w:jc w:val="left"/>
              <w:rPr>
                <w:rFonts w:hint="eastAsia" w:ascii="宋体" w:hAnsi="宋体" w:cs="宋体"/>
                <w:szCs w:val="21"/>
              </w:rPr>
            </w:pPr>
            <w:r>
              <w:rPr>
                <w:rFonts w:hint="eastAsia" w:ascii="宋体" w:hAnsi="宋体" w:cs="宋体"/>
                <w:szCs w:val="21"/>
              </w:rPr>
              <w:t>（1）投标文件按照招标文件规定的格式、内容填写，字迹清晰可辨：</w:t>
            </w:r>
          </w:p>
          <w:p w14:paraId="445AF7E2">
            <w:pPr>
              <w:spacing w:line="288" w:lineRule="auto"/>
              <w:ind w:firstLine="386" w:firstLineChars="184"/>
              <w:jc w:val="left"/>
              <w:rPr>
                <w:rFonts w:hint="eastAsia" w:ascii="宋体" w:hAnsi="宋体" w:cs="宋体"/>
                <w:szCs w:val="21"/>
              </w:rPr>
            </w:pPr>
            <w:r>
              <w:rPr>
                <w:rFonts w:hint="eastAsia" w:ascii="宋体" w:hAnsi="宋体" w:cs="宋体"/>
                <w:szCs w:val="21"/>
              </w:rPr>
              <w:t>a.</w:t>
            </w:r>
            <w:bookmarkStart w:id="12" w:name="_Hlk192064475"/>
            <w:r>
              <w:rPr>
                <w:rFonts w:hint="eastAsia" w:ascii="宋体" w:hAnsi="宋体" w:cs="宋体"/>
                <w:szCs w:val="21"/>
              </w:rPr>
              <w:t>投标函按招标文件规定填报了项目名称、补遗书编号（如有）、工程质量、安全目标、计划工期、项目经理（兼施工负责人）、项目总工和设计负责人信息；</w:t>
            </w:r>
          </w:p>
          <w:bookmarkEnd w:id="12"/>
          <w:p w14:paraId="70E47F73">
            <w:pPr>
              <w:spacing w:line="288" w:lineRule="auto"/>
              <w:ind w:firstLine="386" w:firstLineChars="184"/>
              <w:jc w:val="left"/>
              <w:rPr>
                <w:rFonts w:hint="eastAsia" w:ascii="宋体" w:hAnsi="宋体" w:cs="宋体"/>
                <w:szCs w:val="21"/>
              </w:rPr>
            </w:pPr>
            <w:r>
              <w:rPr>
                <w:rFonts w:hint="eastAsia" w:ascii="宋体" w:hAnsi="宋体" w:cs="宋体"/>
                <w:szCs w:val="21"/>
              </w:rPr>
              <w:t>b.投标函附录的所有数据均符合招标文件规定；</w:t>
            </w:r>
          </w:p>
          <w:p w14:paraId="08FA63A1">
            <w:pPr>
              <w:spacing w:line="288" w:lineRule="auto"/>
              <w:ind w:firstLine="386" w:firstLineChars="184"/>
              <w:jc w:val="left"/>
              <w:rPr>
                <w:rFonts w:hint="eastAsia" w:ascii="宋体" w:hAnsi="宋体" w:cs="宋体"/>
                <w:szCs w:val="21"/>
              </w:rPr>
            </w:pPr>
            <w:r>
              <w:rPr>
                <w:rFonts w:hint="eastAsia" w:ascii="宋体" w:hAnsi="宋体" w:cs="宋体"/>
                <w:szCs w:val="21"/>
              </w:rPr>
              <w:t>c.投标文件组成齐全完整，内容均按规定填写。</w:t>
            </w:r>
          </w:p>
          <w:p w14:paraId="08CCCCEA">
            <w:pPr>
              <w:spacing w:line="288" w:lineRule="auto"/>
              <w:ind w:firstLine="386" w:firstLineChars="184"/>
              <w:jc w:val="left"/>
              <w:rPr>
                <w:rFonts w:hint="eastAsia" w:ascii="宋体" w:hAnsi="宋体" w:cs="宋体"/>
                <w:szCs w:val="21"/>
              </w:rPr>
            </w:pPr>
            <w:r>
              <w:rPr>
                <w:rFonts w:hint="eastAsia" w:ascii="宋体" w:hAnsi="宋体" w:cs="宋体"/>
                <w:szCs w:val="21"/>
              </w:rPr>
              <w:t>（2）投标文件上法定代表人或其委托代理人的签名章、投标人的单位章盖章齐全，符合招标文件规定。</w:t>
            </w:r>
          </w:p>
          <w:p w14:paraId="33DDF40A">
            <w:pPr>
              <w:spacing w:line="288" w:lineRule="auto"/>
              <w:ind w:firstLine="386" w:firstLineChars="184"/>
              <w:jc w:val="left"/>
              <w:rPr>
                <w:rFonts w:hint="eastAsia" w:ascii="宋体" w:hAnsi="宋体" w:cs="宋体"/>
                <w:strike/>
                <w:szCs w:val="21"/>
              </w:rPr>
            </w:pPr>
            <w:r>
              <w:rPr>
                <w:rFonts w:hint="eastAsia" w:ascii="宋体" w:hAnsi="宋体" w:cs="宋体"/>
                <w:szCs w:val="21"/>
              </w:rPr>
              <w:t>（3）投标人按照招标文件前附表第3.4.1条的规定提供了投标保证金。</w:t>
            </w:r>
          </w:p>
          <w:p w14:paraId="64E804F6">
            <w:pPr>
              <w:spacing w:line="288" w:lineRule="auto"/>
              <w:ind w:firstLine="386" w:firstLineChars="184"/>
              <w:jc w:val="left"/>
              <w:rPr>
                <w:rFonts w:hint="eastAsia" w:ascii="宋体" w:hAnsi="宋体" w:cs="宋体"/>
                <w:szCs w:val="21"/>
              </w:rPr>
            </w:pPr>
            <w:r>
              <w:rPr>
                <w:rFonts w:hint="eastAsia" w:ascii="宋体" w:hAnsi="宋体" w:cs="宋体"/>
                <w:szCs w:val="21"/>
              </w:rPr>
              <w:t>（4）</w:t>
            </w:r>
            <w:r>
              <w:rPr>
                <w:rFonts w:hint="eastAsia" w:ascii="宋体" w:hAnsi="宋体"/>
                <w:szCs w:val="21"/>
              </w:rPr>
              <w:t>投标人法定代表人授权委托代理人签署投标文件的，</w:t>
            </w:r>
            <w:r>
              <w:rPr>
                <w:rFonts w:ascii="宋体" w:hAnsi="宋体"/>
                <w:szCs w:val="21"/>
              </w:rPr>
              <w:t>须提交授权</w:t>
            </w:r>
            <w:r>
              <w:rPr>
                <w:rFonts w:hint="eastAsia" w:ascii="宋体" w:hAnsi="宋体"/>
                <w:szCs w:val="21"/>
              </w:rPr>
              <w:t>委托书，授权委托书符合招标文件规定</w:t>
            </w:r>
            <w:r>
              <w:rPr>
                <w:rFonts w:hint="eastAsia" w:ascii="宋体" w:hAnsi="宋体" w:cs="宋体"/>
                <w:szCs w:val="21"/>
              </w:rPr>
              <w:t>。</w:t>
            </w:r>
          </w:p>
          <w:p w14:paraId="34134FB3">
            <w:pPr>
              <w:spacing w:line="288" w:lineRule="auto"/>
              <w:ind w:firstLine="386" w:firstLineChars="184"/>
              <w:jc w:val="left"/>
              <w:rPr>
                <w:rFonts w:hint="eastAsia" w:ascii="宋体" w:hAnsi="宋体" w:cs="宋体"/>
                <w:szCs w:val="21"/>
              </w:rPr>
            </w:pPr>
            <w:r>
              <w:rPr>
                <w:rFonts w:hint="eastAsia" w:ascii="宋体" w:hAnsi="宋体" w:cs="宋体"/>
                <w:szCs w:val="21"/>
              </w:rPr>
              <w:t>（5）</w:t>
            </w:r>
            <w:r>
              <w:rPr>
                <w:rFonts w:ascii="宋体" w:hAnsi="宋体"/>
                <w:szCs w:val="21"/>
              </w:rPr>
              <w:t>投标人法定代表人亲自签署投标文件的，提供了法定代表人身份证明，法定代表人身份证明符合招标文件规定</w:t>
            </w:r>
            <w:r>
              <w:rPr>
                <w:rFonts w:hint="eastAsia" w:ascii="宋体" w:hAnsi="宋体" w:cs="宋体"/>
                <w:szCs w:val="21"/>
              </w:rPr>
              <w:t>。</w:t>
            </w:r>
          </w:p>
          <w:p w14:paraId="63E542F1">
            <w:pPr>
              <w:spacing w:line="288" w:lineRule="auto"/>
              <w:ind w:firstLine="386" w:firstLineChars="184"/>
              <w:jc w:val="left"/>
              <w:rPr>
                <w:rFonts w:hint="eastAsia" w:ascii="宋体" w:hAnsi="宋体"/>
                <w:szCs w:val="21"/>
              </w:rPr>
            </w:pPr>
            <w:r>
              <w:rPr>
                <w:rFonts w:hint="eastAsia" w:ascii="宋体" w:hAnsi="宋体"/>
                <w:szCs w:val="21"/>
              </w:rPr>
              <w:t>（6）投标人以联合体形式投标时，联合体满足招标文件的要求：</w:t>
            </w:r>
          </w:p>
          <w:p w14:paraId="6D460B3D">
            <w:pPr>
              <w:spacing w:line="288" w:lineRule="auto"/>
              <w:ind w:firstLine="386" w:firstLineChars="184"/>
              <w:jc w:val="left"/>
              <w:rPr>
                <w:rFonts w:hint="eastAsia" w:ascii="宋体" w:hAnsi="宋体"/>
                <w:szCs w:val="21"/>
              </w:rPr>
            </w:pPr>
            <w:r>
              <w:rPr>
                <w:rFonts w:hint="eastAsia" w:ascii="宋体" w:hAnsi="宋体"/>
                <w:szCs w:val="21"/>
              </w:rPr>
              <w:t>投标人按照招标文件提供的格式和要求签订了联合体协议书，明确各方承担连带责任，并明确了联合体牵头人。</w:t>
            </w:r>
          </w:p>
          <w:p w14:paraId="332A0E62">
            <w:pPr>
              <w:spacing w:line="288" w:lineRule="auto"/>
              <w:ind w:right="113" w:firstLine="420" w:firstLineChars="200"/>
              <w:jc w:val="left"/>
              <w:rPr>
                <w:rFonts w:hint="eastAsia"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w:t>
            </w:r>
            <w:r>
              <w:rPr>
                <w:rFonts w:ascii="宋体" w:hAnsi="宋体"/>
                <w:szCs w:val="21"/>
              </w:rPr>
              <w:t>投标人未对本项目提出分包计划</w:t>
            </w:r>
            <w:r>
              <w:rPr>
                <w:rFonts w:hint="eastAsia" w:ascii="宋体" w:hAnsi="宋体"/>
                <w:szCs w:val="21"/>
              </w:rPr>
              <w:t>。</w:t>
            </w:r>
          </w:p>
          <w:p w14:paraId="6F769CBE">
            <w:pPr>
              <w:spacing w:line="288" w:lineRule="auto"/>
              <w:ind w:firstLine="386" w:firstLineChars="184"/>
              <w:jc w:val="left"/>
              <w:rPr>
                <w:rFonts w:hint="eastAsia" w:ascii="宋体" w:hAnsi="宋体" w:cs="宋体"/>
                <w:szCs w:val="21"/>
              </w:rPr>
            </w:pPr>
            <w:r>
              <w:rPr>
                <w:rFonts w:hint="eastAsia" w:ascii="宋体" w:hAnsi="宋体" w:cs="宋体"/>
                <w:szCs w:val="21"/>
              </w:rPr>
              <w:t>（8）同一投标人未提交两个以上不同的投标文件。</w:t>
            </w:r>
          </w:p>
          <w:p w14:paraId="34680861">
            <w:pPr>
              <w:spacing w:line="288" w:lineRule="auto"/>
              <w:ind w:firstLine="386" w:firstLineChars="184"/>
              <w:jc w:val="left"/>
              <w:rPr>
                <w:rFonts w:hint="eastAsia" w:ascii="宋体" w:hAnsi="宋体" w:cs="宋体"/>
                <w:szCs w:val="21"/>
              </w:rPr>
            </w:pPr>
            <w:r>
              <w:rPr>
                <w:rFonts w:hint="eastAsia" w:ascii="宋体" w:hAnsi="宋体" w:cs="宋体"/>
                <w:szCs w:val="21"/>
              </w:rPr>
              <w:t>（9）投标文件第一个信封（商务文件）中未出现有关投标报价的内容。</w:t>
            </w:r>
          </w:p>
          <w:p w14:paraId="161645AF">
            <w:pPr>
              <w:spacing w:line="288" w:lineRule="auto"/>
              <w:ind w:firstLine="386" w:firstLineChars="184"/>
              <w:jc w:val="left"/>
              <w:rPr>
                <w:rFonts w:hint="eastAsia" w:ascii="宋体" w:hAnsi="宋体" w:cs="宋体"/>
                <w:szCs w:val="21"/>
              </w:rPr>
            </w:pPr>
            <w:r>
              <w:rPr>
                <w:rFonts w:hint="eastAsia" w:ascii="宋体" w:hAnsi="宋体" w:cs="宋体"/>
                <w:szCs w:val="21"/>
              </w:rPr>
              <w:t>（10）投标文件载明的招标项目完成期限符合招标文件规定。</w:t>
            </w:r>
          </w:p>
          <w:p w14:paraId="6F7C193F">
            <w:pPr>
              <w:spacing w:line="288" w:lineRule="auto"/>
              <w:ind w:firstLine="386" w:firstLineChars="184"/>
              <w:jc w:val="left"/>
              <w:rPr>
                <w:rFonts w:hint="eastAsia" w:ascii="宋体" w:hAnsi="宋体" w:cs="宋体"/>
                <w:szCs w:val="21"/>
              </w:rPr>
            </w:pPr>
            <w:r>
              <w:rPr>
                <w:rFonts w:hint="eastAsia" w:ascii="宋体" w:hAnsi="宋体" w:cs="宋体"/>
                <w:szCs w:val="21"/>
              </w:rPr>
              <w:t>（11）投标文件对招标文件的实质性要求和条件作出响应。</w:t>
            </w:r>
          </w:p>
          <w:p w14:paraId="06E17B74">
            <w:pPr>
              <w:spacing w:line="288" w:lineRule="auto"/>
              <w:ind w:firstLine="386" w:firstLineChars="184"/>
              <w:jc w:val="left"/>
              <w:rPr>
                <w:rFonts w:hint="eastAsia" w:ascii="宋体" w:hAnsi="宋体" w:cs="宋体"/>
                <w:szCs w:val="21"/>
              </w:rPr>
            </w:pPr>
            <w:r>
              <w:rPr>
                <w:rFonts w:hint="eastAsia" w:ascii="宋体" w:hAnsi="宋体" w:cs="宋体"/>
                <w:szCs w:val="21"/>
              </w:rPr>
              <w:t>（12）权利义务符合招标文件规定：</w:t>
            </w:r>
          </w:p>
          <w:p w14:paraId="1349C478">
            <w:pPr>
              <w:spacing w:line="288" w:lineRule="auto"/>
              <w:ind w:firstLine="386" w:firstLineChars="184"/>
              <w:jc w:val="left"/>
              <w:rPr>
                <w:rFonts w:hint="eastAsia" w:ascii="宋体" w:hAnsi="宋体" w:cs="宋体"/>
                <w:szCs w:val="21"/>
              </w:rPr>
            </w:pPr>
            <w:r>
              <w:rPr>
                <w:rFonts w:hint="eastAsia" w:ascii="宋体" w:hAnsi="宋体" w:cs="宋体"/>
                <w:szCs w:val="21"/>
              </w:rPr>
              <w:t>a.投标人应接受招标文件规定的风险划分原则，未提出新的风险划分办法；</w:t>
            </w:r>
          </w:p>
          <w:p w14:paraId="1002F355">
            <w:pPr>
              <w:spacing w:line="288" w:lineRule="auto"/>
              <w:ind w:firstLine="386" w:firstLineChars="184"/>
              <w:jc w:val="left"/>
              <w:rPr>
                <w:rFonts w:hint="eastAsia" w:ascii="宋体" w:hAnsi="宋体" w:cs="宋体"/>
                <w:szCs w:val="21"/>
              </w:rPr>
            </w:pPr>
            <w:r>
              <w:rPr>
                <w:rFonts w:hint="eastAsia" w:ascii="宋体" w:hAnsi="宋体" w:cs="宋体"/>
                <w:szCs w:val="21"/>
              </w:rPr>
              <w:t>b.投标人未增加发包人的责任范围，或减少投标人义务；</w:t>
            </w:r>
          </w:p>
          <w:p w14:paraId="5C3DBF25">
            <w:pPr>
              <w:spacing w:line="288" w:lineRule="auto"/>
              <w:ind w:firstLine="386" w:firstLineChars="184"/>
              <w:jc w:val="left"/>
              <w:rPr>
                <w:rFonts w:hint="eastAsia" w:ascii="宋体" w:hAnsi="宋体" w:cs="宋体"/>
                <w:szCs w:val="21"/>
              </w:rPr>
            </w:pPr>
            <w:r>
              <w:rPr>
                <w:rFonts w:hint="eastAsia" w:ascii="宋体" w:hAnsi="宋体" w:cs="宋体"/>
                <w:szCs w:val="21"/>
              </w:rPr>
              <w:t>c.投标人未提出不同的支付办法；</w:t>
            </w:r>
          </w:p>
          <w:p w14:paraId="47DAE248">
            <w:pPr>
              <w:spacing w:line="288" w:lineRule="auto"/>
              <w:ind w:firstLine="386" w:firstLineChars="184"/>
              <w:jc w:val="left"/>
              <w:rPr>
                <w:rFonts w:hint="eastAsia" w:ascii="宋体" w:hAnsi="宋体"/>
                <w:szCs w:val="21"/>
              </w:rPr>
            </w:pPr>
            <w:r>
              <w:rPr>
                <w:rFonts w:hint="eastAsia" w:ascii="宋体" w:hAnsi="宋体"/>
                <w:szCs w:val="21"/>
              </w:rPr>
              <w:t>d.投标人对合同纠纷、事故处理办法未提出异议；</w:t>
            </w:r>
          </w:p>
          <w:p w14:paraId="3327B6F4">
            <w:pPr>
              <w:spacing w:line="288" w:lineRule="auto"/>
              <w:ind w:firstLine="386" w:firstLineChars="184"/>
              <w:jc w:val="left"/>
              <w:rPr>
                <w:rFonts w:hint="eastAsia" w:ascii="宋体" w:hAnsi="宋体"/>
                <w:szCs w:val="21"/>
              </w:rPr>
            </w:pPr>
            <w:r>
              <w:rPr>
                <w:rFonts w:hint="eastAsia" w:ascii="宋体" w:hAnsi="宋体"/>
                <w:szCs w:val="21"/>
              </w:rPr>
              <w:t>e.投标人在投标活动中无欺诈行为；</w:t>
            </w:r>
          </w:p>
          <w:p w14:paraId="15A27D78">
            <w:pPr>
              <w:spacing w:line="288" w:lineRule="auto"/>
              <w:ind w:firstLine="386" w:firstLineChars="184"/>
              <w:jc w:val="left"/>
              <w:rPr>
                <w:rFonts w:hint="eastAsia" w:ascii="宋体" w:hAnsi="宋体"/>
                <w:szCs w:val="21"/>
              </w:rPr>
            </w:pPr>
            <w:r>
              <w:rPr>
                <w:rFonts w:hint="eastAsia" w:ascii="宋体" w:hAnsi="宋体"/>
                <w:szCs w:val="21"/>
              </w:rPr>
              <w:t>f.投标人未对合同条款有重要保留。</w:t>
            </w:r>
          </w:p>
          <w:p w14:paraId="15B41B5F">
            <w:pPr>
              <w:spacing w:line="288" w:lineRule="auto"/>
              <w:ind w:firstLine="386" w:firstLineChars="184"/>
              <w:jc w:val="left"/>
              <w:rPr>
                <w:rFonts w:hint="eastAsia" w:ascii="宋体" w:hAnsi="宋体"/>
                <w:szCs w:val="21"/>
              </w:rPr>
            </w:pPr>
            <w:r>
              <w:rPr>
                <w:rFonts w:hint="eastAsia" w:ascii="宋体" w:hAnsi="宋体"/>
                <w:szCs w:val="21"/>
              </w:rPr>
              <w:t>第一信封投标文件暗标部分符合招标文件第二章“投标人须知前附表”第9.2款的规定。</w:t>
            </w:r>
          </w:p>
          <w:p w14:paraId="398AB685">
            <w:pPr>
              <w:tabs>
                <w:tab w:val="left" w:pos="3060"/>
              </w:tabs>
              <w:spacing w:line="288" w:lineRule="auto"/>
              <w:rPr>
                <w:rFonts w:hint="eastAsia" w:ascii="宋体" w:hAnsi="宋体"/>
                <w:b/>
                <w:szCs w:val="21"/>
              </w:rPr>
            </w:pPr>
            <w:r>
              <w:rPr>
                <w:rFonts w:hint="eastAsia" w:ascii="宋体" w:hAnsi="宋体"/>
                <w:b/>
                <w:szCs w:val="21"/>
              </w:rPr>
              <w:t>第二个信封（报价文件）评审标准：</w:t>
            </w:r>
          </w:p>
          <w:p w14:paraId="1988F033">
            <w:pPr>
              <w:spacing w:line="288" w:lineRule="auto"/>
              <w:ind w:firstLine="386" w:firstLineChars="184"/>
              <w:jc w:val="left"/>
              <w:rPr>
                <w:rFonts w:hint="eastAsia" w:ascii="宋体" w:hAnsi="宋体"/>
                <w:bCs/>
                <w:szCs w:val="21"/>
              </w:rPr>
            </w:pPr>
            <w:r>
              <w:rPr>
                <w:rFonts w:hint="eastAsia" w:ascii="宋体" w:hAnsi="宋体" w:cs="宋体"/>
                <w:szCs w:val="21"/>
              </w:rPr>
              <w:t>（1）投标文件按照招标文件规定的格式、内容填写，字迹清晰可辨：</w:t>
            </w:r>
          </w:p>
          <w:p w14:paraId="35738CE0">
            <w:pPr>
              <w:spacing w:line="288" w:lineRule="auto"/>
              <w:ind w:firstLine="386" w:firstLineChars="184"/>
              <w:jc w:val="left"/>
              <w:rPr>
                <w:rFonts w:hint="eastAsia" w:ascii="宋体" w:hAnsi="宋体"/>
                <w:bCs/>
                <w:szCs w:val="24"/>
              </w:rPr>
            </w:pPr>
            <w:r>
              <w:rPr>
                <w:rFonts w:hint="eastAsia" w:ascii="宋体" w:hAnsi="宋体"/>
                <w:bCs/>
                <w:szCs w:val="24"/>
              </w:rPr>
              <w:t>a.投标函按招标文件规定填报了项目名称、补遗书编号（如有）、投标价（包括大写金额和小写金额）；</w:t>
            </w:r>
          </w:p>
          <w:p w14:paraId="2CF037A1">
            <w:pPr>
              <w:spacing w:line="288" w:lineRule="auto"/>
              <w:ind w:firstLine="386" w:firstLineChars="184"/>
              <w:jc w:val="left"/>
              <w:rPr>
                <w:szCs w:val="24"/>
              </w:rPr>
            </w:pPr>
            <w:r>
              <w:rPr>
                <w:rFonts w:hint="eastAsia" w:ascii="宋体" w:hAnsi="宋体"/>
                <w:bCs/>
                <w:szCs w:val="24"/>
              </w:rPr>
              <w:t>b.</w:t>
            </w:r>
            <w:r>
              <w:rPr>
                <w:rFonts w:hint="eastAsia"/>
                <w:szCs w:val="24"/>
              </w:rPr>
              <w:t>价格清单说明与招标文件规定一致，未进行实质性修改和删减；</w:t>
            </w:r>
          </w:p>
          <w:p w14:paraId="1692F58E">
            <w:pPr>
              <w:spacing w:line="288" w:lineRule="auto"/>
              <w:ind w:firstLine="386" w:firstLineChars="184"/>
              <w:jc w:val="left"/>
              <w:rPr>
                <w:rFonts w:hint="eastAsia" w:ascii="宋体" w:hAnsi="宋体"/>
                <w:bCs/>
                <w:szCs w:val="24"/>
              </w:rPr>
            </w:pPr>
            <w:r>
              <w:rPr>
                <w:rFonts w:hint="eastAsia" w:ascii="宋体" w:hAnsi="宋体"/>
                <w:bCs/>
                <w:szCs w:val="24"/>
              </w:rPr>
              <w:t>c.投标</w:t>
            </w:r>
            <w:r>
              <w:rPr>
                <w:rFonts w:hint="eastAsia" w:ascii="宋体" w:hAnsi="宋体"/>
                <w:szCs w:val="24"/>
              </w:rPr>
              <w:t>文件</w:t>
            </w:r>
            <w:r>
              <w:rPr>
                <w:rFonts w:hint="eastAsia" w:ascii="宋体" w:hAnsi="宋体"/>
                <w:bCs/>
                <w:szCs w:val="24"/>
              </w:rPr>
              <w:t>组成齐全完整，内容均按规定填写。</w:t>
            </w:r>
          </w:p>
          <w:p w14:paraId="1EE308CD">
            <w:pPr>
              <w:spacing w:line="288" w:lineRule="auto"/>
              <w:ind w:firstLine="386" w:firstLineChars="184"/>
              <w:jc w:val="left"/>
              <w:rPr>
                <w:rFonts w:hint="eastAsia" w:ascii="宋体" w:hAnsi="宋体"/>
                <w:bCs/>
                <w:szCs w:val="24"/>
              </w:rPr>
            </w:pPr>
            <w:r>
              <w:rPr>
                <w:rFonts w:hint="eastAsia" w:ascii="宋体" w:hAnsi="宋体"/>
                <w:bCs/>
                <w:szCs w:val="24"/>
              </w:rPr>
              <w:t>（2）</w:t>
            </w:r>
            <w:r>
              <w:rPr>
                <w:rFonts w:hint="eastAsia" w:ascii="宋体" w:hAnsi="宋体"/>
                <w:szCs w:val="24"/>
              </w:rPr>
              <w:t>投标文件上法定代表人或其委托代理人的签名章、投标人的单位章盖章齐全，符合招标文件规定</w:t>
            </w:r>
            <w:r>
              <w:rPr>
                <w:rFonts w:hint="eastAsia" w:ascii="宋体" w:hAnsi="宋体"/>
                <w:bCs/>
                <w:szCs w:val="24"/>
              </w:rPr>
              <w:t>。</w:t>
            </w:r>
          </w:p>
          <w:p w14:paraId="06D56D81">
            <w:pPr>
              <w:spacing w:line="288" w:lineRule="auto"/>
              <w:ind w:firstLine="386" w:firstLineChars="184"/>
              <w:jc w:val="left"/>
              <w:rPr>
                <w:rFonts w:hint="eastAsia" w:ascii="宋体" w:hAnsi="宋体"/>
                <w:bCs/>
                <w:szCs w:val="24"/>
              </w:rPr>
            </w:pPr>
            <w:r>
              <w:rPr>
                <w:rFonts w:hint="eastAsia" w:ascii="宋体" w:hAnsi="宋体"/>
                <w:bCs/>
                <w:szCs w:val="24"/>
              </w:rPr>
              <w:t>（3）投标函中的投标报价未超过招标文件设定的最高投标限价，各分项报价均未超过招标文件设定的最高投标限价。</w:t>
            </w:r>
          </w:p>
          <w:p w14:paraId="44D696D9">
            <w:pPr>
              <w:spacing w:line="288" w:lineRule="auto"/>
              <w:ind w:firstLine="386" w:firstLineChars="184"/>
              <w:jc w:val="left"/>
              <w:rPr>
                <w:rFonts w:hint="eastAsia" w:ascii="宋体" w:hAnsi="宋体"/>
                <w:bCs/>
                <w:szCs w:val="24"/>
              </w:rPr>
            </w:pPr>
            <w:r>
              <w:rPr>
                <w:rFonts w:hint="eastAsia" w:ascii="宋体" w:hAnsi="宋体"/>
                <w:bCs/>
                <w:szCs w:val="24"/>
              </w:rPr>
              <w:t>（4）投标</w:t>
            </w:r>
            <w:r>
              <w:rPr>
                <w:rFonts w:hint="eastAsia" w:ascii="宋体" w:hAnsi="宋体"/>
                <w:szCs w:val="24"/>
              </w:rPr>
              <w:t>报价</w:t>
            </w:r>
            <w:r>
              <w:rPr>
                <w:rFonts w:hint="eastAsia" w:ascii="宋体" w:hAnsi="宋体"/>
                <w:bCs/>
                <w:szCs w:val="24"/>
              </w:rPr>
              <w:t>的大写金额能够确定具体数值。</w:t>
            </w:r>
          </w:p>
          <w:p w14:paraId="7765EA61">
            <w:pPr>
              <w:spacing w:line="288" w:lineRule="auto"/>
              <w:ind w:firstLine="386" w:firstLineChars="184"/>
              <w:jc w:val="left"/>
              <w:rPr>
                <w:rFonts w:hint="eastAsia" w:ascii="宋体" w:hAnsi="宋体"/>
                <w:bCs/>
                <w:szCs w:val="21"/>
              </w:rPr>
            </w:pPr>
            <w:r>
              <w:rPr>
                <w:rFonts w:hint="eastAsia" w:ascii="宋体" w:hAnsi="宋体"/>
                <w:bCs/>
                <w:szCs w:val="21"/>
              </w:rPr>
              <w:t>（5）同一</w:t>
            </w:r>
            <w:r>
              <w:rPr>
                <w:rFonts w:hint="eastAsia" w:ascii="宋体" w:hAnsi="宋体"/>
                <w:szCs w:val="21"/>
              </w:rPr>
              <w:t>投标人</w:t>
            </w:r>
            <w:r>
              <w:rPr>
                <w:rFonts w:hint="eastAsia" w:ascii="宋体" w:hAnsi="宋体"/>
                <w:bCs/>
                <w:szCs w:val="21"/>
              </w:rPr>
              <w:t>未提交两个以上不同的投标报价。</w:t>
            </w:r>
          </w:p>
          <w:p w14:paraId="1BDD8C7E">
            <w:pPr>
              <w:spacing w:line="288" w:lineRule="auto"/>
              <w:ind w:firstLine="386" w:firstLineChars="184"/>
              <w:jc w:val="left"/>
              <w:rPr>
                <w:rFonts w:hint="eastAsia" w:ascii="宋体" w:hAnsi="宋体"/>
                <w:bCs/>
                <w:szCs w:val="21"/>
              </w:rPr>
            </w:pPr>
            <w:r>
              <w:rPr>
                <w:rFonts w:hint="eastAsia" w:ascii="宋体" w:hAnsi="宋体"/>
                <w:bCs/>
                <w:szCs w:val="21"/>
              </w:rPr>
              <w:t>（6）投标人未提交调价函。</w:t>
            </w:r>
          </w:p>
          <w:p w14:paraId="1D637DFD">
            <w:pPr>
              <w:spacing w:line="288" w:lineRule="auto"/>
              <w:ind w:firstLine="386" w:firstLineChars="184"/>
              <w:jc w:val="left"/>
              <w:rPr>
                <w:rFonts w:hint="eastAsia" w:ascii="宋体" w:hAnsi="宋体"/>
                <w:szCs w:val="24"/>
              </w:rPr>
            </w:pPr>
            <w:r>
              <w:rPr>
                <w:rFonts w:hint="eastAsia" w:ascii="宋体" w:hAnsi="宋体"/>
                <w:bCs/>
                <w:szCs w:val="21"/>
              </w:rPr>
              <w:t>（</w:t>
            </w:r>
            <w:r>
              <w:rPr>
                <w:rFonts w:ascii="宋体" w:hAnsi="宋体"/>
                <w:bCs/>
                <w:szCs w:val="21"/>
              </w:rPr>
              <w:t>7</w:t>
            </w:r>
            <w:r>
              <w:rPr>
                <w:rFonts w:hint="eastAsia" w:ascii="宋体" w:hAnsi="宋体"/>
                <w:bCs/>
                <w:szCs w:val="21"/>
              </w:rPr>
              <w:t>）</w:t>
            </w:r>
            <w:r>
              <w:rPr>
                <w:rFonts w:hint="eastAsia" w:ascii="宋体" w:hAnsi="宋体"/>
                <w:szCs w:val="21"/>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bCs/>
                <w:szCs w:val="21"/>
              </w:rPr>
              <w:t>。</w:t>
            </w:r>
          </w:p>
        </w:tc>
      </w:tr>
      <w:tr w14:paraId="12B5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vAlign w:val="center"/>
          </w:tcPr>
          <w:p w14:paraId="4D070989">
            <w:pPr>
              <w:jc w:val="center"/>
              <w:rPr>
                <w:rFonts w:hint="eastAsia" w:ascii="宋体" w:hAnsi="宋体" w:cs="宋体"/>
                <w:szCs w:val="21"/>
              </w:rPr>
            </w:pPr>
            <w:r>
              <w:rPr>
                <w:rFonts w:hint="eastAsia" w:ascii="宋体" w:hAnsi="宋体" w:cs="宋体"/>
                <w:szCs w:val="21"/>
              </w:rPr>
              <w:t>2.1.2</w:t>
            </w:r>
          </w:p>
        </w:tc>
        <w:tc>
          <w:tcPr>
            <w:tcW w:w="1246" w:type="dxa"/>
            <w:vAlign w:val="center"/>
          </w:tcPr>
          <w:p w14:paraId="2205B453">
            <w:pPr>
              <w:jc w:val="center"/>
              <w:rPr>
                <w:rFonts w:hint="eastAsia" w:ascii="宋体" w:hAnsi="宋体" w:cs="宋体"/>
                <w:szCs w:val="21"/>
              </w:rPr>
            </w:pPr>
            <w:r>
              <w:rPr>
                <w:rFonts w:hint="eastAsia" w:ascii="宋体" w:hAnsi="宋体" w:cs="宋体"/>
                <w:szCs w:val="21"/>
              </w:rPr>
              <w:t>资格评审标准</w:t>
            </w:r>
          </w:p>
        </w:tc>
        <w:tc>
          <w:tcPr>
            <w:tcW w:w="7106" w:type="dxa"/>
            <w:vAlign w:val="center"/>
          </w:tcPr>
          <w:p w14:paraId="4FE388AD">
            <w:pPr>
              <w:spacing w:line="286" w:lineRule="exact"/>
              <w:ind w:firstLine="386" w:firstLineChars="184"/>
              <w:jc w:val="left"/>
              <w:rPr>
                <w:rFonts w:hint="eastAsia" w:ascii="宋体" w:hAnsi="宋体"/>
                <w:bCs/>
                <w:szCs w:val="21"/>
              </w:rPr>
            </w:pPr>
            <w:r>
              <w:rPr>
                <w:rFonts w:hint="eastAsia" w:ascii="宋体" w:hAnsi="宋体"/>
                <w:szCs w:val="21"/>
              </w:rPr>
              <w:t>（1）投标</w:t>
            </w:r>
            <w:r>
              <w:rPr>
                <w:rFonts w:hint="eastAsia" w:ascii="宋体" w:hAnsi="宋体"/>
                <w:bCs/>
                <w:szCs w:val="21"/>
              </w:rPr>
              <w:t>人具备有效的营业执照、资质证书、安全生产许可证和基本账户开户许可证（或基本存款账户信息）。</w:t>
            </w:r>
          </w:p>
          <w:p w14:paraId="66FF3B59">
            <w:pPr>
              <w:spacing w:line="286" w:lineRule="exact"/>
              <w:ind w:firstLine="386" w:firstLineChars="184"/>
              <w:jc w:val="left"/>
              <w:rPr>
                <w:rFonts w:hint="eastAsia" w:ascii="宋体" w:hAnsi="宋体"/>
                <w:bCs/>
                <w:szCs w:val="21"/>
              </w:rPr>
            </w:pPr>
            <w:r>
              <w:rPr>
                <w:rFonts w:hint="eastAsia" w:ascii="宋体" w:hAnsi="宋体"/>
                <w:bCs/>
                <w:szCs w:val="21"/>
              </w:rPr>
              <w:t>（2）投标人的资质等级符合招标文件规定。</w:t>
            </w:r>
          </w:p>
          <w:p w14:paraId="6894B1C0">
            <w:pPr>
              <w:spacing w:line="286" w:lineRule="exact"/>
              <w:ind w:firstLine="386" w:firstLineChars="184"/>
              <w:jc w:val="left"/>
              <w:rPr>
                <w:rFonts w:hint="eastAsia" w:ascii="宋体" w:hAnsi="宋体"/>
                <w:bCs/>
                <w:szCs w:val="21"/>
              </w:rPr>
            </w:pPr>
            <w:r>
              <w:rPr>
                <w:rFonts w:hint="eastAsia" w:ascii="宋体" w:hAnsi="宋体"/>
                <w:bCs/>
                <w:szCs w:val="21"/>
              </w:rPr>
              <w:t>（3）投标人的财务状况符合招标文件规定。</w:t>
            </w:r>
          </w:p>
          <w:p w14:paraId="2B740C96">
            <w:pPr>
              <w:spacing w:line="286" w:lineRule="exact"/>
              <w:ind w:firstLine="386" w:firstLineChars="184"/>
              <w:jc w:val="left"/>
              <w:rPr>
                <w:rFonts w:hint="eastAsia" w:ascii="宋体" w:hAnsi="宋体"/>
                <w:bCs/>
                <w:szCs w:val="21"/>
              </w:rPr>
            </w:pPr>
            <w:r>
              <w:rPr>
                <w:rFonts w:hint="eastAsia" w:ascii="宋体" w:hAnsi="宋体"/>
                <w:bCs/>
                <w:szCs w:val="21"/>
              </w:rPr>
              <w:t>（4）投标人的业绩符合招标文件规定。</w:t>
            </w:r>
          </w:p>
          <w:p w14:paraId="1E13974F">
            <w:pPr>
              <w:spacing w:line="286" w:lineRule="exact"/>
              <w:ind w:firstLine="386" w:firstLineChars="184"/>
              <w:jc w:val="left"/>
              <w:rPr>
                <w:rFonts w:hint="eastAsia" w:ascii="宋体" w:hAnsi="宋体"/>
                <w:bCs/>
                <w:szCs w:val="21"/>
              </w:rPr>
            </w:pPr>
            <w:r>
              <w:rPr>
                <w:rFonts w:hint="eastAsia" w:ascii="宋体" w:hAnsi="宋体"/>
                <w:bCs/>
                <w:szCs w:val="21"/>
              </w:rPr>
              <w:t>（5）投标人的信誉符合招标文件规定。</w:t>
            </w:r>
          </w:p>
          <w:p w14:paraId="70A069BE">
            <w:pPr>
              <w:spacing w:line="286" w:lineRule="exact"/>
              <w:ind w:firstLine="386" w:firstLineChars="184"/>
              <w:jc w:val="left"/>
              <w:rPr>
                <w:rFonts w:hint="eastAsia" w:ascii="宋体" w:hAnsi="宋体"/>
                <w:bCs/>
                <w:szCs w:val="21"/>
              </w:rPr>
            </w:pPr>
            <w:r>
              <w:rPr>
                <w:rFonts w:hint="eastAsia" w:ascii="宋体" w:hAnsi="宋体"/>
                <w:bCs/>
                <w:szCs w:val="21"/>
              </w:rPr>
              <w:t>（6）投标人的主要人员符合招标文件规定。</w:t>
            </w:r>
          </w:p>
          <w:p w14:paraId="55059921">
            <w:pPr>
              <w:spacing w:line="286" w:lineRule="exact"/>
              <w:ind w:firstLine="386" w:firstLineChars="184"/>
              <w:jc w:val="left"/>
              <w:rPr>
                <w:rFonts w:hint="eastAsia" w:ascii="宋体" w:hAnsi="宋体"/>
                <w:bCs/>
                <w:szCs w:val="21"/>
              </w:rPr>
            </w:pPr>
            <w:r>
              <w:rPr>
                <w:rFonts w:hint="eastAsia" w:ascii="宋体" w:hAnsi="宋体"/>
                <w:bCs/>
                <w:szCs w:val="21"/>
              </w:rPr>
              <w:t>（7）投标人不存在第二章“投标人须知”第 1.4.3 项、第 1.4.4项、第 1.4.5 项规定的任何一种情形。</w:t>
            </w:r>
          </w:p>
          <w:p w14:paraId="52D0719C">
            <w:pPr>
              <w:spacing w:line="286" w:lineRule="exact"/>
              <w:ind w:firstLine="386" w:firstLineChars="184"/>
              <w:jc w:val="left"/>
              <w:rPr>
                <w:rFonts w:hint="eastAsia" w:ascii="宋体" w:hAnsi="宋体"/>
                <w:bCs/>
                <w:szCs w:val="21"/>
              </w:rPr>
            </w:pPr>
            <w:r>
              <w:rPr>
                <w:rFonts w:hint="eastAsia" w:ascii="宋体" w:hAnsi="宋体"/>
                <w:bCs/>
                <w:szCs w:val="21"/>
              </w:rPr>
              <w:t>（8）投标人符合第二章“投标人须知”第1.4.</w:t>
            </w:r>
            <w:r>
              <w:rPr>
                <w:rFonts w:ascii="宋体" w:hAnsi="宋体"/>
                <w:bCs/>
                <w:szCs w:val="21"/>
              </w:rPr>
              <w:t>6</w:t>
            </w:r>
            <w:r>
              <w:rPr>
                <w:rFonts w:hint="eastAsia" w:ascii="宋体" w:hAnsi="宋体"/>
                <w:bCs/>
                <w:szCs w:val="21"/>
              </w:rPr>
              <w:t>项规定。</w:t>
            </w:r>
          </w:p>
          <w:p w14:paraId="21A359B8">
            <w:pPr>
              <w:spacing w:line="286" w:lineRule="exact"/>
              <w:ind w:firstLine="386" w:firstLineChars="184"/>
              <w:jc w:val="left"/>
              <w:rPr>
                <w:szCs w:val="24"/>
              </w:rPr>
            </w:pPr>
            <w:r>
              <w:rPr>
                <w:rFonts w:hint="eastAsia" w:ascii="宋体" w:hAnsi="宋体"/>
                <w:bCs/>
                <w:szCs w:val="21"/>
              </w:rPr>
              <w:t>（9）以联合体形式参与投标的，联合体所有成员数量不得超过2家，且联合体牵头人应具备“公路交通工程（公路机电工程分项）专业承包一级资质”，满足招标公告附件1资格审查条件对联合体的要求，同时满足招标文件投标人须知1.4.2条规定，且联合体各方均未再以自己名义单独或参加其他联合体在本项目的投标</w:t>
            </w:r>
            <w:r>
              <w:rPr>
                <w:rFonts w:ascii="宋体" w:hAnsi="宋体" w:cs="Arial"/>
                <w:szCs w:val="21"/>
              </w:rPr>
              <w:t>。</w:t>
            </w:r>
          </w:p>
        </w:tc>
      </w:tr>
      <w:tr w14:paraId="44CC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6166ED29">
            <w:pPr>
              <w:jc w:val="center"/>
              <w:rPr>
                <w:rFonts w:hint="eastAsia" w:ascii="宋体" w:hAnsi="宋体" w:cs="宋体"/>
                <w:szCs w:val="21"/>
              </w:rPr>
            </w:pPr>
            <w:r>
              <w:rPr>
                <w:rFonts w:hint="eastAsia" w:ascii="宋体" w:hAnsi="宋体" w:cs="宋体"/>
                <w:szCs w:val="21"/>
              </w:rPr>
              <w:t>2.2.1</w:t>
            </w:r>
          </w:p>
        </w:tc>
        <w:tc>
          <w:tcPr>
            <w:tcW w:w="1246" w:type="dxa"/>
            <w:vAlign w:val="center"/>
          </w:tcPr>
          <w:p w14:paraId="44A51A6E">
            <w:pPr>
              <w:jc w:val="center"/>
              <w:rPr>
                <w:rFonts w:hint="eastAsia" w:ascii="宋体" w:hAnsi="宋体" w:cs="宋体"/>
                <w:szCs w:val="21"/>
              </w:rPr>
            </w:pPr>
            <w:r>
              <w:rPr>
                <w:rFonts w:hint="eastAsia" w:ascii="宋体" w:hAnsi="宋体"/>
                <w:szCs w:val="24"/>
              </w:rPr>
              <w:t>分值构成（总分值100分）</w:t>
            </w:r>
          </w:p>
        </w:tc>
        <w:tc>
          <w:tcPr>
            <w:tcW w:w="7106" w:type="dxa"/>
            <w:vAlign w:val="center"/>
          </w:tcPr>
          <w:p w14:paraId="0CF3D451">
            <w:pPr>
              <w:spacing w:line="288" w:lineRule="auto"/>
              <w:rPr>
                <w:rFonts w:hint="eastAsia" w:ascii="宋体" w:hAnsi="宋体"/>
                <w:b/>
                <w:szCs w:val="21"/>
              </w:rPr>
            </w:pPr>
            <w:r>
              <w:rPr>
                <w:rFonts w:hint="eastAsia" w:ascii="宋体" w:hAnsi="宋体"/>
                <w:b/>
                <w:szCs w:val="21"/>
              </w:rPr>
              <w:t>本款修改为：</w:t>
            </w:r>
          </w:p>
          <w:p w14:paraId="0124DF8D">
            <w:pPr>
              <w:spacing w:line="288" w:lineRule="auto"/>
              <w:rPr>
                <w:rFonts w:hint="eastAsia" w:ascii="宋体" w:hAnsi="宋体"/>
                <w:b/>
                <w:szCs w:val="21"/>
              </w:rPr>
            </w:pPr>
            <w:r>
              <w:rPr>
                <w:rFonts w:hint="eastAsia" w:ascii="宋体" w:hAnsi="宋体"/>
                <w:b/>
                <w:szCs w:val="21"/>
              </w:rPr>
              <w:t>第一个信封（商务及技术文件）评分分值构成：</w:t>
            </w:r>
          </w:p>
          <w:p w14:paraId="7EA0D991">
            <w:pPr>
              <w:spacing w:line="288" w:lineRule="auto"/>
              <w:ind w:firstLine="386" w:firstLineChars="184"/>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）承包人建议书：</w:t>
            </w:r>
            <w:r>
              <w:rPr>
                <w:rFonts w:ascii="宋体" w:hAnsi="宋体"/>
                <w:szCs w:val="21"/>
              </w:rPr>
              <w:t>20</w:t>
            </w:r>
            <w:r>
              <w:rPr>
                <w:rFonts w:hint="eastAsia" w:ascii="宋体" w:hAnsi="宋体"/>
                <w:szCs w:val="21"/>
              </w:rPr>
              <w:t>分</w:t>
            </w:r>
          </w:p>
          <w:p w14:paraId="7BC79C77">
            <w:pPr>
              <w:spacing w:line="288" w:lineRule="auto"/>
              <w:ind w:firstLine="386" w:firstLineChars="184"/>
              <w:jc w:val="left"/>
              <w:rPr>
                <w:rFonts w:hint="eastAsia" w:ascii="宋体" w:hAnsi="宋体"/>
                <w:szCs w:val="21"/>
              </w:rPr>
            </w:pPr>
            <w:r>
              <w:rPr>
                <w:rFonts w:hint="eastAsia" w:ascii="宋体" w:hAnsi="宋体"/>
                <w:szCs w:val="21"/>
              </w:rPr>
              <w:t>（2）承包人实施方案：</w:t>
            </w:r>
            <w:r>
              <w:rPr>
                <w:rFonts w:ascii="宋体" w:hAnsi="宋体"/>
                <w:szCs w:val="21"/>
              </w:rPr>
              <w:t>20</w:t>
            </w:r>
            <w:r>
              <w:rPr>
                <w:rFonts w:hint="eastAsia" w:ascii="宋体" w:hAnsi="宋体"/>
                <w:szCs w:val="21"/>
              </w:rPr>
              <w:t>分</w:t>
            </w:r>
          </w:p>
          <w:p w14:paraId="33CA724C">
            <w:pPr>
              <w:spacing w:line="288" w:lineRule="auto"/>
              <w:ind w:firstLine="386" w:firstLineChars="184"/>
              <w:jc w:val="left"/>
              <w:rPr>
                <w:rFonts w:hint="eastAsia" w:ascii="宋体" w:hAnsi="宋体"/>
                <w:szCs w:val="21"/>
              </w:rPr>
            </w:pPr>
            <w:r>
              <w:rPr>
                <w:rFonts w:hint="eastAsia" w:ascii="宋体" w:hAnsi="宋体"/>
                <w:szCs w:val="21"/>
              </w:rPr>
              <w:t>（3）资信业绩部分：</w:t>
            </w:r>
            <w:r>
              <w:rPr>
                <w:rFonts w:ascii="宋体" w:hAnsi="宋体"/>
                <w:szCs w:val="21"/>
              </w:rPr>
              <w:t>10</w:t>
            </w:r>
            <w:r>
              <w:rPr>
                <w:rFonts w:hint="eastAsia" w:ascii="宋体" w:hAnsi="宋体"/>
                <w:szCs w:val="21"/>
              </w:rPr>
              <w:t>分</w:t>
            </w:r>
          </w:p>
          <w:p w14:paraId="788FAB31">
            <w:pPr>
              <w:spacing w:line="288" w:lineRule="auto"/>
              <w:rPr>
                <w:rFonts w:hint="eastAsia" w:ascii="宋体" w:hAnsi="宋体"/>
                <w:b/>
                <w:szCs w:val="21"/>
              </w:rPr>
            </w:pPr>
            <w:r>
              <w:rPr>
                <w:rFonts w:hint="eastAsia" w:ascii="宋体" w:hAnsi="宋体"/>
                <w:b/>
                <w:szCs w:val="21"/>
              </w:rPr>
              <w:t>第二个信封（报价文件）评分分值构成：</w:t>
            </w:r>
          </w:p>
          <w:p w14:paraId="3AA771FC">
            <w:pPr>
              <w:spacing w:line="288" w:lineRule="auto"/>
              <w:ind w:firstLine="386" w:firstLineChars="184"/>
              <w:jc w:val="left"/>
              <w:rPr>
                <w:rFonts w:hint="eastAsia" w:ascii="宋体" w:hAnsi="宋体"/>
                <w:szCs w:val="24"/>
              </w:rPr>
            </w:pPr>
            <w:r>
              <w:rPr>
                <w:rFonts w:hint="eastAsia" w:ascii="宋体" w:hAnsi="宋体"/>
                <w:szCs w:val="21"/>
              </w:rPr>
              <w:t>（4）评标价</w:t>
            </w:r>
            <w:r>
              <w:rPr>
                <w:rFonts w:ascii="宋体" w:hAnsi="宋体"/>
                <w:szCs w:val="21"/>
              </w:rPr>
              <w:t>：</w:t>
            </w:r>
            <w:r>
              <w:rPr>
                <w:rFonts w:hint="eastAsia" w:ascii="宋体" w:hAnsi="宋体"/>
                <w:szCs w:val="21"/>
              </w:rPr>
              <w:t>5</w:t>
            </w:r>
            <w:r>
              <w:rPr>
                <w:rFonts w:ascii="宋体" w:hAnsi="宋体"/>
                <w:szCs w:val="21"/>
              </w:rPr>
              <w:t>0 分</w:t>
            </w:r>
          </w:p>
        </w:tc>
      </w:tr>
      <w:tr w14:paraId="1F04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787E02FB">
            <w:pPr>
              <w:jc w:val="center"/>
              <w:rPr>
                <w:rFonts w:hint="eastAsia" w:ascii="宋体" w:hAnsi="宋体" w:cs="宋体"/>
                <w:szCs w:val="21"/>
              </w:rPr>
            </w:pPr>
            <w:r>
              <w:rPr>
                <w:rFonts w:hint="eastAsia" w:ascii="宋体" w:hAnsi="宋体" w:cs="宋体"/>
                <w:szCs w:val="21"/>
              </w:rPr>
              <w:t>2</w:t>
            </w:r>
            <w:r>
              <w:rPr>
                <w:rFonts w:ascii="宋体" w:hAnsi="宋体" w:cs="宋体"/>
                <w:szCs w:val="21"/>
              </w:rPr>
              <w:t>.2.2</w:t>
            </w:r>
          </w:p>
        </w:tc>
        <w:tc>
          <w:tcPr>
            <w:tcW w:w="1246" w:type="dxa"/>
            <w:vAlign w:val="center"/>
          </w:tcPr>
          <w:p w14:paraId="1545590A">
            <w:pPr>
              <w:adjustRightInd w:val="0"/>
              <w:snapToGrid w:val="0"/>
              <w:spacing w:line="276" w:lineRule="auto"/>
              <w:jc w:val="center"/>
              <w:rPr>
                <w:rFonts w:hint="eastAsia" w:ascii="宋体" w:hAnsi="宋体"/>
                <w:szCs w:val="24"/>
              </w:rPr>
            </w:pPr>
            <w:r>
              <w:rPr>
                <w:rFonts w:hint="eastAsia" w:ascii="宋体" w:hAnsi="宋体"/>
                <w:szCs w:val="24"/>
              </w:rPr>
              <w:t>评标基准价计算方法</w:t>
            </w:r>
          </w:p>
        </w:tc>
        <w:tc>
          <w:tcPr>
            <w:tcW w:w="7106" w:type="dxa"/>
            <w:vAlign w:val="center"/>
          </w:tcPr>
          <w:p w14:paraId="20757FDE">
            <w:pPr>
              <w:adjustRightInd w:val="0"/>
              <w:snapToGrid w:val="0"/>
              <w:spacing w:line="360" w:lineRule="exact"/>
              <w:rPr>
                <w:rFonts w:hint="eastAsia" w:ascii="宋体" w:hAnsi="宋体"/>
                <w:szCs w:val="24"/>
              </w:rPr>
            </w:pPr>
            <w:r>
              <w:rPr>
                <w:rFonts w:hint="eastAsia" w:ascii="宋体" w:hAnsi="宋体"/>
                <w:szCs w:val="24"/>
              </w:rPr>
              <w:t>评标基准价的计算：</w:t>
            </w:r>
          </w:p>
          <w:p w14:paraId="56B73A12">
            <w:pPr>
              <w:snapToGrid w:val="0"/>
              <w:spacing w:line="360" w:lineRule="exact"/>
              <w:ind w:firstLine="420" w:firstLineChars="200"/>
              <w:rPr>
                <w:rFonts w:hint="eastAsia" w:ascii="宋体" w:hAnsi="宋体"/>
                <w:szCs w:val="24"/>
              </w:rPr>
            </w:pPr>
            <w:r>
              <w:rPr>
                <w:rFonts w:ascii="宋体" w:hAnsi="宋体"/>
                <w:szCs w:val="21"/>
              </w:rPr>
              <w:t>在第二个信封开标现场，招标人将</w:t>
            </w:r>
            <w:r>
              <w:rPr>
                <w:rFonts w:hint="eastAsia" w:ascii="宋体" w:hAnsi="宋体"/>
                <w:szCs w:val="24"/>
              </w:rPr>
              <w:t>当场计算并宣布评标基准价。</w:t>
            </w:r>
          </w:p>
          <w:p w14:paraId="4E3B96E2">
            <w:pPr>
              <w:snapToGrid w:val="0"/>
              <w:spacing w:line="360" w:lineRule="exact"/>
              <w:ind w:firstLine="420" w:firstLineChars="200"/>
              <w:rPr>
                <w:rFonts w:hint="eastAsia" w:ascii="宋体" w:hAnsi="宋体"/>
                <w:szCs w:val="24"/>
              </w:rPr>
            </w:pPr>
            <w:r>
              <w:rPr>
                <w:rFonts w:hint="eastAsia" w:ascii="宋体" w:hAnsi="宋体"/>
                <w:szCs w:val="24"/>
              </w:rPr>
              <w:t>（1）评标价的确定：评标价=投标函文字报价</w:t>
            </w:r>
          </w:p>
          <w:p w14:paraId="5F184DD7">
            <w:pPr>
              <w:snapToGrid w:val="0"/>
              <w:spacing w:line="360" w:lineRule="exact"/>
              <w:ind w:firstLine="420" w:firstLineChars="200"/>
              <w:rPr>
                <w:rFonts w:hint="eastAsia" w:ascii="宋体" w:hAnsi="宋体"/>
                <w:szCs w:val="24"/>
              </w:rPr>
            </w:pPr>
            <w:r>
              <w:rPr>
                <w:rFonts w:hint="eastAsia" w:ascii="宋体" w:hAnsi="宋体"/>
                <w:szCs w:val="24"/>
              </w:rPr>
              <w:t>（2）评标价</w:t>
            </w:r>
            <w:r>
              <w:rPr>
                <w:rFonts w:hint="eastAsia" w:ascii="宋体" w:hAnsi="宋体"/>
                <w:szCs w:val="21"/>
              </w:rPr>
              <w:t>平均值</w:t>
            </w:r>
            <w:r>
              <w:rPr>
                <w:rFonts w:hint="eastAsia" w:ascii="宋体" w:hAnsi="宋体"/>
                <w:szCs w:val="24"/>
              </w:rPr>
              <w:t>的计算</w:t>
            </w:r>
          </w:p>
          <w:p w14:paraId="426F26F8">
            <w:pPr>
              <w:snapToGrid w:val="0"/>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3D36C738">
            <w:pPr>
              <w:snapToGrid w:val="0"/>
              <w:spacing w:line="360" w:lineRule="exact"/>
              <w:ind w:firstLine="420" w:firstLineChars="200"/>
              <w:rPr>
                <w:rFonts w:hint="eastAsia" w:ascii="宋体" w:hAnsi="宋体"/>
                <w:szCs w:val="21"/>
              </w:rPr>
            </w:pPr>
            <w:r>
              <w:rPr>
                <w:rFonts w:hint="eastAsia" w:ascii="宋体" w:hAnsi="宋体"/>
                <w:szCs w:val="21"/>
              </w:rPr>
              <w:t>注：N为评标价的个数；n1、n2 的取值：当 N﹤6 时，n1、n2 均取0；当6≤N＜10时，n1、n2均取1；当10≤N＜20时，n1、n2均取2；当20≤N＜30，n1、n2均取3；当30≤N≤40，n1、n2均取4；当40≤N≤50，n1、n2均取5；当N≥50, n1、n2均取6。</w:t>
            </w:r>
          </w:p>
          <w:p w14:paraId="798581FD">
            <w:pPr>
              <w:snapToGrid w:val="0"/>
              <w:spacing w:line="360" w:lineRule="exact"/>
              <w:ind w:firstLine="420" w:firstLineChars="200"/>
              <w:rPr>
                <w:rFonts w:hint="eastAsia" w:ascii="宋体" w:hAnsi="宋体"/>
                <w:szCs w:val="24"/>
              </w:rPr>
            </w:pPr>
            <w:r>
              <w:rPr>
                <w:rFonts w:hint="eastAsia" w:ascii="宋体" w:hAnsi="宋体"/>
                <w:szCs w:val="24"/>
              </w:rPr>
              <w:t>（3）评标基准价的确定：</w:t>
            </w:r>
          </w:p>
          <w:p w14:paraId="11D8AE2A">
            <w:pPr>
              <w:snapToGrid w:val="0"/>
              <w:spacing w:line="360" w:lineRule="exact"/>
              <w:ind w:firstLine="420" w:firstLineChars="200"/>
              <w:rPr>
                <w:rFonts w:hint="eastAsia" w:ascii="宋体" w:hAnsi="宋体"/>
                <w:szCs w:val="24"/>
              </w:rPr>
            </w:pPr>
            <w:r>
              <w:rPr>
                <w:rFonts w:hint="eastAsia" w:ascii="宋体" w:hAnsi="宋体"/>
                <w:szCs w:val="24"/>
              </w:rPr>
              <w:t>采取随机抽取的方式从下列方法中确定评标基准价的计算方法：</w:t>
            </w:r>
          </w:p>
          <w:p w14:paraId="409E406C">
            <w:pPr>
              <w:snapToGrid w:val="0"/>
              <w:spacing w:line="360" w:lineRule="exact"/>
              <w:ind w:firstLine="420" w:firstLineChars="200"/>
              <w:rPr>
                <w:rFonts w:hint="eastAsia" w:ascii="宋体" w:hAnsi="宋体"/>
                <w:szCs w:val="24"/>
              </w:rPr>
            </w:pPr>
            <w:r>
              <w:rPr>
                <w:rFonts w:hint="eastAsia" w:ascii="宋体" w:hAnsi="宋体"/>
                <w:szCs w:val="24"/>
              </w:rPr>
              <w:t>方法一：评标价平均值乘以评标基准价系数K1，作为评标基准价P。评标基准价系数K1取值范围为0.980、0.985、0.990、0.995、1.000，在开标现场随机抽取确定。</w:t>
            </w:r>
          </w:p>
          <w:p w14:paraId="121A4DCC">
            <w:pPr>
              <w:snapToGrid w:val="0"/>
              <w:spacing w:line="360" w:lineRule="exact"/>
              <w:ind w:firstLine="420" w:firstLineChars="200"/>
              <w:rPr>
                <w:rFonts w:hint="eastAsia" w:ascii="宋体" w:hAnsi="宋体"/>
                <w:szCs w:val="24"/>
              </w:rPr>
            </w:pPr>
            <w:r>
              <w:rPr>
                <w:rFonts w:hint="eastAsia" w:ascii="宋体" w:hAnsi="宋体"/>
                <w:szCs w:val="24"/>
              </w:rPr>
              <w:t>方法二：评标基准价P=评标价平均值×（1-K2）+最高投标限价×K2。系数K2取值范围为0.10、0.15、0.20、0.25、0.30，在开标现场随机抽取确定。</w:t>
            </w:r>
          </w:p>
          <w:p w14:paraId="1627476E">
            <w:pPr>
              <w:snapToGrid w:val="0"/>
              <w:spacing w:line="360" w:lineRule="exact"/>
              <w:ind w:firstLine="420" w:firstLineChars="200"/>
              <w:rPr>
                <w:rFonts w:hint="eastAsia" w:ascii="宋体" w:hAnsi="宋体"/>
                <w:szCs w:val="24"/>
              </w:rPr>
            </w:pPr>
            <w:r>
              <w:rPr>
                <w:rFonts w:hint="eastAsia" w:ascii="宋体" w:hAnsi="宋体"/>
                <w:szCs w:val="24"/>
              </w:rPr>
              <w:t>方法三：评标价平均值与投标人报价的中位数的平均值作为评标基准价P。</w:t>
            </w:r>
          </w:p>
          <w:p w14:paraId="7BEC02E6">
            <w:pPr>
              <w:snapToGrid w:val="0"/>
              <w:spacing w:line="360" w:lineRule="exact"/>
              <w:ind w:firstLine="420" w:firstLineChars="200"/>
              <w:rPr>
                <w:rFonts w:hint="eastAsia" w:ascii="宋体" w:hAnsi="宋体"/>
                <w:szCs w:val="24"/>
              </w:rPr>
            </w:pPr>
            <w:r>
              <w:rPr>
                <w:rFonts w:hint="eastAsia" w:ascii="宋体" w:hAnsi="宋体"/>
                <w:szCs w:val="24"/>
              </w:rPr>
              <w:t>中位数：把所有评标价按高低排序后找出正中间的一个作为中位数。如果评标价为偶数个，取最中间的两个数值的平均值作为中位数。</w:t>
            </w:r>
          </w:p>
          <w:p w14:paraId="28383DBF">
            <w:pPr>
              <w:snapToGrid w:val="0"/>
              <w:spacing w:line="360" w:lineRule="exact"/>
              <w:ind w:firstLine="420" w:firstLineChars="200"/>
              <w:rPr>
                <w:rFonts w:hint="eastAsia" w:ascii="宋体" w:hAnsi="宋体"/>
                <w:szCs w:val="24"/>
              </w:rPr>
            </w:pPr>
            <w:r>
              <w:rPr>
                <w:rFonts w:hint="eastAsia" w:ascii="宋体" w:hAnsi="宋体"/>
                <w:szCs w:val="24"/>
              </w:rPr>
              <w:t xml:space="preserve">评标基准价保留两位小数，第三位四舍五入。 </w:t>
            </w:r>
          </w:p>
          <w:p w14:paraId="10A59C89">
            <w:pPr>
              <w:snapToGrid w:val="0"/>
              <w:spacing w:line="360" w:lineRule="exact"/>
              <w:ind w:firstLine="420" w:firstLineChars="200"/>
              <w:rPr>
                <w:rFonts w:hint="eastAsia" w:ascii="宋体" w:hAnsi="宋体"/>
                <w:szCs w:val="24"/>
              </w:rPr>
            </w:pPr>
            <w:r>
              <w:rPr>
                <w:rFonts w:hint="eastAsia" w:ascii="宋体" w:hAnsi="宋体"/>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3C72E692">
            <w:pPr>
              <w:snapToGrid w:val="0"/>
              <w:spacing w:line="360" w:lineRule="exact"/>
              <w:ind w:firstLine="420" w:firstLineChars="200"/>
              <w:rPr>
                <w:rFonts w:hint="eastAsia" w:ascii="宋体" w:hAnsi="宋体"/>
                <w:szCs w:val="21"/>
              </w:rPr>
            </w:pPr>
            <w:r>
              <w:rPr>
                <w:rFonts w:hint="eastAsia" w:ascii="宋体" w:hAnsi="宋体"/>
                <w:szCs w:val="24"/>
              </w:rPr>
              <w:t>评标基准价保留小数点后两位，小数点后第三位四舍五入。</w:t>
            </w:r>
          </w:p>
        </w:tc>
      </w:tr>
      <w:tr w14:paraId="55C8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14:paraId="034CE754">
            <w:pPr>
              <w:jc w:val="center"/>
              <w:rPr>
                <w:rFonts w:hint="eastAsia" w:ascii="宋体" w:hAnsi="宋体" w:cs="宋体"/>
                <w:szCs w:val="21"/>
              </w:rPr>
            </w:pPr>
            <w:r>
              <w:rPr>
                <w:rFonts w:hint="eastAsia" w:ascii="宋体" w:hAnsi="宋体" w:cs="宋体"/>
                <w:szCs w:val="21"/>
              </w:rPr>
              <w:t>2.2.3</w:t>
            </w:r>
          </w:p>
        </w:tc>
        <w:tc>
          <w:tcPr>
            <w:tcW w:w="1246" w:type="dxa"/>
            <w:vAlign w:val="center"/>
          </w:tcPr>
          <w:p w14:paraId="38532602">
            <w:pPr>
              <w:spacing w:line="320" w:lineRule="exact"/>
              <w:jc w:val="center"/>
              <w:rPr>
                <w:rFonts w:hint="eastAsia"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7106" w:type="dxa"/>
            <w:vAlign w:val="center"/>
          </w:tcPr>
          <w:p w14:paraId="68E5DFD0">
            <w:pPr>
              <w:spacing w:line="320" w:lineRule="exact"/>
              <w:rPr>
                <w:rFonts w:hint="eastAsia" w:ascii="宋体" w:hAnsi="宋体"/>
                <w:szCs w:val="24"/>
              </w:rPr>
            </w:pPr>
            <w:r>
              <w:rPr>
                <w:rFonts w:hint="eastAsia" w:ascii="宋体" w:hAnsi="宋体"/>
                <w:szCs w:val="21"/>
              </w:rPr>
              <w:t>偏差率</w:t>
            </w:r>
            <w:r>
              <w:rPr>
                <w:rFonts w:ascii="宋体" w:hAnsi="宋体"/>
                <w:szCs w:val="21"/>
              </w:rPr>
              <w:t>=100%×（</w:t>
            </w:r>
            <w:r>
              <w:rPr>
                <w:rFonts w:hint="eastAsia" w:ascii="宋体" w:hAnsi="宋体"/>
                <w:szCs w:val="21"/>
              </w:rPr>
              <w:t>评标价－</w:t>
            </w:r>
            <w:r>
              <w:rPr>
                <w:rFonts w:ascii="宋体" w:hAnsi="宋体"/>
                <w:szCs w:val="21"/>
              </w:rPr>
              <w:t>评标基准价）/评标基准价</w:t>
            </w:r>
          </w:p>
        </w:tc>
      </w:tr>
      <w:tr w14:paraId="36F6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14:paraId="7661844D">
            <w:pPr>
              <w:jc w:val="center"/>
              <w:rPr>
                <w:rFonts w:hint="eastAsia" w:ascii="宋体" w:hAnsi="宋体" w:cs="宋体"/>
                <w:szCs w:val="21"/>
              </w:rPr>
            </w:pPr>
            <w:r>
              <w:rPr>
                <w:rFonts w:hint="eastAsia" w:ascii="宋体" w:hAnsi="宋体" w:cs="宋体"/>
                <w:szCs w:val="21"/>
              </w:rPr>
              <w:t>2</w:t>
            </w:r>
            <w:r>
              <w:rPr>
                <w:rFonts w:ascii="宋体" w:hAnsi="宋体" w:cs="宋体"/>
                <w:szCs w:val="21"/>
              </w:rPr>
              <w:t>.2.4</w:t>
            </w:r>
          </w:p>
        </w:tc>
        <w:tc>
          <w:tcPr>
            <w:tcW w:w="1246" w:type="dxa"/>
            <w:vAlign w:val="center"/>
          </w:tcPr>
          <w:p w14:paraId="161D7EB4">
            <w:pPr>
              <w:rPr>
                <w:rFonts w:hint="eastAsia" w:ascii="宋体" w:hAnsi="宋体"/>
                <w:szCs w:val="21"/>
              </w:rPr>
            </w:pPr>
            <w:r>
              <w:rPr>
                <w:rFonts w:hint="eastAsia" w:ascii="宋体" w:hAnsi="宋体"/>
                <w:szCs w:val="21"/>
              </w:rPr>
              <w:t>评分标准</w:t>
            </w:r>
          </w:p>
        </w:tc>
        <w:tc>
          <w:tcPr>
            <w:tcW w:w="7106" w:type="dxa"/>
            <w:vAlign w:val="center"/>
          </w:tcPr>
          <w:p w14:paraId="04927545">
            <w:pPr>
              <w:spacing w:line="320" w:lineRule="exact"/>
              <w:rPr>
                <w:rFonts w:hint="eastAsia" w:ascii="宋体" w:hAnsi="宋体"/>
                <w:szCs w:val="21"/>
              </w:rPr>
            </w:pPr>
            <w:r>
              <w:rPr>
                <w:rFonts w:hint="eastAsia" w:ascii="宋体" w:hAnsi="宋体"/>
                <w:szCs w:val="21"/>
              </w:rPr>
              <w:t>（1）承包人建议书标准：见本表后具体评分标准；</w:t>
            </w:r>
          </w:p>
          <w:p w14:paraId="01A97C30">
            <w:pPr>
              <w:spacing w:line="320" w:lineRule="exact"/>
              <w:rPr>
                <w:rFonts w:hint="eastAsia" w:ascii="宋体" w:hAnsi="宋体"/>
                <w:szCs w:val="21"/>
              </w:rPr>
            </w:pPr>
            <w:r>
              <w:rPr>
                <w:rFonts w:hint="eastAsia" w:ascii="宋体" w:hAnsi="宋体"/>
                <w:szCs w:val="21"/>
              </w:rPr>
              <w:t>（2）承包人实施方案标准：见本表后具体评分标准；</w:t>
            </w:r>
          </w:p>
          <w:p w14:paraId="5E0DDFAE">
            <w:pPr>
              <w:spacing w:line="320" w:lineRule="exact"/>
              <w:rPr>
                <w:rFonts w:hint="eastAsia" w:ascii="宋体" w:hAnsi="宋体"/>
                <w:szCs w:val="21"/>
              </w:rPr>
            </w:pPr>
            <w:r>
              <w:rPr>
                <w:rFonts w:hint="eastAsia" w:ascii="宋体" w:hAnsi="宋体"/>
                <w:szCs w:val="21"/>
              </w:rPr>
              <w:t>（3）资信业绩部分标准：见本表后具体评分标准；</w:t>
            </w:r>
          </w:p>
          <w:p w14:paraId="554AF06D">
            <w:pPr>
              <w:spacing w:line="320" w:lineRule="exact"/>
              <w:rPr>
                <w:szCs w:val="24"/>
              </w:rPr>
            </w:pPr>
            <w:r>
              <w:rPr>
                <w:rFonts w:hint="eastAsia" w:ascii="宋体" w:hAnsi="宋体"/>
                <w:szCs w:val="21"/>
              </w:rPr>
              <w:t>（4）评标价评分标准：见本表后具体评分标准。</w:t>
            </w:r>
          </w:p>
        </w:tc>
      </w:tr>
      <w:tr w14:paraId="150F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24AF7DC0">
            <w:pPr>
              <w:jc w:val="center"/>
              <w:rPr>
                <w:rFonts w:hint="eastAsia" w:ascii="宋体" w:hAnsi="宋体" w:cs="宋体"/>
                <w:szCs w:val="21"/>
              </w:rPr>
            </w:pPr>
            <w:r>
              <w:rPr>
                <w:rFonts w:hint="eastAsia" w:ascii="宋体" w:hAnsi="宋体"/>
                <w:szCs w:val="21"/>
              </w:rPr>
              <w:t>3</w:t>
            </w:r>
          </w:p>
        </w:tc>
        <w:tc>
          <w:tcPr>
            <w:tcW w:w="1246" w:type="dxa"/>
            <w:vAlign w:val="center"/>
          </w:tcPr>
          <w:p w14:paraId="7B77EE23">
            <w:pPr>
              <w:spacing w:line="320" w:lineRule="exact"/>
              <w:jc w:val="center"/>
              <w:rPr>
                <w:rFonts w:hint="eastAsia" w:ascii="宋体" w:hAnsi="宋体"/>
                <w:szCs w:val="21"/>
              </w:rPr>
            </w:pPr>
            <w:r>
              <w:rPr>
                <w:rFonts w:hint="eastAsia" w:ascii="宋体" w:hAnsi="宋体"/>
                <w:szCs w:val="21"/>
              </w:rPr>
              <w:t>评标程序</w:t>
            </w:r>
          </w:p>
        </w:tc>
        <w:tc>
          <w:tcPr>
            <w:tcW w:w="7106" w:type="dxa"/>
            <w:vAlign w:val="center"/>
          </w:tcPr>
          <w:p w14:paraId="42F7A82E">
            <w:pPr>
              <w:tabs>
                <w:tab w:val="left" w:pos="3060"/>
              </w:tabs>
              <w:snapToGrid w:val="0"/>
              <w:spacing w:line="288" w:lineRule="auto"/>
              <w:rPr>
                <w:rFonts w:hint="eastAsia" w:ascii="宋体" w:hAnsi="宋体"/>
                <w:szCs w:val="21"/>
              </w:rPr>
            </w:pPr>
            <w:r>
              <w:rPr>
                <w:rFonts w:hint="eastAsia" w:ascii="宋体" w:hAnsi="宋体"/>
                <w:szCs w:val="21"/>
              </w:rPr>
              <w:t>本款修改为：</w:t>
            </w:r>
          </w:p>
          <w:p w14:paraId="31FBC31B">
            <w:pPr>
              <w:snapToGrid w:val="0"/>
              <w:spacing w:line="288" w:lineRule="auto"/>
              <w:rPr>
                <w:rFonts w:hint="eastAsia" w:ascii="宋体" w:hAnsi="宋体"/>
                <w:b/>
                <w:szCs w:val="21"/>
              </w:rPr>
            </w:pPr>
            <w:r>
              <w:rPr>
                <w:rFonts w:hint="eastAsia" w:ascii="宋体" w:hAnsi="宋体"/>
                <w:b/>
                <w:szCs w:val="21"/>
              </w:rPr>
              <w:t>3. 评标程序</w:t>
            </w:r>
          </w:p>
          <w:p w14:paraId="2278A6D8">
            <w:pPr>
              <w:snapToGrid w:val="0"/>
              <w:spacing w:line="288" w:lineRule="auto"/>
              <w:ind w:firstLine="422" w:firstLineChars="200"/>
              <w:rPr>
                <w:rFonts w:hint="eastAsia" w:ascii="宋体" w:hAnsi="宋体"/>
                <w:b/>
                <w:szCs w:val="21"/>
              </w:rPr>
            </w:pPr>
            <w:r>
              <w:rPr>
                <w:rFonts w:hint="eastAsia" w:ascii="宋体" w:hAnsi="宋体"/>
                <w:b/>
                <w:szCs w:val="21"/>
              </w:rPr>
              <w:t>3.1 第一个信封初步评审</w:t>
            </w:r>
          </w:p>
          <w:p w14:paraId="09A5839D">
            <w:pPr>
              <w:snapToGrid w:val="0"/>
              <w:spacing w:line="288" w:lineRule="auto"/>
              <w:ind w:firstLine="420" w:firstLineChars="200"/>
              <w:rPr>
                <w:rFonts w:hint="eastAsia" w:ascii="宋体" w:hAnsi="宋体"/>
                <w:szCs w:val="21"/>
              </w:rPr>
            </w:pPr>
            <w:r>
              <w:rPr>
                <w:rFonts w:hint="eastAsia" w:ascii="宋体" w:hAnsi="宋体"/>
                <w:szCs w:val="21"/>
              </w:rPr>
              <w:t>3.1.1 评标委员会可以要求投标人提交第二章“投标人须知”第 3.5.1 项至第3.5.6项规定的有关证明和证件的原件，以便核验。评标委员会依据本章第2.1款规定的标准对投标文件第一个信封（商务文件）进行初步评审。有一项不符合评审标准的，评标委员会应否决其投标。</w:t>
            </w:r>
          </w:p>
          <w:p w14:paraId="2DB6DB07">
            <w:pPr>
              <w:snapToGrid w:val="0"/>
              <w:spacing w:line="288" w:lineRule="auto"/>
              <w:ind w:firstLine="422" w:firstLineChars="200"/>
              <w:rPr>
                <w:rFonts w:hint="eastAsia" w:ascii="宋体" w:hAnsi="宋体"/>
                <w:b/>
                <w:szCs w:val="21"/>
              </w:rPr>
            </w:pPr>
            <w:r>
              <w:rPr>
                <w:rFonts w:hint="eastAsia" w:ascii="宋体" w:hAnsi="宋体"/>
                <w:b/>
                <w:szCs w:val="21"/>
              </w:rPr>
              <w:t xml:space="preserve">3.2 第一个信封详细评审 </w:t>
            </w:r>
          </w:p>
          <w:p w14:paraId="5AFD6FD6">
            <w:pPr>
              <w:snapToGrid w:val="0"/>
              <w:spacing w:line="288" w:lineRule="auto"/>
              <w:ind w:firstLine="420" w:firstLineChars="200"/>
              <w:rPr>
                <w:rFonts w:hint="eastAsia" w:ascii="宋体" w:hAnsi="宋体"/>
                <w:szCs w:val="21"/>
              </w:rPr>
            </w:pPr>
            <w:r>
              <w:rPr>
                <w:rFonts w:hint="eastAsia" w:ascii="宋体" w:hAnsi="宋体"/>
                <w:szCs w:val="21"/>
              </w:rPr>
              <w:t>3.2.1 评标委员会按本章第2.2款规定的量化因素和分值进行打分，并计算出各投标人的商务和技术得分。</w:t>
            </w:r>
          </w:p>
          <w:p w14:paraId="47B84BD8">
            <w:pPr>
              <w:snapToGrid w:val="0"/>
              <w:spacing w:line="288" w:lineRule="auto"/>
              <w:ind w:firstLine="422" w:firstLineChars="200"/>
              <w:rPr>
                <w:rFonts w:hint="eastAsia" w:ascii="宋体" w:hAnsi="宋体"/>
                <w:szCs w:val="21"/>
              </w:rPr>
            </w:pPr>
            <w:r>
              <w:rPr>
                <w:rFonts w:hint="eastAsia" w:ascii="宋体" w:hAnsi="宋体"/>
                <w:b/>
                <w:bCs/>
                <w:szCs w:val="21"/>
              </w:rPr>
              <w:t>商务部分详细评审：</w:t>
            </w:r>
            <w:r>
              <w:rPr>
                <w:rFonts w:hint="eastAsia" w:ascii="宋体" w:hAnsi="宋体"/>
                <w:szCs w:val="21"/>
              </w:rPr>
              <w:t>按本章第2.2.4（</w:t>
            </w:r>
            <w:r>
              <w:rPr>
                <w:rFonts w:ascii="宋体" w:hAnsi="宋体"/>
                <w:szCs w:val="21"/>
              </w:rPr>
              <w:t>3</w:t>
            </w:r>
            <w:r>
              <w:rPr>
                <w:rFonts w:hint="eastAsia" w:ascii="宋体" w:hAnsi="宋体"/>
                <w:szCs w:val="21"/>
              </w:rPr>
              <w:t>）目规定的评审因素和分值对资信业绩部分计算出得分</w:t>
            </w:r>
            <w:r>
              <w:rPr>
                <w:rFonts w:ascii="宋体" w:hAnsi="宋体"/>
                <w:szCs w:val="21"/>
              </w:rPr>
              <w:t>A</w:t>
            </w:r>
            <w:r>
              <w:rPr>
                <w:rFonts w:hint="eastAsia" w:ascii="宋体" w:hAnsi="宋体"/>
                <w:szCs w:val="21"/>
              </w:rPr>
              <w:t>；</w:t>
            </w:r>
          </w:p>
          <w:p w14:paraId="044274EA">
            <w:pPr>
              <w:snapToGrid w:val="0"/>
              <w:spacing w:line="288" w:lineRule="auto"/>
              <w:ind w:firstLine="422" w:firstLineChars="200"/>
              <w:rPr>
                <w:rFonts w:hint="eastAsia" w:ascii="宋体" w:hAnsi="宋体"/>
                <w:szCs w:val="21"/>
              </w:rPr>
            </w:pPr>
            <w:r>
              <w:rPr>
                <w:rFonts w:hint="eastAsia"/>
                <w:b/>
                <w:bCs/>
                <w:szCs w:val="24"/>
              </w:rPr>
              <w:t>技术部分（暗标）详细评审：</w:t>
            </w:r>
            <w:r>
              <w:rPr>
                <w:rFonts w:hint="eastAsia" w:ascii="宋体" w:hAnsi="宋体"/>
                <w:szCs w:val="21"/>
              </w:rPr>
              <w:t>按本章第2.2.4（</w:t>
            </w:r>
            <w:r>
              <w:rPr>
                <w:rFonts w:ascii="宋体" w:hAnsi="宋体"/>
                <w:szCs w:val="21"/>
              </w:rPr>
              <w:t>1</w:t>
            </w:r>
            <w:r>
              <w:rPr>
                <w:rFonts w:hint="eastAsia" w:ascii="宋体" w:hAnsi="宋体"/>
                <w:szCs w:val="21"/>
              </w:rPr>
              <w:t>）目和2.2.4（</w:t>
            </w:r>
            <w:r>
              <w:rPr>
                <w:rFonts w:ascii="宋体" w:hAnsi="宋体"/>
                <w:szCs w:val="21"/>
              </w:rPr>
              <w:t>2</w:t>
            </w:r>
            <w:r>
              <w:rPr>
                <w:rFonts w:hint="eastAsia" w:ascii="宋体" w:hAnsi="宋体"/>
                <w:szCs w:val="21"/>
              </w:rPr>
              <w:t>）目规定的评审因素和分值对承包人建议书和承包人实施方案（暗标）计算出得分</w:t>
            </w:r>
            <w:r>
              <w:rPr>
                <w:rFonts w:ascii="宋体" w:hAnsi="宋体"/>
                <w:szCs w:val="21"/>
              </w:rPr>
              <w:t>B</w:t>
            </w:r>
            <w:r>
              <w:rPr>
                <w:rFonts w:hint="eastAsia" w:ascii="宋体" w:hAnsi="宋体"/>
                <w:szCs w:val="21"/>
              </w:rPr>
              <w:t>；承包人建议书和承包人实施方案（暗标）不符合招标文件第二章“投标人须知”第</w:t>
            </w:r>
            <w:r>
              <w:rPr>
                <w:rFonts w:ascii="宋体" w:hAnsi="宋体"/>
                <w:szCs w:val="21"/>
              </w:rPr>
              <w:t>9</w:t>
            </w:r>
            <w:r>
              <w:rPr>
                <w:rFonts w:hint="eastAsia" w:ascii="宋体" w:hAnsi="宋体"/>
                <w:szCs w:val="21"/>
              </w:rPr>
              <w:t>.2款的规定的，评标委员会应否决其投标。</w:t>
            </w:r>
          </w:p>
          <w:p w14:paraId="048BE783">
            <w:pPr>
              <w:snapToGrid w:val="0"/>
              <w:spacing w:line="288" w:lineRule="auto"/>
              <w:ind w:firstLine="420" w:firstLineChars="200"/>
              <w:rPr>
                <w:rFonts w:hint="eastAsia" w:ascii="宋体" w:hAnsi="宋体"/>
                <w:szCs w:val="21"/>
              </w:rPr>
            </w:pPr>
            <w:r>
              <w:rPr>
                <w:rFonts w:hint="eastAsia" w:ascii="宋体" w:hAnsi="宋体"/>
                <w:szCs w:val="21"/>
              </w:rPr>
              <w:t>3.2.2 投标人的商务和技术得分分值计算保留小数点后两位，小数点后第三位 “四舍五入”。</w:t>
            </w:r>
          </w:p>
          <w:p w14:paraId="063D5067">
            <w:pPr>
              <w:spacing w:after="156" w:afterLines="50"/>
              <w:ind w:firstLine="420" w:firstLineChars="200"/>
              <w:rPr>
                <w:rFonts w:hint="eastAsia" w:ascii="宋体" w:hAnsi="宋体"/>
                <w:b/>
                <w:bCs/>
                <w:szCs w:val="21"/>
              </w:rPr>
            </w:pPr>
            <w:r>
              <w:rPr>
                <w:rFonts w:hint="eastAsia" w:ascii="宋体" w:hAnsi="宋体"/>
                <w:szCs w:val="21"/>
              </w:rPr>
              <w:t>3.2.3 投标人的商务和技术得分=</w:t>
            </w:r>
            <w:r>
              <w:rPr>
                <w:rFonts w:hint="eastAsia"/>
                <w:szCs w:val="24"/>
              </w:rPr>
              <w:t xml:space="preserve"> A+B</w:t>
            </w:r>
            <w:r>
              <w:rPr>
                <w:rFonts w:hint="eastAsia" w:ascii="宋体" w:hAnsi="宋体"/>
                <w:szCs w:val="21"/>
              </w:rPr>
              <w:t>。</w:t>
            </w:r>
          </w:p>
          <w:p w14:paraId="794241A7">
            <w:pPr>
              <w:snapToGrid w:val="0"/>
              <w:spacing w:line="288" w:lineRule="auto"/>
              <w:ind w:firstLine="422" w:firstLineChars="200"/>
              <w:rPr>
                <w:rFonts w:hint="eastAsia" w:ascii="宋体" w:hAnsi="宋体"/>
                <w:b/>
                <w:szCs w:val="21"/>
              </w:rPr>
            </w:pPr>
            <w:r>
              <w:rPr>
                <w:rFonts w:hint="eastAsia" w:ascii="宋体" w:hAnsi="宋体"/>
                <w:b/>
                <w:szCs w:val="21"/>
              </w:rPr>
              <w:t xml:space="preserve">3.3 第二个信封开标 </w:t>
            </w:r>
          </w:p>
          <w:p w14:paraId="7DDD9362">
            <w:pPr>
              <w:snapToGrid w:val="0"/>
              <w:spacing w:line="288" w:lineRule="auto"/>
              <w:ind w:firstLine="420" w:firstLineChars="200"/>
              <w:rPr>
                <w:rFonts w:hint="eastAsia" w:ascii="宋体" w:hAnsi="宋体"/>
                <w:szCs w:val="21"/>
              </w:rPr>
            </w:pPr>
            <w:r>
              <w:rPr>
                <w:rFonts w:hint="eastAsia" w:ascii="宋体" w:hAnsi="宋体"/>
                <w:szCs w:val="21"/>
              </w:rPr>
              <w:t>第一个信封（商务及技术文件）评审结束后，招标人将按照第二章“投标人须知”第 5.1 款规定的时间和地点对通过投标文件第一个信封（商务及技术文件）评审的投标文件第二个信封（报价文件）进行开标。</w:t>
            </w:r>
          </w:p>
          <w:p w14:paraId="386C1036">
            <w:pPr>
              <w:snapToGrid w:val="0"/>
              <w:spacing w:line="288" w:lineRule="auto"/>
              <w:ind w:firstLine="422" w:firstLineChars="200"/>
              <w:rPr>
                <w:rFonts w:hint="eastAsia" w:ascii="宋体" w:hAnsi="宋体"/>
                <w:b/>
                <w:szCs w:val="21"/>
              </w:rPr>
            </w:pPr>
            <w:r>
              <w:rPr>
                <w:rFonts w:hint="eastAsia" w:ascii="宋体" w:hAnsi="宋体"/>
                <w:b/>
                <w:szCs w:val="21"/>
              </w:rPr>
              <w:t>3.4 第二个信封初步评审</w:t>
            </w:r>
          </w:p>
          <w:p w14:paraId="24B6B9F7">
            <w:pPr>
              <w:snapToGrid w:val="0"/>
              <w:spacing w:line="288" w:lineRule="auto"/>
              <w:ind w:firstLine="420" w:firstLineChars="200"/>
              <w:rPr>
                <w:rFonts w:hint="eastAsia" w:ascii="宋体" w:hAnsi="宋体"/>
                <w:szCs w:val="21"/>
              </w:rPr>
            </w:pPr>
            <w:r>
              <w:rPr>
                <w:rFonts w:hint="eastAsia" w:ascii="宋体" w:hAnsi="宋体"/>
                <w:szCs w:val="21"/>
              </w:rPr>
              <w:t xml:space="preserve">3.4.1 评标委员会依据本章第 2.1.1 项、第 2.1.3 项规定的评审标准对投标文件第二个信封（报价文件）进行初步评审。有一项不符合评审标准的，评标委员会应否决其投标。 </w:t>
            </w:r>
          </w:p>
          <w:p w14:paraId="1109041D">
            <w:pPr>
              <w:snapToGrid w:val="0"/>
              <w:spacing w:line="288" w:lineRule="auto"/>
              <w:ind w:firstLine="420" w:firstLineChars="200"/>
              <w:rPr>
                <w:rFonts w:hint="eastAsia" w:ascii="宋体" w:hAnsi="宋体"/>
                <w:szCs w:val="21"/>
              </w:rPr>
            </w:pPr>
            <w:r>
              <w:rPr>
                <w:rFonts w:hint="eastAsia" w:ascii="宋体" w:hAnsi="宋体"/>
                <w:szCs w:val="21"/>
              </w:rPr>
              <w:t>3.4.2 投标报价有算术错误的，评标委员会按以下原则对投标报价进行修正，修正的价格经投标人书面确认后具有约束力。投标人不接受修正价格的，评标委员会应否决其投标。</w:t>
            </w:r>
          </w:p>
          <w:p w14:paraId="21EF75AC">
            <w:pPr>
              <w:snapToGrid w:val="0"/>
              <w:spacing w:line="288" w:lineRule="auto"/>
              <w:ind w:firstLine="420" w:firstLineChars="200"/>
              <w:rPr>
                <w:rFonts w:hint="eastAsia" w:ascii="宋体" w:hAnsi="宋体"/>
                <w:szCs w:val="21"/>
              </w:rPr>
            </w:pPr>
            <w:r>
              <w:rPr>
                <w:rFonts w:hint="eastAsia" w:ascii="宋体" w:hAnsi="宋体"/>
                <w:szCs w:val="21"/>
              </w:rPr>
              <w:t>(1)投标文件中的大写金额与小写金额不一致的，以大写金额为准；</w:t>
            </w:r>
          </w:p>
          <w:p w14:paraId="7A82169B">
            <w:pPr>
              <w:snapToGrid w:val="0"/>
              <w:spacing w:line="288" w:lineRule="auto"/>
              <w:ind w:firstLine="420" w:firstLineChars="200"/>
              <w:rPr>
                <w:rFonts w:hint="eastAsia" w:ascii="宋体" w:hAnsi="宋体"/>
                <w:szCs w:val="21"/>
              </w:rPr>
            </w:pPr>
            <w:r>
              <w:rPr>
                <w:rFonts w:hint="eastAsia" w:ascii="宋体" w:hAnsi="宋体"/>
                <w:szCs w:val="21"/>
              </w:rPr>
              <w:t>(2)总价金额与依据单价计算出的结果不一致的，以单价金额为准修正总价，但单价金额小数点有明显错误的除外；</w:t>
            </w:r>
          </w:p>
          <w:p w14:paraId="6BAA3151">
            <w:pPr>
              <w:snapToGrid w:val="0"/>
              <w:spacing w:line="288" w:lineRule="auto"/>
              <w:ind w:firstLine="420" w:firstLineChars="200"/>
              <w:rPr>
                <w:rFonts w:hint="eastAsia" w:ascii="宋体" w:hAnsi="宋体"/>
                <w:szCs w:val="21"/>
              </w:rPr>
            </w:pPr>
            <w:r>
              <w:rPr>
                <w:rFonts w:hint="eastAsia" w:ascii="宋体" w:hAnsi="宋体"/>
                <w:szCs w:val="21"/>
              </w:rPr>
              <w:t>(3)当单价与数量相乘不等于合价时，以单价计算为准，如果单价有明显的小数点位置差错，应以标出的合价为准，同时对单价予以修正；</w:t>
            </w:r>
          </w:p>
          <w:p w14:paraId="7B32D7C0">
            <w:pPr>
              <w:snapToGrid w:val="0"/>
              <w:spacing w:line="288" w:lineRule="auto"/>
              <w:ind w:firstLine="420" w:firstLineChars="200"/>
              <w:rPr>
                <w:rFonts w:hint="eastAsia" w:ascii="宋体" w:hAnsi="宋体"/>
                <w:szCs w:val="21"/>
              </w:rPr>
            </w:pPr>
            <w:r>
              <w:rPr>
                <w:rFonts w:hint="eastAsia" w:ascii="宋体" w:hAnsi="宋体"/>
                <w:szCs w:val="21"/>
              </w:rPr>
              <w:t>(4)当各子目的合价累计不等于总价时，应以各子目合价累计数为准，修正总价。</w:t>
            </w:r>
          </w:p>
          <w:p w14:paraId="688BCD2B">
            <w:pPr>
              <w:snapToGrid w:val="0"/>
              <w:spacing w:line="288" w:lineRule="auto"/>
              <w:ind w:firstLine="420" w:firstLineChars="200"/>
              <w:rPr>
                <w:rFonts w:hint="eastAsia" w:ascii="宋体" w:hAnsi="宋体"/>
                <w:szCs w:val="21"/>
              </w:rPr>
            </w:pPr>
            <w:r>
              <w:rPr>
                <w:rFonts w:hint="eastAsia" w:ascii="宋体" w:hAnsi="宋体"/>
                <w:szCs w:val="21"/>
              </w:rPr>
              <w:t>3.4.3修正后的最终投标报价若超过最高投标限价，评标委员会应否决其投标。</w:t>
            </w:r>
          </w:p>
          <w:p w14:paraId="564AE487">
            <w:pPr>
              <w:snapToGrid w:val="0"/>
              <w:spacing w:line="288" w:lineRule="auto"/>
              <w:ind w:firstLine="420" w:firstLineChars="200"/>
              <w:rPr>
                <w:rFonts w:hint="eastAsia" w:ascii="宋体" w:hAnsi="宋体"/>
                <w:szCs w:val="21"/>
              </w:rPr>
            </w:pPr>
            <w:r>
              <w:rPr>
                <w:rFonts w:hint="eastAsia" w:ascii="宋体" w:hAnsi="宋体"/>
                <w:szCs w:val="21"/>
              </w:rPr>
              <w:t>3.4.4修正后的最终投标报价仅作为签订合同的一个依据，不参与评标价得分的计算。</w:t>
            </w:r>
          </w:p>
          <w:p w14:paraId="122DFD31">
            <w:pPr>
              <w:snapToGrid w:val="0"/>
              <w:spacing w:line="288" w:lineRule="auto"/>
              <w:ind w:firstLine="422" w:firstLineChars="200"/>
              <w:rPr>
                <w:rFonts w:hint="eastAsia" w:ascii="宋体" w:hAnsi="宋体"/>
                <w:b/>
                <w:szCs w:val="21"/>
              </w:rPr>
            </w:pPr>
            <w:r>
              <w:rPr>
                <w:rFonts w:hint="eastAsia" w:ascii="宋体" w:hAnsi="宋体"/>
                <w:b/>
                <w:szCs w:val="21"/>
              </w:rPr>
              <w:t xml:space="preserve">3.5 第二个信封详细评审 </w:t>
            </w:r>
          </w:p>
          <w:p w14:paraId="0956F4BB">
            <w:pPr>
              <w:snapToGrid w:val="0"/>
              <w:spacing w:line="288" w:lineRule="auto"/>
              <w:ind w:firstLine="420" w:firstLineChars="200"/>
              <w:rPr>
                <w:rFonts w:hint="eastAsia" w:ascii="宋体" w:hAnsi="宋体"/>
                <w:szCs w:val="21"/>
              </w:rPr>
            </w:pPr>
            <w:r>
              <w:rPr>
                <w:rFonts w:hint="eastAsia" w:ascii="宋体" w:hAnsi="宋体"/>
                <w:szCs w:val="21"/>
              </w:rPr>
              <w:t>3.5.1 评标委员会按本章第 2.2.4（4）目规定的评审因素和分值对评标价计算出得分</w:t>
            </w:r>
            <w:r>
              <w:rPr>
                <w:rFonts w:ascii="宋体" w:hAnsi="宋体"/>
                <w:szCs w:val="21"/>
              </w:rPr>
              <w:t>C</w:t>
            </w:r>
            <w:r>
              <w:rPr>
                <w:rFonts w:hint="eastAsia" w:ascii="宋体" w:hAnsi="宋体"/>
                <w:szCs w:val="21"/>
              </w:rPr>
              <w:t xml:space="preserve">。评标价得分分值计算保留小数点后两位，小数点后第三位“四舍五入”。 </w:t>
            </w:r>
          </w:p>
          <w:p w14:paraId="67F758B0">
            <w:pPr>
              <w:snapToGrid w:val="0"/>
              <w:spacing w:line="288" w:lineRule="auto"/>
              <w:ind w:firstLine="420" w:firstLineChars="200"/>
              <w:rPr>
                <w:rFonts w:hint="eastAsia" w:ascii="宋体" w:hAnsi="宋体"/>
                <w:szCs w:val="21"/>
              </w:rPr>
            </w:pPr>
            <w:r>
              <w:rPr>
                <w:rFonts w:hint="eastAsia" w:ascii="宋体" w:hAnsi="宋体"/>
                <w:szCs w:val="21"/>
              </w:rPr>
              <w:t>3.5.2 投标人综合得分=A</w:t>
            </w:r>
            <w:r>
              <w:rPr>
                <w:rFonts w:ascii="宋体" w:hAnsi="宋体"/>
                <w:szCs w:val="21"/>
              </w:rPr>
              <w:t>+B</w:t>
            </w:r>
            <w:r>
              <w:rPr>
                <w:rFonts w:hint="eastAsia" w:ascii="宋体" w:hAnsi="宋体"/>
                <w:szCs w:val="21"/>
              </w:rPr>
              <w:t>+</w:t>
            </w:r>
            <w:r>
              <w:rPr>
                <w:rFonts w:ascii="宋体" w:hAnsi="宋体"/>
                <w:szCs w:val="21"/>
              </w:rPr>
              <w:t>C</w:t>
            </w:r>
            <w:r>
              <w:rPr>
                <w:rFonts w:hint="eastAsia" w:ascii="宋体" w:hAnsi="宋体"/>
                <w:szCs w:val="21"/>
              </w:rPr>
              <w:t>。</w:t>
            </w:r>
          </w:p>
          <w:p w14:paraId="17123EF7">
            <w:pPr>
              <w:snapToGrid w:val="0"/>
              <w:spacing w:after="156" w:afterLines="50" w:line="288" w:lineRule="auto"/>
              <w:ind w:firstLine="420" w:firstLineChars="200"/>
              <w:rPr>
                <w:rFonts w:hint="eastAsia" w:ascii="宋体" w:hAnsi="宋体"/>
                <w:szCs w:val="21"/>
              </w:rPr>
            </w:pPr>
            <w:r>
              <w:rPr>
                <w:rFonts w:hint="eastAsia" w:ascii="宋体" w:hAnsi="宋体"/>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14:paraId="32065A34">
            <w:pPr>
              <w:snapToGrid w:val="0"/>
              <w:spacing w:line="288" w:lineRule="auto"/>
              <w:ind w:firstLine="422" w:firstLineChars="200"/>
              <w:rPr>
                <w:rFonts w:hint="eastAsia" w:ascii="宋体" w:hAnsi="宋体"/>
                <w:b/>
                <w:szCs w:val="21"/>
              </w:rPr>
            </w:pPr>
            <w:r>
              <w:rPr>
                <w:rFonts w:hint="eastAsia" w:ascii="宋体" w:hAnsi="宋体"/>
                <w:b/>
                <w:szCs w:val="21"/>
              </w:rPr>
              <w:t>3.</w:t>
            </w:r>
            <w:r>
              <w:rPr>
                <w:rFonts w:ascii="宋体" w:hAnsi="宋体"/>
                <w:b/>
                <w:szCs w:val="21"/>
              </w:rPr>
              <w:t>6</w:t>
            </w:r>
            <w:r>
              <w:rPr>
                <w:rFonts w:hint="eastAsia" w:ascii="宋体" w:hAnsi="宋体"/>
                <w:b/>
                <w:szCs w:val="21"/>
              </w:rPr>
              <w:t xml:space="preserve"> 投标文件相关信息的核查</w:t>
            </w:r>
          </w:p>
          <w:p w14:paraId="38BF59E1">
            <w:pPr>
              <w:autoSpaceDE w:val="0"/>
              <w:autoSpaceDN w:val="0"/>
              <w:spacing w:line="273" w:lineRule="auto"/>
              <w:ind w:firstLine="420" w:firstLineChars="200"/>
              <w:rPr>
                <w:rFonts w:hint="eastAsia" w:ascii="宋体" w:hAnsi="宋体"/>
                <w:szCs w:val="24"/>
              </w:rPr>
            </w:pPr>
            <w:r>
              <w:rPr>
                <w:rFonts w:hint="eastAsia" w:ascii="宋体" w:hAnsi="宋体"/>
                <w:szCs w:val="21"/>
              </w:rPr>
              <w:t>3.</w:t>
            </w:r>
            <w:r>
              <w:rPr>
                <w:rFonts w:ascii="宋体" w:hAnsi="宋体"/>
                <w:szCs w:val="21"/>
              </w:rPr>
              <w:t>6</w:t>
            </w:r>
            <w:r>
              <w:rPr>
                <w:rFonts w:hint="eastAsia" w:ascii="宋体" w:hAnsi="宋体"/>
                <w:szCs w:val="21"/>
              </w:rPr>
              <w:t>.1</w:t>
            </w:r>
            <w:r>
              <w:rPr>
                <w:rFonts w:hint="eastAsia" w:ascii="宋体" w:hAnsi="宋体"/>
                <w:b/>
                <w:szCs w:val="24"/>
              </w:rPr>
              <w:t>在评标过程中，评标委员会应对投标人以下信息进行查询：</w:t>
            </w:r>
          </w:p>
          <w:p w14:paraId="1FE7D02D">
            <w:pPr>
              <w:autoSpaceDE w:val="0"/>
              <w:autoSpaceDN w:val="0"/>
              <w:spacing w:line="273" w:lineRule="auto"/>
              <w:ind w:firstLine="420" w:firstLineChars="200"/>
              <w:rPr>
                <w:rFonts w:hint="eastAsia" w:ascii="宋体" w:hAnsi="宋体"/>
                <w:szCs w:val="21"/>
              </w:rPr>
            </w:pPr>
            <w:r>
              <w:rPr>
                <w:rFonts w:hint="eastAsia" w:ascii="宋体" w:hAnsi="宋体"/>
                <w:szCs w:val="24"/>
              </w:rPr>
              <w:t>（1）投标人名称和资质与“全国公路建设市场信用信息管理系统（http://glxy.mot.gov.cn</w:t>
            </w:r>
            <w:r>
              <w:rPr>
                <w:rFonts w:hint="eastAsia" w:ascii="宋体" w:hAnsi="宋体"/>
                <w:szCs w:val="21"/>
              </w:rPr>
              <w:t>/）”的复核结果一致</w:t>
            </w:r>
            <w:r>
              <w:rPr>
                <w:rFonts w:hint="eastAsia" w:ascii="宋体" w:hAnsi="宋体"/>
                <w:bCs/>
                <w:szCs w:val="21"/>
              </w:rPr>
              <w:t>（工程设计综合甲级资质不适用）</w:t>
            </w:r>
            <w:r>
              <w:rPr>
                <w:rFonts w:hint="eastAsia" w:ascii="宋体" w:hAnsi="宋体"/>
                <w:szCs w:val="21"/>
              </w:rPr>
              <w:t>；</w:t>
            </w:r>
          </w:p>
          <w:p w14:paraId="1B2A141C">
            <w:pPr>
              <w:autoSpaceDE w:val="0"/>
              <w:autoSpaceDN w:val="0"/>
              <w:spacing w:line="273" w:lineRule="auto"/>
              <w:ind w:firstLine="420" w:firstLineChars="200"/>
              <w:rPr>
                <w:rFonts w:hint="eastAsia" w:ascii="宋体" w:hAnsi="宋体"/>
                <w:szCs w:val="24"/>
              </w:rPr>
            </w:pPr>
            <w:r>
              <w:rPr>
                <w:rFonts w:hint="eastAsia" w:ascii="宋体" w:hAnsi="宋体"/>
                <w:szCs w:val="24"/>
              </w:rPr>
              <w:t>（2）投标人所附“近年完成的类似项目”业绩详细信息网页截图复印件与“全国公路建设市场信用信息管理系统（http://glxy.mot.gov.cn/）”的复核结果一致；投标人所附设计负责人、项目经理（兼施工负责人）、项目总工业绩的网页截图复印件与全国公路建设市场信用信息管理系统（http://glxy.mot.gov.cn/）的复核结果一致；</w:t>
            </w:r>
          </w:p>
          <w:p w14:paraId="38522DC5">
            <w:pPr>
              <w:autoSpaceDE w:val="0"/>
              <w:autoSpaceDN w:val="0"/>
              <w:spacing w:line="273" w:lineRule="auto"/>
              <w:ind w:firstLine="420" w:firstLineChars="200"/>
              <w:rPr>
                <w:rFonts w:hint="eastAsia" w:ascii="宋体" w:hAnsi="宋体"/>
                <w:szCs w:val="24"/>
              </w:rPr>
            </w:pPr>
            <w:r>
              <w:rPr>
                <w:rFonts w:hint="eastAsia" w:ascii="宋体" w:hAnsi="宋体"/>
                <w:szCs w:val="24"/>
              </w:rPr>
              <w:t>（3）投标人所附项目经理（兼施工负责人）一级注册建造师信息的网页截图复印件与“全国建筑市场监管公共服务平台（http://jzsc.mohurd.gov.cn/）”核查的结果一致。所附项目经理（兼施工负责人）的安全生产考核合格证的网页截图复印件与“交通运输部公路水运工程企业负责人和安全生产管理人员信息公共平台查询网站（http://219.143.235.78:8080/khglui/”核查的结果一致。</w:t>
            </w:r>
          </w:p>
          <w:p w14:paraId="43B2AFDD">
            <w:pPr>
              <w:autoSpaceDE w:val="0"/>
              <w:autoSpaceDN w:val="0"/>
              <w:spacing w:line="273" w:lineRule="auto"/>
              <w:ind w:firstLine="420" w:firstLineChars="200"/>
              <w:rPr>
                <w:rFonts w:hint="eastAsia" w:ascii="宋体" w:hAnsi="宋体"/>
                <w:szCs w:val="24"/>
              </w:rPr>
            </w:pPr>
            <w:r>
              <w:rPr>
                <w:rFonts w:hint="eastAsia" w:ascii="宋体" w:hAnsi="宋体"/>
                <w:szCs w:val="24"/>
              </w:rPr>
              <w:t>（4）投标人信用情况网页截图内容与在“国家企业信用信息公示系统”中严重违法失信企业名单（不含分公司）或在“信用中国”网站中失信被执行人名单、经营异常名录、重大税收违法失信主体名单、政府采购严重违法失信名单、安全生产严重失信主体名单（均不含分公司）的复核结果一致。</w:t>
            </w:r>
          </w:p>
          <w:p w14:paraId="39118E32">
            <w:pPr>
              <w:autoSpaceDE w:val="0"/>
              <w:autoSpaceDN w:val="0"/>
              <w:spacing w:line="273" w:lineRule="auto"/>
              <w:ind w:firstLine="420" w:firstLineChars="200"/>
              <w:rPr>
                <w:rFonts w:hint="eastAsia" w:ascii="宋体" w:hAnsi="宋体"/>
                <w:szCs w:val="24"/>
              </w:rPr>
            </w:pPr>
            <w:r>
              <w:rPr>
                <w:rFonts w:hint="eastAsia" w:ascii="宋体" w:hAnsi="宋体"/>
                <w:szCs w:val="24"/>
              </w:rPr>
              <w:t>前述（1）、（2）、（3）、（4）项如投标人未提供相关网页截图或所附截图与复核结果不一致导致不能满足资格评审要求的，评标委员会应否决其投标。</w:t>
            </w:r>
          </w:p>
          <w:p w14:paraId="7188F6FE">
            <w:pPr>
              <w:autoSpaceDE w:val="0"/>
              <w:autoSpaceDN w:val="0"/>
              <w:spacing w:line="273" w:lineRule="auto"/>
              <w:ind w:firstLine="420" w:firstLineChars="200"/>
              <w:rPr>
                <w:rFonts w:hint="eastAsia" w:ascii="宋体" w:hAnsi="宋体"/>
                <w:szCs w:val="24"/>
              </w:rPr>
            </w:pPr>
            <w:r>
              <w:rPr>
                <w:rFonts w:hint="eastAsia" w:ascii="宋体" w:hAnsi="宋体"/>
                <w:szCs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2E785E84">
            <w:pPr>
              <w:autoSpaceDE w:val="0"/>
              <w:autoSpaceDN w:val="0"/>
              <w:spacing w:line="273" w:lineRule="auto"/>
              <w:ind w:firstLine="420" w:firstLineChars="200"/>
              <w:rPr>
                <w:szCs w:val="24"/>
              </w:rPr>
            </w:pPr>
            <w:r>
              <w:rPr>
                <w:rFonts w:hint="eastAsia"/>
                <w:szCs w:val="24"/>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14:paraId="5ACECBB0">
            <w:pPr>
              <w:snapToGrid w:val="0"/>
              <w:spacing w:line="288" w:lineRule="auto"/>
              <w:ind w:firstLine="420" w:firstLineChars="200"/>
              <w:rPr>
                <w:rFonts w:hint="eastAsia" w:ascii="宋体" w:hAnsi="宋体"/>
                <w:szCs w:val="21"/>
              </w:rPr>
            </w:pPr>
            <w:r>
              <w:rPr>
                <w:rFonts w:hint="eastAsia" w:ascii="宋体" w:hAnsi="宋体"/>
                <w:szCs w:val="21"/>
              </w:rPr>
              <w:t>3.</w:t>
            </w:r>
            <w:r>
              <w:rPr>
                <w:rFonts w:ascii="宋体" w:hAnsi="宋体"/>
                <w:szCs w:val="21"/>
              </w:rPr>
              <w:t>6</w:t>
            </w:r>
            <w:r>
              <w:rPr>
                <w:rFonts w:hint="eastAsia" w:ascii="宋体" w:hAnsi="宋体"/>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14:paraId="4A6901B1">
            <w:pPr>
              <w:snapToGrid w:val="0"/>
              <w:spacing w:line="288" w:lineRule="auto"/>
              <w:ind w:firstLine="420" w:firstLineChars="200"/>
              <w:rPr>
                <w:rFonts w:hint="eastAsia" w:ascii="宋体" w:hAnsi="宋体"/>
                <w:szCs w:val="21"/>
              </w:rPr>
            </w:pPr>
            <w:r>
              <w:rPr>
                <w:rFonts w:hint="eastAsia" w:ascii="宋体" w:hAnsi="宋体"/>
                <w:szCs w:val="21"/>
              </w:rPr>
              <w:t>（1）有下列情形之一的，属于投标人相互串通投标：</w:t>
            </w:r>
          </w:p>
          <w:p w14:paraId="3972CC93">
            <w:pPr>
              <w:snapToGrid w:val="0"/>
              <w:spacing w:line="288" w:lineRule="auto"/>
              <w:ind w:firstLine="420" w:firstLineChars="200"/>
              <w:rPr>
                <w:rFonts w:hint="eastAsia" w:ascii="宋体" w:hAnsi="宋体"/>
                <w:szCs w:val="21"/>
              </w:rPr>
            </w:pPr>
            <w:r>
              <w:rPr>
                <w:rFonts w:hint="eastAsia" w:ascii="宋体" w:hAnsi="宋体"/>
                <w:szCs w:val="21"/>
              </w:rPr>
              <w:t>a.投标人之间协商投标报价等投标文件的实质性内容；</w:t>
            </w:r>
          </w:p>
          <w:p w14:paraId="041F051D">
            <w:pPr>
              <w:snapToGrid w:val="0"/>
              <w:spacing w:line="288" w:lineRule="auto"/>
              <w:ind w:firstLine="420" w:firstLineChars="200"/>
              <w:rPr>
                <w:rFonts w:hint="eastAsia" w:ascii="宋体" w:hAnsi="宋体"/>
                <w:szCs w:val="21"/>
              </w:rPr>
            </w:pPr>
            <w:r>
              <w:rPr>
                <w:rFonts w:hint="eastAsia" w:ascii="宋体" w:hAnsi="宋体"/>
                <w:szCs w:val="21"/>
              </w:rPr>
              <w:t>b.投标人之间约定中标人；</w:t>
            </w:r>
          </w:p>
          <w:p w14:paraId="3513D79E">
            <w:pPr>
              <w:snapToGrid w:val="0"/>
              <w:spacing w:line="288" w:lineRule="auto"/>
              <w:ind w:firstLine="420" w:firstLineChars="200"/>
              <w:rPr>
                <w:rFonts w:hint="eastAsia" w:ascii="宋体" w:hAnsi="宋体"/>
                <w:szCs w:val="21"/>
              </w:rPr>
            </w:pPr>
            <w:r>
              <w:rPr>
                <w:rFonts w:hint="eastAsia" w:ascii="宋体" w:hAnsi="宋体"/>
                <w:szCs w:val="21"/>
              </w:rPr>
              <w:t>c.投标人之间约定部分投标人放弃投标或中标；</w:t>
            </w:r>
          </w:p>
          <w:p w14:paraId="55439712">
            <w:pPr>
              <w:snapToGrid w:val="0"/>
              <w:spacing w:line="288" w:lineRule="auto"/>
              <w:ind w:firstLine="420" w:firstLineChars="200"/>
              <w:rPr>
                <w:rFonts w:hint="eastAsia" w:ascii="宋体" w:hAnsi="宋体"/>
                <w:szCs w:val="21"/>
              </w:rPr>
            </w:pPr>
            <w:r>
              <w:rPr>
                <w:rFonts w:hint="eastAsia" w:ascii="宋体" w:hAnsi="宋体"/>
                <w:szCs w:val="21"/>
              </w:rPr>
              <w:t>d.属于同一集团、协会、商会等组织成员的投标人按照该组织要求协同投标；</w:t>
            </w:r>
          </w:p>
          <w:p w14:paraId="1D07831B">
            <w:pPr>
              <w:snapToGrid w:val="0"/>
              <w:spacing w:line="288" w:lineRule="auto"/>
              <w:ind w:firstLine="420" w:firstLineChars="200"/>
              <w:rPr>
                <w:rFonts w:hint="eastAsia" w:ascii="宋体" w:hAnsi="宋体"/>
                <w:szCs w:val="21"/>
              </w:rPr>
            </w:pPr>
            <w:r>
              <w:rPr>
                <w:rFonts w:hint="eastAsia" w:ascii="宋体" w:hAnsi="宋体"/>
                <w:szCs w:val="21"/>
              </w:rPr>
              <w:t>e.投标人之间为谋取中标或排斥特定投标人而采取的其他联合行动。</w:t>
            </w:r>
          </w:p>
          <w:p w14:paraId="443D560F">
            <w:pPr>
              <w:snapToGrid w:val="0"/>
              <w:spacing w:line="288" w:lineRule="auto"/>
              <w:ind w:firstLine="420" w:firstLineChars="200"/>
              <w:rPr>
                <w:rFonts w:hint="eastAsia" w:ascii="宋体" w:hAnsi="宋体"/>
                <w:szCs w:val="21"/>
              </w:rPr>
            </w:pPr>
            <w:r>
              <w:rPr>
                <w:rFonts w:hint="eastAsia" w:ascii="宋体" w:hAnsi="宋体"/>
                <w:szCs w:val="21"/>
              </w:rPr>
              <w:t>（2）有下列情形之一的，视为投标人相互串通投标：</w:t>
            </w:r>
          </w:p>
          <w:p w14:paraId="001B6095">
            <w:pPr>
              <w:snapToGrid w:val="0"/>
              <w:spacing w:line="288" w:lineRule="auto"/>
              <w:ind w:firstLine="420" w:firstLineChars="200"/>
              <w:rPr>
                <w:rFonts w:hint="eastAsia" w:ascii="宋体" w:hAnsi="宋体"/>
                <w:szCs w:val="21"/>
              </w:rPr>
            </w:pPr>
            <w:r>
              <w:rPr>
                <w:rFonts w:hint="eastAsia" w:ascii="宋体" w:hAnsi="宋体"/>
                <w:szCs w:val="21"/>
              </w:rPr>
              <w:t>a.不同投标人的投标文件由同一单位或个人编制；</w:t>
            </w:r>
          </w:p>
          <w:p w14:paraId="3554F385">
            <w:pPr>
              <w:snapToGrid w:val="0"/>
              <w:spacing w:line="288" w:lineRule="auto"/>
              <w:ind w:firstLine="420" w:firstLineChars="200"/>
              <w:rPr>
                <w:rFonts w:hint="eastAsia" w:ascii="宋体" w:hAnsi="宋体"/>
                <w:szCs w:val="21"/>
              </w:rPr>
            </w:pPr>
            <w:r>
              <w:rPr>
                <w:rFonts w:hint="eastAsia" w:ascii="宋体" w:hAnsi="宋体"/>
                <w:szCs w:val="21"/>
              </w:rPr>
              <w:t>b.不同投标人委托同一单位或个人办理投标事宜；</w:t>
            </w:r>
          </w:p>
          <w:p w14:paraId="170F026C">
            <w:pPr>
              <w:snapToGrid w:val="0"/>
              <w:spacing w:line="288" w:lineRule="auto"/>
              <w:ind w:firstLine="420" w:firstLineChars="200"/>
              <w:rPr>
                <w:rFonts w:hint="eastAsia" w:ascii="宋体" w:hAnsi="宋体"/>
                <w:szCs w:val="21"/>
              </w:rPr>
            </w:pPr>
            <w:r>
              <w:rPr>
                <w:rFonts w:hint="eastAsia" w:ascii="宋体" w:hAnsi="宋体"/>
                <w:szCs w:val="21"/>
              </w:rPr>
              <w:t>c.不同投标人的投标文件载明的项目管理成员为同一人；</w:t>
            </w:r>
          </w:p>
          <w:p w14:paraId="35DCA793">
            <w:pPr>
              <w:snapToGrid w:val="0"/>
              <w:spacing w:line="288" w:lineRule="auto"/>
              <w:ind w:firstLine="420" w:firstLineChars="200"/>
              <w:rPr>
                <w:rFonts w:hint="eastAsia" w:ascii="宋体" w:hAnsi="宋体"/>
                <w:szCs w:val="21"/>
              </w:rPr>
            </w:pPr>
            <w:r>
              <w:rPr>
                <w:rFonts w:hint="eastAsia" w:ascii="宋体" w:hAnsi="宋体"/>
                <w:szCs w:val="21"/>
              </w:rPr>
              <w:t>d.不同投标人的投标文件异常一致或投标报价呈规律性差异；</w:t>
            </w:r>
          </w:p>
          <w:p w14:paraId="6D159109">
            <w:pPr>
              <w:snapToGrid w:val="0"/>
              <w:spacing w:line="288" w:lineRule="auto"/>
              <w:ind w:firstLine="420" w:firstLineChars="200"/>
              <w:rPr>
                <w:rFonts w:hint="eastAsia" w:ascii="宋体" w:hAnsi="宋体"/>
                <w:szCs w:val="21"/>
              </w:rPr>
            </w:pPr>
            <w:r>
              <w:rPr>
                <w:rFonts w:hint="eastAsia" w:ascii="宋体" w:hAnsi="宋体"/>
                <w:szCs w:val="21"/>
              </w:rPr>
              <w:t>e.不同投标人的投标文件相互混装；</w:t>
            </w:r>
          </w:p>
          <w:p w14:paraId="6F69EFEA">
            <w:pPr>
              <w:snapToGrid w:val="0"/>
              <w:spacing w:line="288" w:lineRule="auto"/>
              <w:ind w:firstLine="420" w:firstLineChars="200"/>
              <w:rPr>
                <w:rFonts w:hint="eastAsia" w:ascii="宋体" w:hAnsi="宋体"/>
                <w:szCs w:val="21"/>
              </w:rPr>
            </w:pPr>
            <w:r>
              <w:rPr>
                <w:rFonts w:hint="eastAsia" w:ascii="宋体" w:hAnsi="宋体"/>
                <w:szCs w:val="21"/>
              </w:rPr>
              <w:t>f.不同投标人的投标保证金从同一单位或个人的账户转出；</w:t>
            </w:r>
          </w:p>
          <w:p w14:paraId="4E25E8B5">
            <w:pPr>
              <w:snapToGrid w:val="0"/>
              <w:spacing w:line="288" w:lineRule="auto"/>
              <w:ind w:firstLine="420" w:firstLineChars="200"/>
              <w:rPr>
                <w:rFonts w:hint="eastAsia" w:ascii="宋体" w:hAnsi="宋体"/>
                <w:szCs w:val="21"/>
              </w:rPr>
            </w:pPr>
            <w:r>
              <w:rPr>
                <w:rFonts w:hint="eastAsia" w:ascii="宋体" w:hAnsi="宋体"/>
                <w:szCs w:val="21"/>
              </w:rPr>
              <w:t>（3）有下列情形之一的，属于招标人与投标人串通投标：</w:t>
            </w:r>
          </w:p>
          <w:p w14:paraId="1F5D359B">
            <w:pPr>
              <w:snapToGrid w:val="0"/>
              <w:spacing w:line="288" w:lineRule="auto"/>
              <w:ind w:firstLine="420" w:firstLineChars="200"/>
              <w:rPr>
                <w:rFonts w:hint="eastAsia" w:ascii="宋体" w:hAnsi="宋体"/>
                <w:szCs w:val="21"/>
              </w:rPr>
            </w:pPr>
            <w:r>
              <w:rPr>
                <w:rFonts w:hint="eastAsia" w:ascii="宋体" w:hAnsi="宋体"/>
                <w:szCs w:val="21"/>
              </w:rPr>
              <w:t>a.招标人在开标前开启投标文件并将有关信息泄露给其他投标人;</w:t>
            </w:r>
          </w:p>
          <w:p w14:paraId="55DE4A95">
            <w:pPr>
              <w:snapToGrid w:val="0"/>
              <w:spacing w:line="288" w:lineRule="auto"/>
              <w:ind w:firstLine="420" w:firstLineChars="200"/>
              <w:rPr>
                <w:rFonts w:hint="eastAsia" w:ascii="宋体" w:hAnsi="宋体"/>
                <w:szCs w:val="21"/>
              </w:rPr>
            </w:pPr>
            <w:r>
              <w:rPr>
                <w:rFonts w:hint="eastAsia" w:ascii="宋体" w:hAnsi="宋体"/>
                <w:szCs w:val="21"/>
              </w:rPr>
              <w:t>b.招标人直接或间接向投标人泄露标底、评标委员会成员等信息；</w:t>
            </w:r>
          </w:p>
          <w:p w14:paraId="4BE016B6">
            <w:pPr>
              <w:snapToGrid w:val="0"/>
              <w:spacing w:line="288" w:lineRule="auto"/>
              <w:ind w:firstLine="420" w:firstLineChars="200"/>
              <w:rPr>
                <w:rFonts w:hint="eastAsia" w:ascii="宋体" w:hAnsi="宋体"/>
                <w:szCs w:val="21"/>
              </w:rPr>
            </w:pPr>
            <w:r>
              <w:rPr>
                <w:rFonts w:hint="eastAsia" w:ascii="宋体" w:hAnsi="宋体"/>
                <w:szCs w:val="21"/>
              </w:rPr>
              <w:t>c.招标人明示或暗示投标人压低或抬高投标报价；</w:t>
            </w:r>
          </w:p>
          <w:p w14:paraId="6ED42320">
            <w:pPr>
              <w:snapToGrid w:val="0"/>
              <w:spacing w:line="288" w:lineRule="auto"/>
              <w:ind w:firstLine="420" w:firstLineChars="200"/>
              <w:rPr>
                <w:rFonts w:hint="eastAsia" w:ascii="宋体" w:hAnsi="宋体"/>
                <w:szCs w:val="21"/>
              </w:rPr>
            </w:pPr>
            <w:r>
              <w:rPr>
                <w:rFonts w:hint="eastAsia" w:ascii="宋体" w:hAnsi="宋体"/>
                <w:szCs w:val="21"/>
              </w:rPr>
              <w:t>d.招标人授意投标人撤换、修改投标文件；</w:t>
            </w:r>
          </w:p>
          <w:p w14:paraId="5B5468C0">
            <w:pPr>
              <w:snapToGrid w:val="0"/>
              <w:spacing w:line="288" w:lineRule="auto"/>
              <w:ind w:firstLine="420" w:firstLineChars="200"/>
              <w:rPr>
                <w:rFonts w:hint="eastAsia" w:ascii="宋体" w:hAnsi="宋体"/>
                <w:szCs w:val="21"/>
              </w:rPr>
            </w:pPr>
            <w:r>
              <w:rPr>
                <w:rFonts w:hint="eastAsia" w:ascii="宋体" w:hAnsi="宋体"/>
                <w:szCs w:val="21"/>
              </w:rPr>
              <w:t>e.招标人明示或暗示投标人为特定投标人中标提供方便；</w:t>
            </w:r>
          </w:p>
          <w:p w14:paraId="50437DC4">
            <w:pPr>
              <w:snapToGrid w:val="0"/>
              <w:spacing w:line="288" w:lineRule="auto"/>
              <w:ind w:firstLine="420" w:firstLineChars="200"/>
              <w:rPr>
                <w:rFonts w:hint="eastAsia" w:ascii="宋体" w:hAnsi="宋体"/>
                <w:szCs w:val="21"/>
              </w:rPr>
            </w:pPr>
            <w:r>
              <w:rPr>
                <w:rFonts w:hint="eastAsia" w:ascii="宋体" w:hAnsi="宋体"/>
                <w:szCs w:val="21"/>
              </w:rPr>
              <w:t>f.招标人与投标人为谋求特定投标人中标而采取的其他串通行为。</w:t>
            </w:r>
          </w:p>
          <w:p w14:paraId="483CB73F">
            <w:pPr>
              <w:snapToGrid w:val="0"/>
              <w:spacing w:line="288" w:lineRule="auto"/>
              <w:ind w:firstLine="420" w:firstLineChars="200"/>
              <w:rPr>
                <w:rFonts w:hint="eastAsia" w:ascii="宋体" w:hAnsi="宋体"/>
                <w:szCs w:val="21"/>
              </w:rPr>
            </w:pPr>
            <w:r>
              <w:rPr>
                <w:rFonts w:hint="eastAsia" w:ascii="宋体" w:hAnsi="宋体"/>
                <w:szCs w:val="21"/>
              </w:rPr>
              <w:t>（4）投标人有下列情形之一的，属于弄虚作假的行为：</w:t>
            </w:r>
          </w:p>
          <w:p w14:paraId="5C4ECD11">
            <w:pPr>
              <w:snapToGrid w:val="0"/>
              <w:spacing w:line="288" w:lineRule="auto"/>
              <w:ind w:firstLine="420" w:firstLineChars="200"/>
              <w:rPr>
                <w:rFonts w:hint="eastAsia" w:ascii="宋体" w:hAnsi="宋体"/>
                <w:szCs w:val="21"/>
              </w:rPr>
            </w:pPr>
            <w:r>
              <w:rPr>
                <w:rFonts w:hint="eastAsia" w:ascii="宋体" w:hAnsi="宋体"/>
                <w:szCs w:val="21"/>
              </w:rPr>
              <w:t>a.使用通过受让或租借等方式获取的资格、资质证书投标；</w:t>
            </w:r>
          </w:p>
          <w:p w14:paraId="561DF591">
            <w:pPr>
              <w:snapToGrid w:val="0"/>
              <w:spacing w:line="288" w:lineRule="auto"/>
              <w:ind w:firstLine="420" w:firstLineChars="200"/>
              <w:rPr>
                <w:rFonts w:hint="eastAsia" w:ascii="宋体" w:hAnsi="宋体"/>
                <w:szCs w:val="21"/>
              </w:rPr>
            </w:pPr>
            <w:r>
              <w:rPr>
                <w:rFonts w:hint="eastAsia" w:ascii="宋体" w:hAnsi="宋体"/>
                <w:szCs w:val="21"/>
              </w:rPr>
              <w:t>b.使用伪造、变造的许可证件；</w:t>
            </w:r>
          </w:p>
          <w:p w14:paraId="5662A732">
            <w:pPr>
              <w:snapToGrid w:val="0"/>
              <w:spacing w:line="288" w:lineRule="auto"/>
              <w:ind w:firstLine="420" w:firstLineChars="200"/>
              <w:rPr>
                <w:rFonts w:hint="eastAsia" w:ascii="宋体" w:hAnsi="宋体"/>
                <w:szCs w:val="21"/>
              </w:rPr>
            </w:pPr>
            <w:r>
              <w:rPr>
                <w:rFonts w:hint="eastAsia" w:ascii="宋体" w:hAnsi="宋体"/>
                <w:szCs w:val="21"/>
              </w:rPr>
              <w:t>c.提供虚假的财务状况或业绩；</w:t>
            </w:r>
          </w:p>
          <w:p w14:paraId="21B51C1B">
            <w:pPr>
              <w:snapToGrid w:val="0"/>
              <w:spacing w:line="288" w:lineRule="auto"/>
              <w:ind w:firstLine="420" w:firstLineChars="200"/>
              <w:rPr>
                <w:rFonts w:hint="eastAsia" w:ascii="宋体" w:hAnsi="宋体"/>
                <w:szCs w:val="21"/>
              </w:rPr>
            </w:pPr>
            <w:r>
              <w:rPr>
                <w:rFonts w:hint="eastAsia" w:ascii="宋体" w:hAnsi="宋体"/>
                <w:szCs w:val="21"/>
              </w:rPr>
              <w:t>d.提供虚假的项目负责人或主要技术人员简历、劳动关系证明；</w:t>
            </w:r>
          </w:p>
          <w:p w14:paraId="3C0403B6">
            <w:pPr>
              <w:snapToGrid w:val="0"/>
              <w:spacing w:line="288" w:lineRule="auto"/>
              <w:ind w:firstLine="420" w:firstLineChars="200"/>
              <w:rPr>
                <w:rFonts w:hint="eastAsia" w:ascii="宋体" w:hAnsi="宋体"/>
                <w:szCs w:val="21"/>
              </w:rPr>
            </w:pPr>
            <w:r>
              <w:rPr>
                <w:rFonts w:hint="eastAsia" w:ascii="宋体" w:hAnsi="宋体"/>
                <w:szCs w:val="21"/>
              </w:rPr>
              <w:t>e.提供虚假的信用状况；</w:t>
            </w:r>
          </w:p>
          <w:p w14:paraId="010F3709">
            <w:pPr>
              <w:snapToGrid w:val="0"/>
              <w:spacing w:line="288" w:lineRule="auto"/>
              <w:ind w:firstLine="420" w:firstLineChars="200"/>
              <w:rPr>
                <w:rFonts w:hint="eastAsia" w:ascii="宋体" w:hAnsi="宋体"/>
                <w:szCs w:val="21"/>
              </w:rPr>
            </w:pPr>
            <w:r>
              <w:rPr>
                <w:rFonts w:hint="eastAsia" w:ascii="宋体" w:hAnsi="宋体"/>
                <w:szCs w:val="21"/>
              </w:rPr>
              <w:t>f.其他弄虚作假的行为。</w:t>
            </w:r>
          </w:p>
          <w:p w14:paraId="3FBF068C">
            <w:pPr>
              <w:snapToGrid w:val="0"/>
              <w:spacing w:line="288" w:lineRule="auto"/>
              <w:ind w:firstLine="422" w:firstLineChars="200"/>
              <w:rPr>
                <w:rFonts w:hint="eastAsia" w:ascii="宋体" w:hAnsi="宋体"/>
                <w:b/>
                <w:szCs w:val="21"/>
              </w:rPr>
            </w:pPr>
            <w:r>
              <w:rPr>
                <w:rFonts w:hint="eastAsia" w:ascii="宋体" w:hAnsi="宋体"/>
                <w:b/>
                <w:szCs w:val="21"/>
              </w:rPr>
              <w:t>3.</w:t>
            </w:r>
            <w:r>
              <w:rPr>
                <w:rFonts w:ascii="宋体" w:hAnsi="宋体"/>
                <w:b/>
                <w:szCs w:val="21"/>
              </w:rPr>
              <w:t>7</w:t>
            </w:r>
            <w:r>
              <w:rPr>
                <w:rFonts w:hint="eastAsia" w:ascii="宋体" w:hAnsi="宋体"/>
                <w:b/>
                <w:szCs w:val="21"/>
              </w:rPr>
              <w:t xml:space="preserve"> 投标文件的澄清和说明</w:t>
            </w:r>
          </w:p>
          <w:p w14:paraId="1E6AFE22">
            <w:pPr>
              <w:snapToGrid w:val="0"/>
              <w:spacing w:line="288" w:lineRule="auto"/>
              <w:ind w:firstLine="420" w:firstLineChars="200"/>
              <w:rPr>
                <w:rFonts w:hint="eastAsia" w:ascii="宋体" w:hAnsi="宋体"/>
                <w:szCs w:val="21"/>
              </w:rPr>
            </w:pPr>
            <w:r>
              <w:rPr>
                <w:rFonts w:hint="eastAsia" w:ascii="宋体" w:hAnsi="宋体"/>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9A4120E">
            <w:pPr>
              <w:snapToGrid w:val="0"/>
              <w:spacing w:line="288" w:lineRule="auto"/>
              <w:ind w:firstLine="420" w:firstLineChars="200"/>
              <w:rPr>
                <w:rFonts w:hint="eastAsia" w:ascii="宋体" w:hAnsi="宋体"/>
                <w:szCs w:val="21"/>
              </w:rPr>
            </w:pPr>
            <w:r>
              <w:rPr>
                <w:rFonts w:hint="eastAsia" w:ascii="宋体" w:hAnsi="宋体"/>
                <w:szCs w:val="21"/>
              </w:rPr>
              <w:t>3.7.2 澄清和说明不得超出投标文件的范围或改变投标文件的实质性内容。投标人的书面澄清、说明属于投标文件的组成部分。</w:t>
            </w:r>
          </w:p>
          <w:p w14:paraId="7655634C">
            <w:pPr>
              <w:snapToGrid w:val="0"/>
              <w:spacing w:line="288" w:lineRule="auto"/>
              <w:ind w:firstLine="420" w:firstLineChars="200"/>
              <w:rPr>
                <w:rFonts w:hint="eastAsia" w:ascii="宋体" w:hAnsi="宋体"/>
                <w:szCs w:val="21"/>
              </w:rPr>
            </w:pPr>
            <w:r>
              <w:rPr>
                <w:rFonts w:hint="eastAsia" w:ascii="宋体" w:hAnsi="宋体"/>
                <w:szCs w:val="21"/>
              </w:rPr>
              <w:t>3.7.3 评标委员会不得暗示或诱导投标人作出澄清、说明，对投标人提交的澄清、说明有疑问的，可以要求投标人进一步澄清或说明，直至满足评标委员会的要求。</w:t>
            </w:r>
          </w:p>
          <w:p w14:paraId="44CF4E00">
            <w:pPr>
              <w:snapToGrid w:val="0"/>
              <w:spacing w:line="288" w:lineRule="auto"/>
              <w:ind w:firstLine="420" w:firstLineChars="200"/>
              <w:rPr>
                <w:rFonts w:hint="eastAsia" w:ascii="宋体" w:hAnsi="宋体"/>
                <w:szCs w:val="21"/>
              </w:rPr>
            </w:pPr>
            <w:r>
              <w:rPr>
                <w:rFonts w:hint="eastAsia" w:ascii="宋体" w:hAnsi="宋体"/>
                <w:szCs w:val="21"/>
              </w:rPr>
              <w:t>3.7.4 凡超出招标文件规定的或给发包人带来未曾要求的利益的变化、偏差或其他因素在评标时不予考虑。</w:t>
            </w:r>
          </w:p>
          <w:p w14:paraId="5FF02559">
            <w:pPr>
              <w:snapToGrid w:val="0"/>
              <w:spacing w:line="288" w:lineRule="auto"/>
              <w:ind w:firstLine="422" w:firstLineChars="200"/>
              <w:rPr>
                <w:rFonts w:hint="eastAsia" w:ascii="宋体" w:hAnsi="宋体"/>
                <w:b/>
                <w:szCs w:val="21"/>
              </w:rPr>
            </w:pPr>
            <w:r>
              <w:rPr>
                <w:rFonts w:hint="eastAsia" w:ascii="宋体" w:hAnsi="宋体"/>
                <w:b/>
                <w:szCs w:val="21"/>
              </w:rPr>
              <w:t>3.</w:t>
            </w:r>
            <w:r>
              <w:rPr>
                <w:rFonts w:ascii="宋体" w:hAnsi="宋体"/>
                <w:b/>
                <w:szCs w:val="21"/>
              </w:rPr>
              <w:t>8</w:t>
            </w:r>
            <w:r>
              <w:rPr>
                <w:rFonts w:hint="eastAsia" w:ascii="宋体" w:hAnsi="宋体"/>
                <w:b/>
                <w:szCs w:val="21"/>
              </w:rPr>
              <w:t>不得否决投标的情形</w:t>
            </w:r>
          </w:p>
          <w:p w14:paraId="1AD5AEE3">
            <w:pPr>
              <w:snapToGrid w:val="0"/>
              <w:spacing w:line="288" w:lineRule="auto"/>
              <w:ind w:firstLine="420" w:firstLineChars="200"/>
              <w:rPr>
                <w:rFonts w:hint="eastAsia" w:ascii="宋体" w:hAnsi="宋体"/>
                <w:szCs w:val="21"/>
              </w:rPr>
            </w:pPr>
            <w:r>
              <w:rPr>
                <w:rFonts w:hint="eastAsia" w:ascii="宋体" w:hAnsi="宋体"/>
                <w:szCs w:val="21"/>
              </w:rPr>
              <w:t>投标文件存在第二章“投标人须知”第 1.12.3 项所列情形的，均视为细微偏差，评标委员会不得否决投标人的投标，应按照第二章“投标人须知”第 1.12.4 项规定的原则处理。</w:t>
            </w:r>
          </w:p>
          <w:p w14:paraId="12A2EEFE">
            <w:pPr>
              <w:snapToGrid w:val="0"/>
              <w:spacing w:line="288" w:lineRule="auto"/>
              <w:ind w:firstLine="422" w:firstLineChars="200"/>
              <w:rPr>
                <w:rFonts w:hint="eastAsia" w:ascii="宋体" w:hAnsi="宋体"/>
                <w:b/>
                <w:szCs w:val="21"/>
              </w:rPr>
            </w:pPr>
            <w:r>
              <w:rPr>
                <w:rFonts w:hint="eastAsia" w:ascii="宋体" w:hAnsi="宋体"/>
                <w:b/>
                <w:szCs w:val="21"/>
              </w:rPr>
              <w:t>3.</w:t>
            </w:r>
            <w:r>
              <w:rPr>
                <w:rFonts w:ascii="宋体" w:hAnsi="宋体"/>
                <w:b/>
                <w:szCs w:val="21"/>
              </w:rPr>
              <w:t>9</w:t>
            </w:r>
            <w:r>
              <w:rPr>
                <w:rFonts w:hint="eastAsia" w:ascii="宋体" w:hAnsi="宋体"/>
                <w:b/>
                <w:szCs w:val="21"/>
              </w:rPr>
              <w:t xml:space="preserve"> 评标结果</w:t>
            </w:r>
          </w:p>
          <w:p w14:paraId="0FB7466A">
            <w:pPr>
              <w:snapToGrid w:val="0"/>
              <w:spacing w:line="288" w:lineRule="auto"/>
              <w:ind w:firstLine="420" w:firstLineChars="200"/>
              <w:rPr>
                <w:rFonts w:hint="eastAsia" w:ascii="宋体" w:hAnsi="宋体"/>
                <w:szCs w:val="21"/>
              </w:rPr>
            </w:pPr>
            <w:r>
              <w:rPr>
                <w:rFonts w:hint="eastAsia" w:ascii="宋体" w:hAnsi="宋体"/>
                <w:szCs w:val="21"/>
              </w:rPr>
              <w:t>3.9.1 除第二章“投标人须知”前附表授权直接确定中标人外，评标委员会按照综合得分由高到低的顺序推荐中标候选人，并标明排序。</w:t>
            </w:r>
          </w:p>
          <w:p w14:paraId="05151692">
            <w:pPr>
              <w:spacing w:line="320" w:lineRule="exact"/>
              <w:ind w:firstLine="420" w:firstLineChars="200"/>
              <w:rPr>
                <w:rFonts w:hint="eastAsia" w:ascii="宋体" w:hAnsi="宋体"/>
                <w:szCs w:val="21"/>
              </w:rPr>
            </w:pPr>
            <w:r>
              <w:rPr>
                <w:rFonts w:hint="eastAsia" w:ascii="宋体" w:hAnsi="宋体"/>
                <w:szCs w:val="21"/>
              </w:rPr>
              <w:t>3.9.2 评标委员会完成评标后，应向招标人提交书面评标报告。</w:t>
            </w:r>
          </w:p>
        </w:tc>
      </w:tr>
    </w:tbl>
    <w:p w14:paraId="10804E9F">
      <w:pPr>
        <w:widowControl/>
        <w:jc w:val="left"/>
        <w:rPr>
          <w:rFonts w:hint="eastAsia" w:ascii="宋体" w:hAnsi="宋体"/>
          <w:szCs w:val="21"/>
        </w:rPr>
      </w:pPr>
      <w:bookmarkStart w:id="13" w:name="_Hlk143436269"/>
      <w:r>
        <w:rPr>
          <w:rFonts w:hint="eastAsia" w:ascii="宋体" w:hAnsi="宋体"/>
          <w:szCs w:val="21"/>
        </w:rPr>
        <w:t>具体评分标准如下：</w:t>
      </w:r>
    </w:p>
    <w:tbl>
      <w:tblPr>
        <w:tblStyle w:val="2"/>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1450"/>
        <w:gridCol w:w="708"/>
        <w:gridCol w:w="4725"/>
      </w:tblGrid>
      <w:tr w14:paraId="5516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614" w:type="dxa"/>
            <w:gridSpan w:val="5"/>
            <w:vAlign w:val="center"/>
          </w:tcPr>
          <w:p w14:paraId="2554E1CF">
            <w:pPr>
              <w:spacing w:line="320" w:lineRule="exact"/>
              <w:jc w:val="center"/>
              <w:rPr>
                <w:rFonts w:hint="eastAsia" w:ascii="宋体" w:hAnsi="宋体"/>
                <w:sz w:val="20"/>
              </w:rPr>
            </w:pPr>
            <w:r>
              <w:rPr>
                <w:rFonts w:hint="eastAsia" w:ascii="宋体" w:hAnsi="宋体"/>
                <w:sz w:val="20"/>
              </w:rPr>
              <w:t>评分因素与权重分值</w:t>
            </w:r>
          </w:p>
        </w:tc>
        <w:tc>
          <w:tcPr>
            <w:tcW w:w="4725" w:type="dxa"/>
            <w:vMerge w:val="restart"/>
            <w:vAlign w:val="center"/>
          </w:tcPr>
          <w:p w14:paraId="446796F1">
            <w:pPr>
              <w:spacing w:line="320" w:lineRule="exact"/>
              <w:jc w:val="center"/>
              <w:rPr>
                <w:rFonts w:hint="eastAsia" w:ascii="宋体" w:hAnsi="宋体"/>
                <w:sz w:val="20"/>
              </w:rPr>
            </w:pPr>
            <w:r>
              <w:rPr>
                <w:rFonts w:hint="eastAsia" w:ascii="宋体" w:hAnsi="宋体"/>
                <w:sz w:val="20"/>
              </w:rPr>
              <w:t>评分标准</w:t>
            </w:r>
          </w:p>
        </w:tc>
      </w:tr>
      <w:tr w14:paraId="5BA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vAlign w:val="center"/>
          </w:tcPr>
          <w:p w14:paraId="5C235229">
            <w:pPr>
              <w:spacing w:line="320" w:lineRule="exact"/>
              <w:jc w:val="center"/>
              <w:rPr>
                <w:rFonts w:hint="eastAsia" w:ascii="宋体" w:hAnsi="宋体"/>
                <w:sz w:val="20"/>
              </w:rPr>
            </w:pPr>
            <w:r>
              <w:rPr>
                <w:rFonts w:hint="eastAsia" w:ascii="宋体" w:hAnsi="宋体"/>
                <w:sz w:val="20"/>
              </w:rPr>
              <w:t>条款号</w:t>
            </w:r>
          </w:p>
        </w:tc>
        <w:tc>
          <w:tcPr>
            <w:tcW w:w="1000" w:type="dxa"/>
            <w:vAlign w:val="center"/>
          </w:tcPr>
          <w:p w14:paraId="5213CA02">
            <w:pPr>
              <w:spacing w:line="320" w:lineRule="exact"/>
              <w:jc w:val="center"/>
              <w:rPr>
                <w:rFonts w:hint="eastAsia" w:ascii="宋体" w:hAnsi="宋体"/>
                <w:sz w:val="20"/>
              </w:rPr>
            </w:pPr>
            <w:r>
              <w:rPr>
                <w:rFonts w:hint="eastAsia" w:ascii="宋体" w:hAnsi="宋体"/>
                <w:sz w:val="20"/>
              </w:rPr>
              <w:t>评分因素</w:t>
            </w:r>
          </w:p>
        </w:tc>
        <w:tc>
          <w:tcPr>
            <w:tcW w:w="691" w:type="dxa"/>
            <w:vAlign w:val="center"/>
          </w:tcPr>
          <w:p w14:paraId="5C3983C5">
            <w:pPr>
              <w:snapToGrid w:val="0"/>
              <w:jc w:val="center"/>
              <w:rPr>
                <w:rFonts w:hint="eastAsia" w:ascii="宋体" w:hAnsi="宋体"/>
                <w:sz w:val="20"/>
              </w:rPr>
            </w:pPr>
            <w:r>
              <w:rPr>
                <w:rFonts w:hint="eastAsia" w:ascii="宋体" w:hAnsi="宋体"/>
                <w:sz w:val="20"/>
              </w:rPr>
              <w:t>评分因素 权重分值</w:t>
            </w:r>
          </w:p>
        </w:tc>
        <w:tc>
          <w:tcPr>
            <w:tcW w:w="1450" w:type="dxa"/>
            <w:vAlign w:val="center"/>
          </w:tcPr>
          <w:p w14:paraId="2580FCA0">
            <w:pPr>
              <w:spacing w:line="320" w:lineRule="exact"/>
              <w:jc w:val="center"/>
              <w:rPr>
                <w:rFonts w:hint="eastAsia" w:ascii="宋体" w:hAnsi="宋体"/>
                <w:sz w:val="20"/>
              </w:rPr>
            </w:pPr>
            <w:r>
              <w:rPr>
                <w:rFonts w:ascii="宋体" w:hAnsi="宋体"/>
                <w:smallCaps/>
                <w:sz w:val="20"/>
              </w:rPr>
              <w:t>各评分因素细分项</w:t>
            </w:r>
          </w:p>
        </w:tc>
        <w:tc>
          <w:tcPr>
            <w:tcW w:w="708" w:type="dxa"/>
            <w:vAlign w:val="center"/>
          </w:tcPr>
          <w:p w14:paraId="60685AB8">
            <w:pPr>
              <w:spacing w:line="320" w:lineRule="exact"/>
              <w:jc w:val="center"/>
              <w:rPr>
                <w:rFonts w:hint="eastAsia" w:ascii="宋体" w:hAnsi="宋体"/>
                <w:sz w:val="20"/>
              </w:rPr>
            </w:pPr>
            <w:r>
              <w:rPr>
                <w:rFonts w:hint="eastAsia" w:ascii="宋体" w:hAnsi="宋体"/>
                <w:sz w:val="20"/>
              </w:rPr>
              <w:t>分值</w:t>
            </w:r>
          </w:p>
        </w:tc>
        <w:tc>
          <w:tcPr>
            <w:tcW w:w="4725" w:type="dxa"/>
            <w:vMerge w:val="continue"/>
            <w:vAlign w:val="center"/>
          </w:tcPr>
          <w:p w14:paraId="1E6D2175">
            <w:pPr>
              <w:spacing w:line="320" w:lineRule="exact"/>
              <w:jc w:val="center"/>
              <w:rPr>
                <w:rFonts w:hint="eastAsia" w:ascii="宋体" w:hAnsi="宋体"/>
                <w:sz w:val="20"/>
              </w:rPr>
            </w:pPr>
          </w:p>
        </w:tc>
      </w:tr>
      <w:tr w14:paraId="5BB7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restart"/>
            <w:vAlign w:val="center"/>
          </w:tcPr>
          <w:p w14:paraId="08E7253C">
            <w:pPr>
              <w:spacing w:line="320" w:lineRule="exact"/>
              <w:jc w:val="center"/>
              <w:rPr>
                <w:rFonts w:hint="eastAsia" w:ascii="宋体" w:hAnsi="宋体"/>
                <w:sz w:val="20"/>
              </w:rPr>
            </w:pPr>
            <w:r>
              <w:rPr>
                <w:rFonts w:hint="eastAsia" w:ascii="宋体" w:hAnsi="宋体"/>
                <w:sz w:val="20"/>
              </w:rPr>
              <w:t>2.2.4（1）</w:t>
            </w:r>
          </w:p>
        </w:tc>
        <w:tc>
          <w:tcPr>
            <w:tcW w:w="1000" w:type="dxa"/>
            <w:vMerge w:val="restart"/>
            <w:vAlign w:val="center"/>
          </w:tcPr>
          <w:p w14:paraId="268C2486">
            <w:pPr>
              <w:jc w:val="center"/>
              <w:rPr>
                <w:rFonts w:hint="eastAsia" w:ascii="宋体" w:hAnsi="宋体"/>
                <w:sz w:val="20"/>
              </w:rPr>
            </w:pPr>
            <w:r>
              <w:rPr>
                <w:rFonts w:hint="eastAsia" w:ascii="宋体" w:hAnsi="宋体"/>
                <w:sz w:val="20"/>
              </w:rPr>
              <w:t>承包人建议书（暗标）</w:t>
            </w:r>
          </w:p>
        </w:tc>
        <w:tc>
          <w:tcPr>
            <w:tcW w:w="691" w:type="dxa"/>
            <w:vMerge w:val="restart"/>
            <w:vAlign w:val="center"/>
          </w:tcPr>
          <w:p w14:paraId="6961E538">
            <w:pPr>
              <w:spacing w:line="320" w:lineRule="exact"/>
              <w:jc w:val="center"/>
              <w:rPr>
                <w:rFonts w:hint="eastAsia" w:ascii="宋体" w:hAnsi="宋体"/>
                <w:sz w:val="20"/>
              </w:rPr>
            </w:pPr>
            <w:r>
              <w:rPr>
                <w:rFonts w:ascii="宋体" w:hAnsi="宋体"/>
                <w:sz w:val="20"/>
              </w:rPr>
              <w:t>20</w:t>
            </w:r>
            <w:r>
              <w:rPr>
                <w:rFonts w:hint="eastAsia" w:ascii="宋体" w:hAnsi="宋体"/>
                <w:sz w:val="20"/>
              </w:rPr>
              <w:t>分</w:t>
            </w:r>
          </w:p>
        </w:tc>
        <w:tc>
          <w:tcPr>
            <w:tcW w:w="1450" w:type="dxa"/>
            <w:vAlign w:val="center"/>
          </w:tcPr>
          <w:p w14:paraId="6BA38C8D">
            <w:pPr>
              <w:snapToGrid w:val="0"/>
              <w:jc w:val="center"/>
              <w:rPr>
                <w:rFonts w:hint="eastAsia" w:ascii="宋体" w:hAnsi="宋体"/>
                <w:sz w:val="20"/>
              </w:rPr>
            </w:pPr>
            <w:r>
              <w:rPr>
                <w:rFonts w:hint="eastAsia" w:ascii="宋体" w:hAnsi="宋体"/>
                <w:szCs w:val="21"/>
              </w:rPr>
              <w:t>对项目的理解和总体设计思路</w:t>
            </w:r>
          </w:p>
        </w:tc>
        <w:tc>
          <w:tcPr>
            <w:tcW w:w="708" w:type="dxa"/>
            <w:vAlign w:val="center"/>
          </w:tcPr>
          <w:p w14:paraId="7C53FD0C">
            <w:pPr>
              <w:snapToGrid w:val="0"/>
              <w:jc w:val="center"/>
              <w:rPr>
                <w:rFonts w:hint="eastAsia" w:ascii="宋体" w:hAnsi="宋体"/>
                <w:sz w:val="20"/>
              </w:rPr>
            </w:pPr>
            <w:r>
              <w:rPr>
                <w:rFonts w:hint="eastAsia" w:ascii="宋体" w:hAnsi="宋体"/>
                <w:szCs w:val="21"/>
              </w:rPr>
              <w:t>4分</w:t>
            </w:r>
          </w:p>
        </w:tc>
        <w:tc>
          <w:tcPr>
            <w:tcW w:w="4725" w:type="dxa"/>
            <w:vAlign w:val="center"/>
          </w:tcPr>
          <w:p w14:paraId="3D1FB111">
            <w:pPr>
              <w:ind w:right="-105" w:rightChars="-50"/>
              <w:jc w:val="left"/>
              <w:rPr>
                <w:rFonts w:hint="eastAsia" w:ascii="宋体" w:hAnsi="宋体"/>
                <w:szCs w:val="21"/>
              </w:rPr>
            </w:pPr>
            <w:r>
              <w:rPr>
                <w:rFonts w:hint="eastAsia" w:ascii="宋体" w:hAnsi="宋体"/>
                <w:szCs w:val="21"/>
              </w:rPr>
              <w:t>对招标项目的总体设计理解准确，思路与前一阶段的设计理念、思路高度吻合，得3.2（不含）-4分；</w:t>
            </w:r>
          </w:p>
          <w:p w14:paraId="03D8AED3">
            <w:pPr>
              <w:ind w:right="-105" w:rightChars="-50"/>
              <w:jc w:val="left"/>
              <w:rPr>
                <w:rFonts w:hint="eastAsia" w:ascii="宋体" w:hAnsi="宋体"/>
                <w:szCs w:val="21"/>
              </w:rPr>
            </w:pPr>
            <w:r>
              <w:rPr>
                <w:rFonts w:hint="eastAsia" w:ascii="宋体" w:hAnsi="宋体"/>
                <w:szCs w:val="21"/>
              </w:rPr>
              <w:t>对招标项目的总体设计理解较准确，思路与前一阶段的设计理念、思路吻合，得2.4（不含）-3.2（含）分；</w:t>
            </w:r>
          </w:p>
          <w:p w14:paraId="2AB7795E">
            <w:pPr>
              <w:snapToGrid w:val="0"/>
              <w:rPr>
                <w:rFonts w:hint="eastAsia" w:ascii="宋体" w:hAnsi="宋体"/>
                <w:sz w:val="20"/>
              </w:rPr>
            </w:pPr>
            <w:r>
              <w:rPr>
                <w:rFonts w:hint="eastAsia" w:ascii="宋体" w:hAnsi="宋体"/>
                <w:szCs w:val="21"/>
              </w:rPr>
              <w:t>对招标项目的总体设计理解一般，思路与前一阶段的设计理念、思路基本吻合，得2.4分。</w:t>
            </w:r>
          </w:p>
        </w:tc>
      </w:tr>
      <w:tr w14:paraId="5ED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38DE4F53">
            <w:pPr>
              <w:spacing w:line="320" w:lineRule="exact"/>
              <w:jc w:val="center"/>
              <w:rPr>
                <w:rFonts w:hint="eastAsia" w:ascii="宋体" w:hAnsi="宋体"/>
                <w:sz w:val="20"/>
              </w:rPr>
            </w:pPr>
          </w:p>
        </w:tc>
        <w:tc>
          <w:tcPr>
            <w:tcW w:w="1000" w:type="dxa"/>
            <w:vMerge w:val="continue"/>
            <w:vAlign w:val="center"/>
          </w:tcPr>
          <w:p w14:paraId="4395F44D">
            <w:pPr>
              <w:jc w:val="center"/>
              <w:rPr>
                <w:rFonts w:hint="eastAsia" w:ascii="宋体" w:hAnsi="宋体"/>
                <w:sz w:val="20"/>
              </w:rPr>
            </w:pPr>
          </w:p>
        </w:tc>
        <w:tc>
          <w:tcPr>
            <w:tcW w:w="691" w:type="dxa"/>
            <w:vMerge w:val="continue"/>
            <w:vAlign w:val="center"/>
          </w:tcPr>
          <w:p w14:paraId="6AC9FCF2">
            <w:pPr>
              <w:spacing w:line="320" w:lineRule="exact"/>
              <w:jc w:val="center"/>
              <w:rPr>
                <w:rFonts w:hint="eastAsia" w:ascii="宋体" w:hAnsi="宋体"/>
                <w:sz w:val="20"/>
              </w:rPr>
            </w:pPr>
          </w:p>
        </w:tc>
        <w:tc>
          <w:tcPr>
            <w:tcW w:w="1450" w:type="dxa"/>
            <w:vAlign w:val="center"/>
          </w:tcPr>
          <w:p w14:paraId="61F9BAFC">
            <w:pPr>
              <w:snapToGrid w:val="0"/>
              <w:jc w:val="center"/>
              <w:rPr>
                <w:rFonts w:hint="eastAsia" w:ascii="宋体" w:hAnsi="宋体"/>
                <w:sz w:val="20"/>
              </w:rPr>
            </w:pPr>
            <w:r>
              <w:rPr>
                <w:rFonts w:hint="eastAsia" w:ascii="宋体" w:hAnsi="宋体"/>
                <w:szCs w:val="24"/>
              </w:rPr>
              <w:t>施工图设计方案</w:t>
            </w:r>
          </w:p>
        </w:tc>
        <w:tc>
          <w:tcPr>
            <w:tcW w:w="708" w:type="dxa"/>
            <w:vAlign w:val="center"/>
          </w:tcPr>
          <w:p w14:paraId="4487451D">
            <w:pPr>
              <w:snapToGrid w:val="0"/>
              <w:jc w:val="center"/>
              <w:rPr>
                <w:rFonts w:hint="eastAsia" w:ascii="宋体" w:hAnsi="宋体"/>
                <w:sz w:val="20"/>
              </w:rPr>
            </w:pPr>
            <w:r>
              <w:rPr>
                <w:rFonts w:ascii="宋体" w:hAnsi="宋体"/>
                <w:szCs w:val="24"/>
              </w:rPr>
              <w:t>7</w:t>
            </w:r>
            <w:r>
              <w:rPr>
                <w:rFonts w:hint="eastAsia" w:ascii="宋体" w:hAnsi="宋体"/>
                <w:szCs w:val="24"/>
              </w:rPr>
              <w:t>分</w:t>
            </w:r>
          </w:p>
        </w:tc>
        <w:tc>
          <w:tcPr>
            <w:tcW w:w="4725" w:type="dxa"/>
            <w:vAlign w:val="center"/>
          </w:tcPr>
          <w:p w14:paraId="14735523">
            <w:pPr>
              <w:ind w:right="-105" w:rightChars="-50"/>
              <w:jc w:val="left"/>
              <w:rPr>
                <w:rFonts w:hint="eastAsia" w:ascii="宋体" w:hAnsi="宋体"/>
                <w:szCs w:val="24"/>
              </w:rPr>
            </w:pPr>
            <w:r>
              <w:rPr>
                <w:rFonts w:hint="eastAsia" w:ascii="宋体" w:hAnsi="宋体"/>
                <w:szCs w:val="24"/>
              </w:rPr>
              <w:t>总体设计方案优，设计图纸适合现场条件、满足施工要求、总体布局科学合理，得</w:t>
            </w:r>
            <w:r>
              <w:rPr>
                <w:rFonts w:ascii="宋体" w:hAnsi="宋体"/>
                <w:szCs w:val="24"/>
              </w:rPr>
              <w:t>5.6</w:t>
            </w:r>
            <w:r>
              <w:rPr>
                <w:rFonts w:hint="eastAsia" w:ascii="宋体" w:hAnsi="宋体"/>
                <w:szCs w:val="24"/>
              </w:rPr>
              <w:t>（不含）-</w:t>
            </w:r>
            <w:r>
              <w:rPr>
                <w:rFonts w:ascii="宋体" w:hAnsi="宋体"/>
                <w:szCs w:val="24"/>
              </w:rPr>
              <w:t>7</w:t>
            </w:r>
            <w:r>
              <w:rPr>
                <w:rFonts w:hint="eastAsia" w:ascii="宋体" w:hAnsi="宋体"/>
                <w:szCs w:val="24"/>
              </w:rPr>
              <w:t>.0分；</w:t>
            </w:r>
          </w:p>
          <w:p w14:paraId="2795CCE6">
            <w:pPr>
              <w:ind w:right="-105" w:rightChars="-50"/>
              <w:jc w:val="left"/>
              <w:rPr>
                <w:rFonts w:hint="eastAsia" w:ascii="宋体" w:hAnsi="宋体"/>
                <w:szCs w:val="24"/>
              </w:rPr>
            </w:pPr>
            <w:r>
              <w:rPr>
                <w:rFonts w:hint="eastAsia" w:ascii="宋体" w:hAnsi="宋体"/>
                <w:szCs w:val="24"/>
              </w:rPr>
              <w:t>总体设计方案较好，设计图纸满足施工要求、总体布局合理，得</w:t>
            </w:r>
            <w:r>
              <w:rPr>
                <w:rFonts w:ascii="宋体" w:hAnsi="宋体"/>
                <w:szCs w:val="24"/>
              </w:rPr>
              <w:t>4.2</w:t>
            </w:r>
            <w:r>
              <w:rPr>
                <w:rFonts w:hint="eastAsia" w:ascii="宋体" w:hAnsi="宋体"/>
                <w:szCs w:val="24"/>
              </w:rPr>
              <w:t>（不含）-</w:t>
            </w:r>
            <w:r>
              <w:rPr>
                <w:rFonts w:ascii="宋体" w:hAnsi="宋体"/>
                <w:szCs w:val="24"/>
              </w:rPr>
              <w:t>5.6</w:t>
            </w:r>
            <w:r>
              <w:rPr>
                <w:rFonts w:hint="eastAsia" w:ascii="宋体" w:hAnsi="宋体"/>
                <w:szCs w:val="24"/>
              </w:rPr>
              <w:t>（含）分；</w:t>
            </w:r>
          </w:p>
          <w:p w14:paraId="38E25B56">
            <w:pPr>
              <w:snapToGrid w:val="0"/>
              <w:rPr>
                <w:rFonts w:hint="eastAsia" w:ascii="宋体" w:hAnsi="宋体"/>
                <w:sz w:val="20"/>
              </w:rPr>
            </w:pPr>
            <w:r>
              <w:rPr>
                <w:rFonts w:hint="eastAsia" w:ascii="宋体" w:hAnsi="宋体"/>
                <w:szCs w:val="24"/>
              </w:rPr>
              <w:t>总体设计方案一般，设计图纸基本满足施工要求、总体布局基本合理，得</w:t>
            </w:r>
            <w:r>
              <w:rPr>
                <w:rFonts w:ascii="宋体" w:hAnsi="宋体"/>
                <w:szCs w:val="24"/>
              </w:rPr>
              <w:t>4.2</w:t>
            </w:r>
            <w:r>
              <w:rPr>
                <w:rFonts w:hint="eastAsia" w:ascii="宋体" w:hAnsi="宋体"/>
                <w:szCs w:val="24"/>
              </w:rPr>
              <w:t>分。</w:t>
            </w:r>
          </w:p>
        </w:tc>
      </w:tr>
      <w:tr w14:paraId="5A0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71715286">
            <w:pPr>
              <w:spacing w:line="320" w:lineRule="exact"/>
              <w:jc w:val="center"/>
              <w:rPr>
                <w:rFonts w:hint="eastAsia" w:ascii="宋体" w:hAnsi="宋体"/>
                <w:sz w:val="20"/>
              </w:rPr>
            </w:pPr>
          </w:p>
        </w:tc>
        <w:tc>
          <w:tcPr>
            <w:tcW w:w="1000" w:type="dxa"/>
            <w:vMerge w:val="continue"/>
            <w:vAlign w:val="center"/>
          </w:tcPr>
          <w:p w14:paraId="2377C5B5">
            <w:pPr>
              <w:jc w:val="center"/>
              <w:rPr>
                <w:rFonts w:hint="eastAsia" w:ascii="宋体" w:hAnsi="宋体"/>
                <w:sz w:val="20"/>
              </w:rPr>
            </w:pPr>
          </w:p>
        </w:tc>
        <w:tc>
          <w:tcPr>
            <w:tcW w:w="691" w:type="dxa"/>
            <w:vMerge w:val="continue"/>
            <w:vAlign w:val="center"/>
          </w:tcPr>
          <w:p w14:paraId="44E8814D">
            <w:pPr>
              <w:spacing w:line="320" w:lineRule="exact"/>
              <w:jc w:val="center"/>
              <w:rPr>
                <w:rFonts w:hint="eastAsia" w:ascii="宋体" w:hAnsi="宋体"/>
                <w:sz w:val="20"/>
              </w:rPr>
            </w:pPr>
          </w:p>
        </w:tc>
        <w:tc>
          <w:tcPr>
            <w:tcW w:w="1450" w:type="dxa"/>
            <w:vAlign w:val="center"/>
          </w:tcPr>
          <w:p w14:paraId="26B54AEE">
            <w:pPr>
              <w:snapToGrid w:val="0"/>
              <w:jc w:val="center"/>
              <w:rPr>
                <w:rFonts w:hint="eastAsia" w:ascii="宋体" w:hAnsi="宋体"/>
                <w:sz w:val="20"/>
              </w:rPr>
            </w:pPr>
            <w:r>
              <w:rPr>
                <w:rFonts w:hint="eastAsia" w:ascii="宋体" w:hAnsi="宋体"/>
                <w:szCs w:val="24"/>
              </w:rPr>
              <w:t>设计质量保证措施</w:t>
            </w:r>
          </w:p>
        </w:tc>
        <w:tc>
          <w:tcPr>
            <w:tcW w:w="708" w:type="dxa"/>
            <w:vAlign w:val="center"/>
          </w:tcPr>
          <w:p w14:paraId="14084BC7">
            <w:pPr>
              <w:snapToGrid w:val="0"/>
              <w:jc w:val="center"/>
              <w:rPr>
                <w:rFonts w:hint="eastAsia" w:ascii="宋体" w:hAnsi="宋体"/>
                <w:sz w:val="20"/>
              </w:rPr>
            </w:pPr>
            <w:r>
              <w:rPr>
                <w:rFonts w:ascii="宋体" w:hAnsi="宋体"/>
                <w:szCs w:val="24"/>
              </w:rPr>
              <w:t>3</w:t>
            </w:r>
            <w:r>
              <w:rPr>
                <w:rFonts w:hint="eastAsia" w:ascii="宋体" w:hAnsi="宋体"/>
                <w:szCs w:val="24"/>
              </w:rPr>
              <w:t>分</w:t>
            </w:r>
          </w:p>
        </w:tc>
        <w:tc>
          <w:tcPr>
            <w:tcW w:w="4725" w:type="dxa"/>
            <w:vAlign w:val="center"/>
          </w:tcPr>
          <w:p w14:paraId="1D4FD76E">
            <w:pPr>
              <w:spacing w:line="320" w:lineRule="exact"/>
              <w:rPr>
                <w:rFonts w:hint="eastAsia" w:ascii="宋体" w:hAnsi="宋体"/>
                <w:szCs w:val="24"/>
              </w:rPr>
            </w:pPr>
            <w:r>
              <w:rPr>
                <w:rFonts w:hint="eastAsia" w:ascii="宋体" w:hAnsi="宋体"/>
                <w:szCs w:val="24"/>
              </w:rPr>
              <w:t>保证措施具体、全面合理，得</w:t>
            </w:r>
            <w:r>
              <w:rPr>
                <w:rFonts w:ascii="宋体" w:hAnsi="宋体"/>
                <w:szCs w:val="24"/>
              </w:rPr>
              <w:t>2.4</w:t>
            </w:r>
            <w:r>
              <w:rPr>
                <w:rFonts w:hint="eastAsia" w:ascii="宋体" w:hAnsi="宋体"/>
                <w:szCs w:val="24"/>
              </w:rPr>
              <w:t>（不含）-</w:t>
            </w:r>
            <w:r>
              <w:rPr>
                <w:rFonts w:ascii="宋体" w:hAnsi="宋体"/>
                <w:szCs w:val="24"/>
              </w:rPr>
              <w:t>3</w:t>
            </w:r>
            <w:r>
              <w:rPr>
                <w:rFonts w:hint="eastAsia" w:ascii="宋体" w:hAnsi="宋体"/>
                <w:szCs w:val="24"/>
              </w:rPr>
              <w:t>.0分；</w:t>
            </w:r>
          </w:p>
          <w:p w14:paraId="1B084B0A">
            <w:pPr>
              <w:spacing w:line="320" w:lineRule="exact"/>
              <w:rPr>
                <w:rFonts w:hint="eastAsia" w:ascii="宋体" w:hAnsi="宋体"/>
                <w:szCs w:val="24"/>
              </w:rPr>
            </w:pPr>
            <w:r>
              <w:rPr>
                <w:rFonts w:hint="eastAsia" w:ascii="宋体" w:hAnsi="宋体"/>
                <w:szCs w:val="24"/>
              </w:rPr>
              <w:t>保证措施较具体、较合理，得1.</w:t>
            </w:r>
            <w:r>
              <w:rPr>
                <w:rFonts w:ascii="宋体" w:hAnsi="宋体"/>
                <w:szCs w:val="24"/>
              </w:rPr>
              <w:t>8</w:t>
            </w:r>
            <w:r>
              <w:rPr>
                <w:rFonts w:hint="eastAsia" w:ascii="宋体" w:hAnsi="宋体"/>
                <w:szCs w:val="24"/>
              </w:rPr>
              <w:t>（不含）-</w:t>
            </w:r>
            <w:r>
              <w:rPr>
                <w:rFonts w:ascii="宋体" w:hAnsi="宋体"/>
                <w:szCs w:val="24"/>
              </w:rPr>
              <w:t>2.4</w:t>
            </w:r>
            <w:r>
              <w:rPr>
                <w:rFonts w:hint="eastAsia" w:ascii="宋体" w:hAnsi="宋体"/>
                <w:szCs w:val="24"/>
              </w:rPr>
              <w:t>（含）分；</w:t>
            </w:r>
          </w:p>
          <w:p w14:paraId="28337B54">
            <w:pPr>
              <w:snapToGrid w:val="0"/>
              <w:rPr>
                <w:rFonts w:hint="eastAsia" w:ascii="宋体" w:hAnsi="宋体"/>
                <w:sz w:val="20"/>
              </w:rPr>
            </w:pPr>
            <w:r>
              <w:rPr>
                <w:rFonts w:hint="eastAsia" w:ascii="宋体" w:hAnsi="宋体"/>
                <w:szCs w:val="24"/>
              </w:rPr>
              <w:t>保证措施一般，得1.</w:t>
            </w:r>
            <w:r>
              <w:rPr>
                <w:rFonts w:ascii="宋体" w:hAnsi="宋体"/>
                <w:szCs w:val="24"/>
              </w:rPr>
              <w:t>8</w:t>
            </w:r>
            <w:r>
              <w:rPr>
                <w:rFonts w:hint="eastAsia" w:ascii="宋体" w:hAnsi="宋体"/>
                <w:szCs w:val="24"/>
              </w:rPr>
              <w:t>分。</w:t>
            </w:r>
          </w:p>
        </w:tc>
      </w:tr>
      <w:tr w14:paraId="4959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0C30B16A">
            <w:pPr>
              <w:spacing w:line="320" w:lineRule="exact"/>
              <w:jc w:val="center"/>
              <w:rPr>
                <w:rFonts w:hint="eastAsia" w:ascii="宋体" w:hAnsi="宋体"/>
                <w:sz w:val="20"/>
              </w:rPr>
            </w:pPr>
          </w:p>
        </w:tc>
        <w:tc>
          <w:tcPr>
            <w:tcW w:w="1000" w:type="dxa"/>
            <w:vMerge w:val="continue"/>
            <w:vAlign w:val="center"/>
          </w:tcPr>
          <w:p w14:paraId="4312DF16">
            <w:pPr>
              <w:jc w:val="center"/>
              <w:rPr>
                <w:rFonts w:hint="eastAsia" w:ascii="宋体" w:hAnsi="宋体"/>
                <w:sz w:val="20"/>
              </w:rPr>
            </w:pPr>
          </w:p>
        </w:tc>
        <w:tc>
          <w:tcPr>
            <w:tcW w:w="691" w:type="dxa"/>
            <w:vMerge w:val="continue"/>
            <w:vAlign w:val="center"/>
          </w:tcPr>
          <w:p w14:paraId="460535F2">
            <w:pPr>
              <w:spacing w:line="320" w:lineRule="exact"/>
              <w:jc w:val="center"/>
              <w:rPr>
                <w:rFonts w:hint="eastAsia" w:ascii="宋体" w:hAnsi="宋体"/>
                <w:sz w:val="20"/>
              </w:rPr>
            </w:pPr>
          </w:p>
        </w:tc>
        <w:tc>
          <w:tcPr>
            <w:tcW w:w="1450" w:type="dxa"/>
            <w:vAlign w:val="center"/>
          </w:tcPr>
          <w:p w14:paraId="50F34E6B">
            <w:pPr>
              <w:snapToGrid w:val="0"/>
              <w:jc w:val="center"/>
              <w:rPr>
                <w:rFonts w:hint="eastAsia" w:ascii="宋体" w:hAnsi="宋体"/>
                <w:sz w:val="20"/>
              </w:rPr>
            </w:pPr>
            <w:r>
              <w:rPr>
                <w:rFonts w:hint="eastAsia" w:ascii="宋体" w:hAnsi="宋体"/>
                <w:szCs w:val="24"/>
              </w:rPr>
              <w:t>设计进度计划保证措施</w:t>
            </w:r>
          </w:p>
        </w:tc>
        <w:tc>
          <w:tcPr>
            <w:tcW w:w="708" w:type="dxa"/>
            <w:vAlign w:val="center"/>
          </w:tcPr>
          <w:p w14:paraId="21143FFB">
            <w:pPr>
              <w:snapToGrid w:val="0"/>
              <w:jc w:val="center"/>
              <w:rPr>
                <w:rFonts w:hint="eastAsia" w:ascii="宋体" w:hAnsi="宋体"/>
                <w:sz w:val="20"/>
              </w:rPr>
            </w:pPr>
            <w:r>
              <w:rPr>
                <w:rFonts w:ascii="宋体" w:hAnsi="宋体"/>
                <w:szCs w:val="24"/>
              </w:rPr>
              <w:t>3</w:t>
            </w:r>
            <w:r>
              <w:rPr>
                <w:rFonts w:hint="eastAsia" w:ascii="宋体" w:hAnsi="宋体"/>
                <w:szCs w:val="24"/>
              </w:rPr>
              <w:t>分</w:t>
            </w:r>
          </w:p>
        </w:tc>
        <w:tc>
          <w:tcPr>
            <w:tcW w:w="4725" w:type="dxa"/>
            <w:vAlign w:val="center"/>
          </w:tcPr>
          <w:p w14:paraId="20E7433F">
            <w:pPr>
              <w:spacing w:line="320" w:lineRule="exact"/>
              <w:rPr>
                <w:rFonts w:hint="eastAsia" w:ascii="宋体" w:hAnsi="宋体"/>
                <w:szCs w:val="24"/>
              </w:rPr>
            </w:pPr>
            <w:r>
              <w:rPr>
                <w:rFonts w:hint="eastAsia" w:ascii="宋体" w:hAnsi="宋体"/>
                <w:szCs w:val="24"/>
              </w:rPr>
              <w:t>保证措施具体、全面合理，得</w:t>
            </w:r>
            <w:r>
              <w:rPr>
                <w:rFonts w:ascii="宋体" w:hAnsi="宋体"/>
                <w:szCs w:val="24"/>
              </w:rPr>
              <w:t>2.4</w:t>
            </w:r>
            <w:r>
              <w:rPr>
                <w:rFonts w:hint="eastAsia" w:ascii="宋体" w:hAnsi="宋体"/>
                <w:szCs w:val="24"/>
              </w:rPr>
              <w:t>（不含）-</w:t>
            </w:r>
            <w:r>
              <w:rPr>
                <w:rFonts w:ascii="宋体" w:hAnsi="宋体"/>
                <w:szCs w:val="24"/>
              </w:rPr>
              <w:t>3</w:t>
            </w:r>
            <w:r>
              <w:rPr>
                <w:rFonts w:hint="eastAsia" w:ascii="宋体" w:hAnsi="宋体"/>
                <w:szCs w:val="24"/>
              </w:rPr>
              <w:t>.0分；</w:t>
            </w:r>
          </w:p>
          <w:p w14:paraId="630B912A">
            <w:pPr>
              <w:spacing w:line="320" w:lineRule="exact"/>
              <w:rPr>
                <w:rFonts w:hint="eastAsia" w:ascii="宋体" w:hAnsi="宋体"/>
                <w:szCs w:val="24"/>
              </w:rPr>
            </w:pPr>
            <w:r>
              <w:rPr>
                <w:rFonts w:hint="eastAsia" w:ascii="宋体" w:hAnsi="宋体"/>
                <w:szCs w:val="24"/>
              </w:rPr>
              <w:t>保证措施较具体、较合理，得</w:t>
            </w:r>
            <w:r>
              <w:rPr>
                <w:rFonts w:ascii="宋体" w:hAnsi="宋体"/>
                <w:szCs w:val="24"/>
              </w:rPr>
              <w:t>1.8</w:t>
            </w:r>
            <w:r>
              <w:rPr>
                <w:rFonts w:hint="eastAsia" w:ascii="宋体" w:hAnsi="宋体"/>
                <w:szCs w:val="24"/>
              </w:rPr>
              <w:t>（不含）-</w:t>
            </w:r>
            <w:r>
              <w:rPr>
                <w:rFonts w:ascii="宋体" w:hAnsi="宋体"/>
                <w:szCs w:val="24"/>
              </w:rPr>
              <w:t>2.4</w:t>
            </w:r>
            <w:r>
              <w:rPr>
                <w:rFonts w:hint="eastAsia" w:ascii="宋体" w:hAnsi="宋体"/>
                <w:szCs w:val="24"/>
              </w:rPr>
              <w:t>（含）分；</w:t>
            </w:r>
          </w:p>
          <w:p w14:paraId="4DCCEAD3">
            <w:pPr>
              <w:snapToGrid w:val="0"/>
              <w:rPr>
                <w:rFonts w:hint="eastAsia" w:ascii="宋体" w:hAnsi="宋体"/>
                <w:sz w:val="20"/>
              </w:rPr>
            </w:pPr>
            <w:r>
              <w:rPr>
                <w:rFonts w:hint="eastAsia" w:ascii="宋体" w:hAnsi="宋体"/>
                <w:szCs w:val="24"/>
              </w:rPr>
              <w:t>保证措施一般，得</w:t>
            </w:r>
            <w:r>
              <w:rPr>
                <w:rFonts w:ascii="宋体" w:hAnsi="宋体"/>
                <w:szCs w:val="24"/>
              </w:rPr>
              <w:t>1.8</w:t>
            </w:r>
            <w:r>
              <w:rPr>
                <w:rFonts w:hint="eastAsia" w:ascii="宋体" w:hAnsi="宋体"/>
                <w:szCs w:val="24"/>
              </w:rPr>
              <w:t>分。</w:t>
            </w:r>
          </w:p>
        </w:tc>
      </w:tr>
      <w:tr w14:paraId="0DC8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072D776D">
            <w:pPr>
              <w:spacing w:line="320" w:lineRule="exact"/>
              <w:jc w:val="center"/>
              <w:rPr>
                <w:rFonts w:hint="eastAsia" w:ascii="宋体" w:hAnsi="宋体"/>
                <w:sz w:val="20"/>
              </w:rPr>
            </w:pPr>
          </w:p>
        </w:tc>
        <w:tc>
          <w:tcPr>
            <w:tcW w:w="1000" w:type="dxa"/>
            <w:vMerge w:val="continue"/>
            <w:vAlign w:val="center"/>
          </w:tcPr>
          <w:p w14:paraId="764B4100">
            <w:pPr>
              <w:jc w:val="center"/>
              <w:rPr>
                <w:rFonts w:hint="eastAsia" w:ascii="宋体" w:hAnsi="宋体"/>
                <w:sz w:val="20"/>
              </w:rPr>
            </w:pPr>
          </w:p>
        </w:tc>
        <w:tc>
          <w:tcPr>
            <w:tcW w:w="691" w:type="dxa"/>
            <w:vMerge w:val="continue"/>
            <w:vAlign w:val="center"/>
          </w:tcPr>
          <w:p w14:paraId="400983E0">
            <w:pPr>
              <w:spacing w:line="320" w:lineRule="exact"/>
              <w:jc w:val="center"/>
              <w:rPr>
                <w:rFonts w:hint="eastAsia" w:ascii="宋体" w:hAnsi="宋体"/>
                <w:sz w:val="20"/>
              </w:rPr>
            </w:pPr>
          </w:p>
        </w:tc>
        <w:tc>
          <w:tcPr>
            <w:tcW w:w="1450" w:type="dxa"/>
            <w:vAlign w:val="center"/>
          </w:tcPr>
          <w:p w14:paraId="48151159">
            <w:pPr>
              <w:snapToGrid w:val="0"/>
              <w:jc w:val="center"/>
              <w:rPr>
                <w:rFonts w:hint="eastAsia" w:ascii="宋体" w:hAnsi="宋体"/>
                <w:sz w:val="20"/>
              </w:rPr>
            </w:pPr>
            <w:r>
              <w:rPr>
                <w:rFonts w:hint="eastAsia" w:ascii="宋体" w:hAnsi="宋体"/>
                <w:szCs w:val="24"/>
              </w:rPr>
              <w:t>设计工作的重点、难点分析</w:t>
            </w:r>
          </w:p>
        </w:tc>
        <w:tc>
          <w:tcPr>
            <w:tcW w:w="708" w:type="dxa"/>
            <w:vAlign w:val="center"/>
          </w:tcPr>
          <w:p w14:paraId="6B476F87">
            <w:pPr>
              <w:snapToGrid w:val="0"/>
              <w:jc w:val="center"/>
              <w:rPr>
                <w:rFonts w:hint="eastAsia" w:ascii="宋体" w:hAnsi="宋体"/>
                <w:sz w:val="20"/>
              </w:rPr>
            </w:pPr>
            <w:r>
              <w:rPr>
                <w:rFonts w:hint="eastAsia" w:ascii="宋体" w:hAnsi="宋体"/>
                <w:szCs w:val="24"/>
              </w:rPr>
              <w:t>3分</w:t>
            </w:r>
          </w:p>
        </w:tc>
        <w:tc>
          <w:tcPr>
            <w:tcW w:w="4725" w:type="dxa"/>
            <w:vAlign w:val="center"/>
          </w:tcPr>
          <w:p w14:paraId="2E8E72F9">
            <w:pPr>
              <w:spacing w:line="320" w:lineRule="exact"/>
              <w:rPr>
                <w:rFonts w:hint="eastAsia" w:ascii="宋体" w:hAnsi="宋体"/>
                <w:szCs w:val="24"/>
              </w:rPr>
            </w:pPr>
            <w:r>
              <w:rPr>
                <w:rFonts w:hint="eastAsia" w:ascii="宋体" w:hAnsi="宋体"/>
                <w:szCs w:val="24"/>
              </w:rPr>
              <w:t>分析透彻，把握准确，指导性强，得</w:t>
            </w:r>
            <w:r>
              <w:rPr>
                <w:rFonts w:ascii="宋体" w:hAnsi="宋体"/>
                <w:szCs w:val="24"/>
              </w:rPr>
              <w:t>2.4</w:t>
            </w:r>
            <w:r>
              <w:rPr>
                <w:rFonts w:hint="eastAsia" w:ascii="宋体" w:hAnsi="宋体"/>
                <w:szCs w:val="24"/>
              </w:rPr>
              <w:t>（不含）-</w:t>
            </w:r>
            <w:r>
              <w:rPr>
                <w:rFonts w:ascii="宋体" w:hAnsi="宋体"/>
                <w:szCs w:val="24"/>
              </w:rPr>
              <w:t>3</w:t>
            </w:r>
            <w:r>
              <w:rPr>
                <w:rFonts w:hint="eastAsia" w:ascii="宋体" w:hAnsi="宋体"/>
                <w:szCs w:val="24"/>
              </w:rPr>
              <w:t>.0分；</w:t>
            </w:r>
          </w:p>
          <w:p w14:paraId="29DD87B6">
            <w:pPr>
              <w:spacing w:line="320" w:lineRule="exact"/>
              <w:rPr>
                <w:rFonts w:hint="eastAsia" w:ascii="宋体" w:hAnsi="宋体"/>
                <w:szCs w:val="24"/>
              </w:rPr>
            </w:pPr>
            <w:r>
              <w:rPr>
                <w:rFonts w:hint="eastAsia" w:ascii="宋体" w:hAnsi="宋体"/>
                <w:szCs w:val="24"/>
              </w:rPr>
              <w:t>分析较透彻，把握较准确，指导性较强，得</w:t>
            </w:r>
            <w:r>
              <w:rPr>
                <w:rFonts w:ascii="宋体" w:hAnsi="宋体"/>
                <w:szCs w:val="24"/>
              </w:rPr>
              <w:t>1.8</w:t>
            </w:r>
            <w:r>
              <w:rPr>
                <w:rFonts w:hint="eastAsia" w:ascii="宋体" w:hAnsi="宋体"/>
                <w:szCs w:val="24"/>
              </w:rPr>
              <w:t>（不含）-</w:t>
            </w:r>
            <w:r>
              <w:rPr>
                <w:rFonts w:ascii="宋体" w:hAnsi="宋体"/>
                <w:szCs w:val="24"/>
              </w:rPr>
              <w:t>2.4</w:t>
            </w:r>
            <w:r>
              <w:rPr>
                <w:rFonts w:hint="eastAsia" w:ascii="宋体" w:hAnsi="宋体"/>
                <w:szCs w:val="24"/>
              </w:rPr>
              <w:t>（含）分；</w:t>
            </w:r>
          </w:p>
          <w:p w14:paraId="32AC0F02">
            <w:pPr>
              <w:snapToGrid w:val="0"/>
              <w:rPr>
                <w:rFonts w:hint="eastAsia" w:ascii="宋体" w:hAnsi="宋体"/>
                <w:sz w:val="20"/>
              </w:rPr>
            </w:pPr>
            <w:r>
              <w:rPr>
                <w:rFonts w:hint="eastAsia" w:ascii="宋体" w:hAnsi="宋体"/>
                <w:szCs w:val="24"/>
              </w:rPr>
              <w:t>分析一般，指导性一般，得</w:t>
            </w:r>
            <w:r>
              <w:rPr>
                <w:rFonts w:ascii="宋体" w:hAnsi="宋体"/>
                <w:szCs w:val="24"/>
              </w:rPr>
              <w:t>1.8</w:t>
            </w:r>
            <w:r>
              <w:rPr>
                <w:rFonts w:hint="eastAsia" w:ascii="宋体" w:hAnsi="宋体"/>
                <w:szCs w:val="24"/>
              </w:rPr>
              <w:t>分。</w:t>
            </w:r>
          </w:p>
        </w:tc>
      </w:tr>
      <w:tr w14:paraId="42F2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14:paraId="63EBDF05">
            <w:pPr>
              <w:spacing w:line="320" w:lineRule="exact"/>
              <w:jc w:val="center"/>
              <w:rPr>
                <w:rFonts w:hint="eastAsia" w:ascii="宋体" w:hAnsi="宋体"/>
                <w:sz w:val="20"/>
              </w:rPr>
            </w:pPr>
            <w:r>
              <w:rPr>
                <w:rFonts w:hint="eastAsia" w:ascii="宋体" w:hAnsi="宋体"/>
                <w:sz w:val="20"/>
              </w:rPr>
              <w:t>2</w:t>
            </w:r>
            <w:r>
              <w:rPr>
                <w:rFonts w:ascii="宋体" w:hAnsi="宋体"/>
                <w:sz w:val="20"/>
              </w:rPr>
              <w:t>.2.4</w:t>
            </w:r>
            <w:r>
              <w:rPr>
                <w:rFonts w:hint="eastAsia" w:ascii="宋体" w:hAnsi="宋体"/>
                <w:sz w:val="20"/>
              </w:rPr>
              <w:t>（</w:t>
            </w:r>
            <w:r>
              <w:rPr>
                <w:rFonts w:ascii="宋体" w:hAnsi="宋体"/>
                <w:sz w:val="20"/>
              </w:rPr>
              <w:t>2</w:t>
            </w:r>
            <w:r>
              <w:rPr>
                <w:rFonts w:hint="eastAsia" w:ascii="宋体" w:hAnsi="宋体"/>
                <w:sz w:val="20"/>
              </w:rPr>
              <w:t>）</w:t>
            </w:r>
          </w:p>
        </w:tc>
        <w:tc>
          <w:tcPr>
            <w:tcW w:w="1000" w:type="dxa"/>
            <w:vMerge w:val="restart"/>
            <w:vAlign w:val="center"/>
          </w:tcPr>
          <w:p w14:paraId="6AD79EC0">
            <w:pPr>
              <w:spacing w:line="320" w:lineRule="exact"/>
              <w:ind w:left="-78" w:leftChars="-37" w:right="-120" w:rightChars="-57"/>
              <w:jc w:val="center"/>
              <w:rPr>
                <w:rFonts w:hint="eastAsia" w:ascii="宋体" w:hAnsi="宋体"/>
                <w:sz w:val="20"/>
              </w:rPr>
            </w:pPr>
            <w:r>
              <w:rPr>
                <w:rFonts w:hint="eastAsia" w:ascii="宋体" w:hAnsi="宋体"/>
                <w:sz w:val="20"/>
              </w:rPr>
              <w:t>承包人实施方案（暗标）</w:t>
            </w:r>
          </w:p>
        </w:tc>
        <w:tc>
          <w:tcPr>
            <w:tcW w:w="691" w:type="dxa"/>
            <w:vMerge w:val="restart"/>
            <w:vAlign w:val="center"/>
          </w:tcPr>
          <w:p w14:paraId="6CF22714">
            <w:pPr>
              <w:spacing w:line="320" w:lineRule="exact"/>
              <w:jc w:val="center"/>
              <w:rPr>
                <w:rFonts w:hint="eastAsia" w:ascii="宋体" w:hAnsi="宋体"/>
                <w:sz w:val="20"/>
              </w:rPr>
            </w:pPr>
            <w:r>
              <w:rPr>
                <w:rFonts w:ascii="宋体" w:hAnsi="宋体"/>
                <w:sz w:val="20"/>
              </w:rPr>
              <w:t>20</w:t>
            </w:r>
            <w:r>
              <w:rPr>
                <w:rFonts w:hint="eastAsia" w:ascii="宋体" w:hAnsi="宋体"/>
                <w:sz w:val="20"/>
              </w:rPr>
              <w:t>分</w:t>
            </w:r>
          </w:p>
        </w:tc>
        <w:tc>
          <w:tcPr>
            <w:tcW w:w="1450" w:type="dxa"/>
            <w:vAlign w:val="center"/>
          </w:tcPr>
          <w:p w14:paraId="20D229DF">
            <w:pPr>
              <w:spacing w:line="440" w:lineRule="exact"/>
              <w:jc w:val="center"/>
              <w:rPr>
                <w:rFonts w:hint="eastAsia" w:ascii="宋体" w:hAnsi="宋体"/>
                <w:szCs w:val="21"/>
              </w:rPr>
            </w:pPr>
            <w:r>
              <w:rPr>
                <w:rFonts w:hint="eastAsia" w:ascii="宋体" w:hAnsi="宋体"/>
                <w:szCs w:val="21"/>
              </w:rPr>
              <w:t>总承包管理</w:t>
            </w:r>
          </w:p>
          <w:p w14:paraId="399D1060">
            <w:pPr>
              <w:spacing w:line="320" w:lineRule="exact"/>
              <w:jc w:val="center"/>
              <w:rPr>
                <w:rFonts w:hint="eastAsia" w:ascii="宋体" w:hAnsi="宋体"/>
                <w:sz w:val="20"/>
              </w:rPr>
            </w:pPr>
            <w:r>
              <w:rPr>
                <w:rFonts w:hint="eastAsia" w:ascii="宋体" w:hAnsi="宋体"/>
                <w:szCs w:val="21"/>
              </w:rPr>
              <w:t>方案</w:t>
            </w:r>
          </w:p>
        </w:tc>
        <w:tc>
          <w:tcPr>
            <w:tcW w:w="708" w:type="dxa"/>
            <w:vAlign w:val="center"/>
          </w:tcPr>
          <w:p w14:paraId="598A0DD6">
            <w:pPr>
              <w:jc w:val="center"/>
              <w:rPr>
                <w:rFonts w:hint="eastAsia" w:ascii="宋体" w:hAnsi="宋体"/>
                <w:sz w:val="20"/>
              </w:rPr>
            </w:pPr>
            <w:r>
              <w:rPr>
                <w:rFonts w:hint="eastAsia" w:ascii="宋体" w:hAnsi="宋体"/>
                <w:szCs w:val="24"/>
              </w:rPr>
              <w:t>3分</w:t>
            </w:r>
          </w:p>
        </w:tc>
        <w:tc>
          <w:tcPr>
            <w:tcW w:w="4725" w:type="dxa"/>
            <w:vAlign w:val="center"/>
          </w:tcPr>
          <w:p w14:paraId="2041B837">
            <w:pPr>
              <w:spacing w:line="320" w:lineRule="exact"/>
              <w:rPr>
                <w:rFonts w:hint="eastAsia" w:ascii="宋体" w:hAnsi="宋体"/>
                <w:szCs w:val="24"/>
              </w:rPr>
            </w:pPr>
            <w:r>
              <w:rPr>
                <w:rFonts w:hint="eastAsia" w:ascii="宋体" w:hAnsi="宋体"/>
                <w:szCs w:val="24"/>
              </w:rPr>
              <w:t>内容完整，编制科学合理，指导性强，得2.4（不含）-3.0分；</w:t>
            </w:r>
          </w:p>
          <w:p w14:paraId="1444D7EC">
            <w:pPr>
              <w:spacing w:line="320" w:lineRule="exact"/>
              <w:rPr>
                <w:rFonts w:hint="eastAsia" w:ascii="宋体" w:hAnsi="宋体"/>
                <w:szCs w:val="24"/>
              </w:rPr>
            </w:pPr>
            <w:r>
              <w:rPr>
                <w:rFonts w:hint="eastAsia" w:ascii="宋体" w:hAnsi="宋体"/>
                <w:szCs w:val="24"/>
              </w:rPr>
              <w:t>内容较完整，编制较合理，指导性较强，得1.8（不含）-2.4（含）分；</w:t>
            </w:r>
          </w:p>
          <w:p w14:paraId="301C2638">
            <w:pPr>
              <w:widowControl/>
              <w:snapToGrid w:val="0"/>
              <w:spacing w:line="280" w:lineRule="exact"/>
              <w:rPr>
                <w:rFonts w:hint="eastAsia" w:ascii="宋体" w:hAnsi="宋体"/>
                <w:sz w:val="20"/>
              </w:rPr>
            </w:pPr>
            <w:r>
              <w:rPr>
                <w:rFonts w:hint="eastAsia" w:ascii="宋体" w:hAnsi="宋体"/>
                <w:szCs w:val="24"/>
              </w:rPr>
              <w:t>内容基本完整，编制基本合理，指导性一般，得1.8分。</w:t>
            </w:r>
          </w:p>
        </w:tc>
      </w:tr>
      <w:tr w14:paraId="702C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7CE00A04">
            <w:pPr>
              <w:spacing w:line="320" w:lineRule="exact"/>
              <w:jc w:val="center"/>
              <w:rPr>
                <w:rFonts w:hint="eastAsia" w:ascii="宋体" w:hAnsi="宋体"/>
                <w:sz w:val="20"/>
              </w:rPr>
            </w:pPr>
          </w:p>
        </w:tc>
        <w:tc>
          <w:tcPr>
            <w:tcW w:w="1000" w:type="dxa"/>
            <w:vMerge w:val="continue"/>
            <w:vAlign w:val="center"/>
          </w:tcPr>
          <w:p w14:paraId="39ED386F">
            <w:pPr>
              <w:spacing w:line="320" w:lineRule="exact"/>
              <w:jc w:val="center"/>
              <w:rPr>
                <w:rFonts w:hint="eastAsia" w:ascii="宋体" w:hAnsi="宋体"/>
                <w:sz w:val="20"/>
              </w:rPr>
            </w:pPr>
          </w:p>
        </w:tc>
        <w:tc>
          <w:tcPr>
            <w:tcW w:w="691" w:type="dxa"/>
            <w:vMerge w:val="continue"/>
            <w:vAlign w:val="center"/>
          </w:tcPr>
          <w:p w14:paraId="5C9AD343">
            <w:pPr>
              <w:spacing w:line="320" w:lineRule="exact"/>
              <w:jc w:val="center"/>
              <w:rPr>
                <w:rFonts w:hint="eastAsia" w:ascii="宋体" w:hAnsi="宋体"/>
                <w:sz w:val="20"/>
              </w:rPr>
            </w:pPr>
          </w:p>
        </w:tc>
        <w:tc>
          <w:tcPr>
            <w:tcW w:w="1450" w:type="dxa"/>
            <w:vAlign w:val="center"/>
          </w:tcPr>
          <w:p w14:paraId="3AA7A27B">
            <w:pPr>
              <w:spacing w:line="320" w:lineRule="exact"/>
              <w:jc w:val="center"/>
              <w:rPr>
                <w:rFonts w:hint="eastAsia" w:ascii="宋体" w:hAnsi="宋体"/>
                <w:sz w:val="20"/>
              </w:rPr>
            </w:pPr>
            <w:r>
              <w:rPr>
                <w:rFonts w:hint="eastAsia" w:ascii="宋体" w:hAnsi="宋体"/>
                <w:szCs w:val="24"/>
              </w:rPr>
              <w:t>总体施工组织布置及规划</w:t>
            </w:r>
          </w:p>
        </w:tc>
        <w:tc>
          <w:tcPr>
            <w:tcW w:w="708" w:type="dxa"/>
            <w:vAlign w:val="center"/>
          </w:tcPr>
          <w:p w14:paraId="4C112D29">
            <w:pPr>
              <w:jc w:val="center"/>
              <w:rPr>
                <w:rFonts w:hint="eastAsia" w:ascii="宋体" w:hAnsi="宋体"/>
                <w:sz w:val="20"/>
              </w:rPr>
            </w:pPr>
            <w:r>
              <w:rPr>
                <w:rFonts w:hint="eastAsia" w:ascii="宋体" w:hAnsi="宋体"/>
                <w:szCs w:val="24"/>
              </w:rPr>
              <w:t>2分</w:t>
            </w:r>
          </w:p>
        </w:tc>
        <w:tc>
          <w:tcPr>
            <w:tcW w:w="4725" w:type="dxa"/>
          </w:tcPr>
          <w:p w14:paraId="49FE6DFD">
            <w:pPr>
              <w:spacing w:line="320" w:lineRule="exact"/>
              <w:rPr>
                <w:rFonts w:hint="eastAsia" w:ascii="宋体" w:hAnsi="宋体"/>
                <w:szCs w:val="24"/>
              </w:rPr>
            </w:pPr>
            <w:r>
              <w:rPr>
                <w:rFonts w:hint="eastAsia" w:ascii="宋体" w:hAnsi="宋体"/>
                <w:szCs w:val="24"/>
              </w:rPr>
              <w:t>组织布置完备，规划详细具体、全面合理，得1.6（不含）-2.0分；</w:t>
            </w:r>
          </w:p>
          <w:p w14:paraId="40CE528F">
            <w:pPr>
              <w:spacing w:line="320" w:lineRule="exact"/>
              <w:rPr>
                <w:rFonts w:hint="eastAsia" w:ascii="宋体" w:hAnsi="宋体"/>
                <w:szCs w:val="24"/>
              </w:rPr>
            </w:pPr>
            <w:r>
              <w:rPr>
                <w:rFonts w:hint="eastAsia" w:ascii="宋体" w:hAnsi="宋体"/>
                <w:szCs w:val="24"/>
              </w:rPr>
              <w:t>组织布置较完备，规划较具体、较合理，得1.2（不含）-1.6（含）分；</w:t>
            </w:r>
          </w:p>
          <w:p w14:paraId="46421503">
            <w:pPr>
              <w:widowControl/>
              <w:snapToGrid w:val="0"/>
              <w:spacing w:line="280" w:lineRule="exact"/>
              <w:jc w:val="left"/>
              <w:rPr>
                <w:rFonts w:hint="eastAsia" w:ascii="宋体" w:hAnsi="宋体"/>
                <w:sz w:val="20"/>
              </w:rPr>
            </w:pPr>
            <w:r>
              <w:rPr>
                <w:rFonts w:hint="eastAsia" w:ascii="宋体" w:hAnsi="宋体"/>
                <w:szCs w:val="24"/>
              </w:rPr>
              <w:t>组织布置一般，规划基本合理，得1.2分。</w:t>
            </w:r>
          </w:p>
        </w:tc>
      </w:tr>
      <w:tr w14:paraId="665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04606FC7">
            <w:pPr>
              <w:spacing w:line="320" w:lineRule="exact"/>
              <w:jc w:val="center"/>
              <w:rPr>
                <w:rFonts w:hint="eastAsia" w:ascii="宋体" w:hAnsi="宋体"/>
                <w:sz w:val="20"/>
              </w:rPr>
            </w:pPr>
          </w:p>
        </w:tc>
        <w:tc>
          <w:tcPr>
            <w:tcW w:w="1000" w:type="dxa"/>
            <w:vMerge w:val="continue"/>
            <w:vAlign w:val="center"/>
          </w:tcPr>
          <w:p w14:paraId="02ACDD45">
            <w:pPr>
              <w:spacing w:line="320" w:lineRule="exact"/>
              <w:jc w:val="center"/>
              <w:rPr>
                <w:rFonts w:hint="eastAsia" w:ascii="宋体" w:hAnsi="宋体"/>
                <w:sz w:val="20"/>
              </w:rPr>
            </w:pPr>
          </w:p>
        </w:tc>
        <w:tc>
          <w:tcPr>
            <w:tcW w:w="691" w:type="dxa"/>
            <w:vMerge w:val="continue"/>
            <w:vAlign w:val="center"/>
          </w:tcPr>
          <w:p w14:paraId="3CB1477B">
            <w:pPr>
              <w:spacing w:line="320" w:lineRule="exact"/>
              <w:jc w:val="center"/>
              <w:rPr>
                <w:rFonts w:hint="eastAsia" w:ascii="宋体" w:hAnsi="宋体"/>
                <w:sz w:val="20"/>
              </w:rPr>
            </w:pPr>
          </w:p>
        </w:tc>
        <w:tc>
          <w:tcPr>
            <w:tcW w:w="1450" w:type="dxa"/>
            <w:vAlign w:val="center"/>
          </w:tcPr>
          <w:p w14:paraId="781001FD">
            <w:pPr>
              <w:spacing w:line="320" w:lineRule="exact"/>
              <w:jc w:val="center"/>
              <w:rPr>
                <w:rFonts w:hint="eastAsia" w:ascii="宋体" w:hAnsi="宋体" w:cs="宋体"/>
                <w:sz w:val="20"/>
              </w:rPr>
            </w:pPr>
            <w:r>
              <w:rPr>
                <w:rFonts w:hint="eastAsia" w:ascii="宋体" w:hAnsi="宋体"/>
                <w:szCs w:val="24"/>
              </w:rPr>
              <w:t>主要工程项目的施工方案、方法与技术措施</w:t>
            </w:r>
          </w:p>
        </w:tc>
        <w:tc>
          <w:tcPr>
            <w:tcW w:w="708" w:type="dxa"/>
            <w:vAlign w:val="center"/>
          </w:tcPr>
          <w:p w14:paraId="1929429F">
            <w:pPr>
              <w:jc w:val="center"/>
              <w:rPr>
                <w:rFonts w:hint="eastAsia" w:ascii="宋体" w:hAnsi="宋体" w:cs="宋体"/>
                <w:sz w:val="20"/>
              </w:rPr>
            </w:pPr>
            <w:r>
              <w:rPr>
                <w:rFonts w:hint="eastAsia" w:ascii="宋体" w:hAnsi="宋体"/>
                <w:szCs w:val="24"/>
              </w:rPr>
              <w:t>2分</w:t>
            </w:r>
          </w:p>
        </w:tc>
        <w:tc>
          <w:tcPr>
            <w:tcW w:w="4725" w:type="dxa"/>
          </w:tcPr>
          <w:p w14:paraId="5EED7D0A">
            <w:pPr>
              <w:spacing w:line="320" w:lineRule="exact"/>
              <w:rPr>
                <w:rFonts w:hint="eastAsia" w:ascii="宋体" w:hAnsi="宋体"/>
                <w:szCs w:val="24"/>
              </w:rPr>
            </w:pPr>
            <w:r>
              <w:rPr>
                <w:rFonts w:hint="eastAsia" w:ascii="宋体" w:hAnsi="宋体"/>
                <w:szCs w:val="24"/>
              </w:rPr>
              <w:t>方案详尽，措施合理，可行性较强，得1.6（不含）-2分；</w:t>
            </w:r>
          </w:p>
          <w:p w14:paraId="57E2DA13">
            <w:pPr>
              <w:spacing w:line="320" w:lineRule="exact"/>
              <w:rPr>
                <w:rFonts w:hint="eastAsia" w:ascii="宋体" w:hAnsi="宋体"/>
                <w:szCs w:val="24"/>
              </w:rPr>
            </w:pPr>
            <w:r>
              <w:rPr>
                <w:rFonts w:hint="eastAsia" w:ascii="宋体" w:hAnsi="宋体"/>
                <w:szCs w:val="24"/>
              </w:rPr>
              <w:t>方案较详尽，措施较合理，可行性较强，得1.2（不含）-1.6（含）分；</w:t>
            </w:r>
          </w:p>
          <w:p w14:paraId="34D4E4E4">
            <w:pPr>
              <w:spacing w:line="320" w:lineRule="exact"/>
              <w:rPr>
                <w:rFonts w:hint="eastAsia" w:ascii="宋体" w:hAnsi="宋体" w:cs="宋体"/>
                <w:sz w:val="20"/>
              </w:rPr>
            </w:pPr>
            <w:r>
              <w:rPr>
                <w:rFonts w:hint="eastAsia" w:ascii="宋体" w:hAnsi="宋体"/>
                <w:szCs w:val="24"/>
              </w:rPr>
              <w:t>方案一般，措施基本合理，可行性一般，得1.2分。</w:t>
            </w:r>
          </w:p>
        </w:tc>
      </w:tr>
      <w:tr w14:paraId="0E4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3A2B3FD6">
            <w:pPr>
              <w:spacing w:line="320" w:lineRule="exact"/>
              <w:jc w:val="center"/>
              <w:rPr>
                <w:rFonts w:hint="eastAsia" w:ascii="宋体" w:hAnsi="宋体"/>
                <w:sz w:val="20"/>
              </w:rPr>
            </w:pPr>
          </w:p>
        </w:tc>
        <w:tc>
          <w:tcPr>
            <w:tcW w:w="1000" w:type="dxa"/>
            <w:vMerge w:val="continue"/>
            <w:vAlign w:val="center"/>
          </w:tcPr>
          <w:p w14:paraId="283CC3B8">
            <w:pPr>
              <w:spacing w:line="320" w:lineRule="exact"/>
              <w:jc w:val="center"/>
              <w:rPr>
                <w:rFonts w:hint="eastAsia" w:ascii="宋体" w:hAnsi="宋体"/>
                <w:sz w:val="20"/>
              </w:rPr>
            </w:pPr>
          </w:p>
        </w:tc>
        <w:tc>
          <w:tcPr>
            <w:tcW w:w="691" w:type="dxa"/>
            <w:vMerge w:val="continue"/>
            <w:vAlign w:val="center"/>
          </w:tcPr>
          <w:p w14:paraId="3E2D2E8E">
            <w:pPr>
              <w:spacing w:line="320" w:lineRule="exact"/>
              <w:jc w:val="center"/>
              <w:rPr>
                <w:rFonts w:hint="eastAsia" w:ascii="宋体" w:hAnsi="宋体"/>
                <w:sz w:val="20"/>
              </w:rPr>
            </w:pPr>
          </w:p>
        </w:tc>
        <w:tc>
          <w:tcPr>
            <w:tcW w:w="1450" w:type="dxa"/>
            <w:vAlign w:val="center"/>
          </w:tcPr>
          <w:p w14:paraId="665FC6B7">
            <w:pPr>
              <w:spacing w:line="320" w:lineRule="exact"/>
              <w:jc w:val="center"/>
              <w:rPr>
                <w:rFonts w:hint="eastAsia" w:ascii="宋体" w:hAnsi="宋体" w:cs="宋体"/>
                <w:sz w:val="20"/>
              </w:rPr>
            </w:pPr>
            <w:r>
              <w:rPr>
                <w:rFonts w:hint="eastAsia" w:ascii="宋体" w:hAnsi="宋体"/>
                <w:szCs w:val="21"/>
              </w:rPr>
              <w:t>交通组织方案及保证措施</w:t>
            </w:r>
          </w:p>
        </w:tc>
        <w:tc>
          <w:tcPr>
            <w:tcW w:w="708" w:type="dxa"/>
            <w:vAlign w:val="center"/>
          </w:tcPr>
          <w:p w14:paraId="03573F1D">
            <w:pPr>
              <w:jc w:val="center"/>
              <w:rPr>
                <w:rFonts w:hint="eastAsia" w:ascii="宋体" w:hAnsi="宋体" w:cs="宋体"/>
                <w:sz w:val="20"/>
              </w:rPr>
            </w:pPr>
            <w:r>
              <w:rPr>
                <w:rFonts w:hint="eastAsia" w:ascii="宋体" w:hAnsi="宋体"/>
                <w:szCs w:val="21"/>
              </w:rPr>
              <w:t>4分</w:t>
            </w:r>
          </w:p>
        </w:tc>
        <w:tc>
          <w:tcPr>
            <w:tcW w:w="4725" w:type="dxa"/>
          </w:tcPr>
          <w:p w14:paraId="451CECD7">
            <w:pPr>
              <w:rPr>
                <w:rFonts w:hint="eastAsia" w:ascii="宋体" w:hAnsi="宋体"/>
                <w:szCs w:val="21"/>
              </w:rPr>
            </w:pPr>
            <w:r>
              <w:rPr>
                <w:rFonts w:hint="eastAsia" w:ascii="宋体" w:hAnsi="宋体"/>
                <w:szCs w:val="21"/>
              </w:rPr>
              <w:t>体系完备，保证措施具体、全面合理，得3.2（不含）-4.0分；</w:t>
            </w:r>
          </w:p>
          <w:p w14:paraId="01B6BB84">
            <w:pPr>
              <w:rPr>
                <w:rFonts w:hint="eastAsia" w:ascii="宋体" w:hAnsi="宋体"/>
                <w:szCs w:val="21"/>
              </w:rPr>
            </w:pPr>
            <w:r>
              <w:rPr>
                <w:rFonts w:hint="eastAsia" w:ascii="宋体" w:hAnsi="宋体"/>
                <w:szCs w:val="21"/>
              </w:rPr>
              <w:t>体系较完备，措施较具体，得2.4（不含）-3.2（含）分；</w:t>
            </w:r>
          </w:p>
          <w:p w14:paraId="5A446E66">
            <w:pPr>
              <w:spacing w:line="320" w:lineRule="exact"/>
              <w:rPr>
                <w:rFonts w:hint="eastAsia" w:ascii="宋体" w:hAnsi="宋体" w:cs="宋体"/>
                <w:sz w:val="20"/>
              </w:rPr>
            </w:pPr>
            <w:r>
              <w:rPr>
                <w:rFonts w:hint="eastAsia" w:ascii="宋体" w:hAnsi="宋体"/>
                <w:szCs w:val="21"/>
              </w:rPr>
              <w:t>方案一般，措施基本合理，可行性一般，得2.4分。</w:t>
            </w:r>
          </w:p>
        </w:tc>
      </w:tr>
      <w:tr w14:paraId="7C12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1AC55674">
            <w:pPr>
              <w:spacing w:line="320" w:lineRule="exact"/>
              <w:jc w:val="center"/>
              <w:rPr>
                <w:rFonts w:hint="eastAsia" w:ascii="宋体" w:hAnsi="宋体"/>
                <w:sz w:val="20"/>
              </w:rPr>
            </w:pPr>
          </w:p>
        </w:tc>
        <w:tc>
          <w:tcPr>
            <w:tcW w:w="1000" w:type="dxa"/>
            <w:vMerge w:val="continue"/>
            <w:vAlign w:val="center"/>
          </w:tcPr>
          <w:p w14:paraId="1F9252CB">
            <w:pPr>
              <w:spacing w:line="320" w:lineRule="exact"/>
              <w:jc w:val="center"/>
              <w:rPr>
                <w:rFonts w:hint="eastAsia" w:ascii="宋体" w:hAnsi="宋体"/>
                <w:sz w:val="20"/>
              </w:rPr>
            </w:pPr>
          </w:p>
        </w:tc>
        <w:tc>
          <w:tcPr>
            <w:tcW w:w="691" w:type="dxa"/>
            <w:vMerge w:val="continue"/>
            <w:vAlign w:val="center"/>
          </w:tcPr>
          <w:p w14:paraId="4B7F077E">
            <w:pPr>
              <w:spacing w:line="320" w:lineRule="exact"/>
              <w:jc w:val="center"/>
              <w:rPr>
                <w:rFonts w:hint="eastAsia" w:ascii="宋体" w:hAnsi="宋体"/>
                <w:sz w:val="20"/>
              </w:rPr>
            </w:pPr>
          </w:p>
        </w:tc>
        <w:tc>
          <w:tcPr>
            <w:tcW w:w="1450" w:type="dxa"/>
            <w:vAlign w:val="center"/>
          </w:tcPr>
          <w:p w14:paraId="634F4D21">
            <w:pPr>
              <w:spacing w:line="320" w:lineRule="exact"/>
              <w:jc w:val="center"/>
              <w:rPr>
                <w:rFonts w:hint="eastAsia" w:ascii="宋体" w:hAnsi="宋体" w:cs="宋体"/>
                <w:sz w:val="20"/>
              </w:rPr>
            </w:pPr>
            <w:r>
              <w:rPr>
                <w:rFonts w:hint="eastAsia" w:ascii="宋体" w:hAnsi="宋体"/>
                <w:szCs w:val="24"/>
              </w:rPr>
              <w:t>工期保证体系及保证措施</w:t>
            </w:r>
          </w:p>
        </w:tc>
        <w:tc>
          <w:tcPr>
            <w:tcW w:w="708" w:type="dxa"/>
            <w:vAlign w:val="center"/>
          </w:tcPr>
          <w:p w14:paraId="744EDB74">
            <w:pPr>
              <w:jc w:val="center"/>
              <w:rPr>
                <w:rFonts w:hint="eastAsia" w:ascii="宋体" w:hAnsi="宋体" w:cs="宋体"/>
                <w:sz w:val="20"/>
              </w:rPr>
            </w:pPr>
            <w:r>
              <w:rPr>
                <w:rFonts w:hint="eastAsia" w:ascii="宋体" w:hAnsi="宋体"/>
                <w:szCs w:val="24"/>
              </w:rPr>
              <w:t>2分</w:t>
            </w:r>
          </w:p>
        </w:tc>
        <w:tc>
          <w:tcPr>
            <w:tcW w:w="4725" w:type="dxa"/>
          </w:tcPr>
          <w:p w14:paraId="1045E3A2">
            <w:pPr>
              <w:spacing w:line="320" w:lineRule="exact"/>
              <w:rPr>
                <w:rFonts w:hint="eastAsia" w:ascii="宋体" w:hAnsi="宋体"/>
                <w:szCs w:val="24"/>
              </w:rPr>
            </w:pPr>
            <w:r>
              <w:rPr>
                <w:rFonts w:hint="eastAsia" w:ascii="宋体" w:hAnsi="宋体"/>
                <w:szCs w:val="24"/>
              </w:rPr>
              <w:t>体系完备，保证措施具体、全面合理，得1.6（不含）-2.0分；</w:t>
            </w:r>
          </w:p>
          <w:p w14:paraId="643A864E">
            <w:pPr>
              <w:spacing w:line="320" w:lineRule="exact"/>
              <w:rPr>
                <w:rFonts w:hint="eastAsia" w:ascii="宋体" w:hAnsi="宋体"/>
                <w:szCs w:val="24"/>
              </w:rPr>
            </w:pPr>
            <w:r>
              <w:rPr>
                <w:rFonts w:hint="eastAsia" w:ascii="宋体" w:hAnsi="宋体"/>
                <w:szCs w:val="24"/>
              </w:rPr>
              <w:t>体系较完备，措施较具体，得1.2（不含）-1.6（含）分；</w:t>
            </w:r>
          </w:p>
          <w:p w14:paraId="343F50FA">
            <w:pPr>
              <w:spacing w:line="320" w:lineRule="exact"/>
              <w:rPr>
                <w:rFonts w:hint="eastAsia" w:ascii="宋体" w:hAnsi="宋体" w:cs="宋体"/>
                <w:sz w:val="20"/>
              </w:rPr>
            </w:pPr>
            <w:r>
              <w:rPr>
                <w:rFonts w:hint="eastAsia" w:ascii="宋体" w:hAnsi="宋体"/>
                <w:szCs w:val="24"/>
              </w:rPr>
              <w:t>体系基本完备，保证措施一般，得1.2分。</w:t>
            </w:r>
          </w:p>
        </w:tc>
      </w:tr>
      <w:tr w14:paraId="12C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78ECB03">
            <w:pPr>
              <w:spacing w:line="320" w:lineRule="exact"/>
              <w:jc w:val="center"/>
              <w:rPr>
                <w:rFonts w:hint="eastAsia" w:ascii="宋体" w:hAnsi="宋体"/>
                <w:sz w:val="20"/>
              </w:rPr>
            </w:pPr>
          </w:p>
        </w:tc>
        <w:tc>
          <w:tcPr>
            <w:tcW w:w="1000" w:type="dxa"/>
            <w:vMerge w:val="continue"/>
            <w:vAlign w:val="center"/>
          </w:tcPr>
          <w:p w14:paraId="6C0F2F98">
            <w:pPr>
              <w:spacing w:line="320" w:lineRule="exact"/>
              <w:jc w:val="center"/>
              <w:rPr>
                <w:rFonts w:hint="eastAsia" w:ascii="宋体" w:hAnsi="宋体"/>
                <w:sz w:val="20"/>
              </w:rPr>
            </w:pPr>
          </w:p>
        </w:tc>
        <w:tc>
          <w:tcPr>
            <w:tcW w:w="691" w:type="dxa"/>
            <w:vMerge w:val="continue"/>
            <w:vAlign w:val="center"/>
          </w:tcPr>
          <w:p w14:paraId="1DA1BD93">
            <w:pPr>
              <w:spacing w:line="320" w:lineRule="exact"/>
              <w:jc w:val="center"/>
              <w:rPr>
                <w:rFonts w:hint="eastAsia" w:ascii="宋体" w:hAnsi="宋体"/>
                <w:sz w:val="20"/>
              </w:rPr>
            </w:pPr>
          </w:p>
        </w:tc>
        <w:tc>
          <w:tcPr>
            <w:tcW w:w="1450" w:type="dxa"/>
            <w:vAlign w:val="center"/>
          </w:tcPr>
          <w:p w14:paraId="60F284D8">
            <w:pPr>
              <w:spacing w:line="320" w:lineRule="exact"/>
              <w:jc w:val="center"/>
              <w:rPr>
                <w:rFonts w:hint="eastAsia" w:ascii="宋体" w:hAnsi="宋体" w:cs="宋体"/>
                <w:sz w:val="20"/>
              </w:rPr>
            </w:pPr>
            <w:r>
              <w:rPr>
                <w:rFonts w:hint="eastAsia" w:ascii="宋体" w:hAnsi="宋体"/>
                <w:szCs w:val="24"/>
              </w:rPr>
              <w:t>工程质量管理体系及保证措施</w:t>
            </w:r>
          </w:p>
        </w:tc>
        <w:tc>
          <w:tcPr>
            <w:tcW w:w="708" w:type="dxa"/>
            <w:vAlign w:val="center"/>
          </w:tcPr>
          <w:p w14:paraId="52DF4782">
            <w:pPr>
              <w:jc w:val="center"/>
              <w:rPr>
                <w:rFonts w:hint="eastAsia" w:ascii="宋体" w:hAnsi="宋体" w:cs="宋体"/>
                <w:sz w:val="20"/>
              </w:rPr>
            </w:pPr>
            <w:r>
              <w:rPr>
                <w:rFonts w:hint="eastAsia" w:ascii="宋体" w:hAnsi="宋体"/>
                <w:szCs w:val="24"/>
              </w:rPr>
              <w:t>2分</w:t>
            </w:r>
          </w:p>
        </w:tc>
        <w:tc>
          <w:tcPr>
            <w:tcW w:w="4725" w:type="dxa"/>
          </w:tcPr>
          <w:p w14:paraId="5AC7156D">
            <w:pPr>
              <w:spacing w:line="320" w:lineRule="exact"/>
              <w:rPr>
                <w:rFonts w:hint="eastAsia" w:ascii="宋体" w:hAnsi="宋体"/>
                <w:szCs w:val="24"/>
              </w:rPr>
            </w:pPr>
            <w:r>
              <w:rPr>
                <w:rFonts w:hint="eastAsia" w:ascii="宋体" w:hAnsi="宋体"/>
                <w:szCs w:val="24"/>
              </w:rPr>
              <w:t>体系完备，保证措施具体、全面合理，得1.6（不含）-2.0分；</w:t>
            </w:r>
          </w:p>
          <w:p w14:paraId="228DD037">
            <w:pPr>
              <w:spacing w:line="320" w:lineRule="exact"/>
              <w:rPr>
                <w:rFonts w:hint="eastAsia" w:ascii="宋体" w:hAnsi="宋体"/>
                <w:szCs w:val="24"/>
              </w:rPr>
            </w:pPr>
            <w:r>
              <w:rPr>
                <w:rFonts w:hint="eastAsia" w:ascii="宋体" w:hAnsi="宋体"/>
                <w:szCs w:val="24"/>
              </w:rPr>
              <w:t>体系较完备，措施较具体，得1.2（不含）-1.6（含）分；</w:t>
            </w:r>
          </w:p>
          <w:p w14:paraId="35798AC0">
            <w:pPr>
              <w:spacing w:line="320" w:lineRule="exact"/>
              <w:rPr>
                <w:rFonts w:hint="eastAsia" w:ascii="宋体" w:hAnsi="宋体" w:cs="宋体"/>
                <w:sz w:val="20"/>
              </w:rPr>
            </w:pPr>
            <w:r>
              <w:rPr>
                <w:rFonts w:hint="eastAsia" w:ascii="宋体" w:hAnsi="宋体"/>
                <w:szCs w:val="24"/>
              </w:rPr>
              <w:t>体系基本完备，保证措施一般，得1.2分。</w:t>
            </w:r>
          </w:p>
        </w:tc>
      </w:tr>
      <w:tr w14:paraId="1EB2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5034DD2E">
            <w:pPr>
              <w:spacing w:line="320" w:lineRule="exact"/>
              <w:jc w:val="center"/>
              <w:rPr>
                <w:rFonts w:hint="eastAsia" w:ascii="宋体" w:hAnsi="宋体"/>
                <w:sz w:val="20"/>
              </w:rPr>
            </w:pPr>
          </w:p>
        </w:tc>
        <w:tc>
          <w:tcPr>
            <w:tcW w:w="1000" w:type="dxa"/>
            <w:vMerge w:val="continue"/>
            <w:vAlign w:val="center"/>
          </w:tcPr>
          <w:p w14:paraId="17160408">
            <w:pPr>
              <w:spacing w:line="320" w:lineRule="exact"/>
              <w:jc w:val="center"/>
              <w:rPr>
                <w:rFonts w:hint="eastAsia" w:ascii="宋体" w:hAnsi="宋体"/>
                <w:sz w:val="20"/>
              </w:rPr>
            </w:pPr>
          </w:p>
        </w:tc>
        <w:tc>
          <w:tcPr>
            <w:tcW w:w="691" w:type="dxa"/>
            <w:vMerge w:val="continue"/>
            <w:vAlign w:val="center"/>
          </w:tcPr>
          <w:p w14:paraId="42A563F9">
            <w:pPr>
              <w:spacing w:line="320" w:lineRule="exact"/>
              <w:jc w:val="center"/>
              <w:rPr>
                <w:rFonts w:hint="eastAsia" w:ascii="宋体" w:hAnsi="宋体"/>
                <w:sz w:val="20"/>
              </w:rPr>
            </w:pPr>
          </w:p>
        </w:tc>
        <w:tc>
          <w:tcPr>
            <w:tcW w:w="1450" w:type="dxa"/>
            <w:vAlign w:val="center"/>
          </w:tcPr>
          <w:p w14:paraId="5DF922B8">
            <w:pPr>
              <w:spacing w:line="320" w:lineRule="exact"/>
              <w:jc w:val="center"/>
              <w:rPr>
                <w:rFonts w:hint="eastAsia" w:ascii="宋体" w:hAnsi="宋体" w:cs="宋体"/>
                <w:sz w:val="20"/>
              </w:rPr>
            </w:pPr>
            <w:r>
              <w:rPr>
                <w:rFonts w:hint="eastAsia" w:ascii="宋体" w:hAnsi="宋体"/>
                <w:szCs w:val="24"/>
              </w:rPr>
              <w:t>安全生产管理体系及保证措施</w:t>
            </w:r>
          </w:p>
        </w:tc>
        <w:tc>
          <w:tcPr>
            <w:tcW w:w="708" w:type="dxa"/>
            <w:vAlign w:val="center"/>
          </w:tcPr>
          <w:p w14:paraId="39B5CFD3">
            <w:pPr>
              <w:jc w:val="center"/>
              <w:rPr>
                <w:rFonts w:hint="eastAsia" w:ascii="宋体" w:hAnsi="宋体" w:cs="宋体"/>
                <w:sz w:val="20"/>
              </w:rPr>
            </w:pPr>
            <w:r>
              <w:rPr>
                <w:rFonts w:hint="eastAsia" w:ascii="宋体" w:hAnsi="宋体"/>
                <w:szCs w:val="24"/>
              </w:rPr>
              <w:t>2分</w:t>
            </w:r>
          </w:p>
        </w:tc>
        <w:tc>
          <w:tcPr>
            <w:tcW w:w="4725" w:type="dxa"/>
          </w:tcPr>
          <w:p w14:paraId="0EF2A979">
            <w:pPr>
              <w:spacing w:line="320" w:lineRule="exact"/>
              <w:rPr>
                <w:rFonts w:hint="eastAsia" w:ascii="宋体" w:hAnsi="宋体"/>
                <w:szCs w:val="24"/>
              </w:rPr>
            </w:pPr>
            <w:r>
              <w:rPr>
                <w:rFonts w:hint="eastAsia" w:ascii="宋体" w:hAnsi="宋体"/>
                <w:szCs w:val="24"/>
              </w:rPr>
              <w:t>体系完备，保证措施具体、全面合理，得1.6（不含）-2.0分；</w:t>
            </w:r>
          </w:p>
          <w:p w14:paraId="0E5C35F1">
            <w:pPr>
              <w:spacing w:line="320" w:lineRule="exact"/>
              <w:rPr>
                <w:rFonts w:hint="eastAsia" w:ascii="宋体" w:hAnsi="宋体"/>
                <w:szCs w:val="24"/>
              </w:rPr>
            </w:pPr>
            <w:r>
              <w:rPr>
                <w:rFonts w:hint="eastAsia" w:ascii="宋体" w:hAnsi="宋体"/>
                <w:szCs w:val="24"/>
              </w:rPr>
              <w:t>体系较完备，措施较具体，得1.2（不含）-1.6（含）分；</w:t>
            </w:r>
          </w:p>
          <w:p w14:paraId="028E0DC2">
            <w:pPr>
              <w:spacing w:line="320" w:lineRule="exact"/>
              <w:rPr>
                <w:rFonts w:hint="eastAsia" w:ascii="宋体" w:hAnsi="宋体" w:cs="宋体"/>
                <w:sz w:val="20"/>
              </w:rPr>
            </w:pPr>
            <w:r>
              <w:rPr>
                <w:rFonts w:hint="eastAsia" w:ascii="宋体" w:hAnsi="宋体"/>
                <w:szCs w:val="24"/>
              </w:rPr>
              <w:t>体系基本完备，保证措施一般，得1.2分。</w:t>
            </w:r>
          </w:p>
        </w:tc>
      </w:tr>
      <w:tr w14:paraId="428A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433B4B9B">
            <w:pPr>
              <w:spacing w:line="320" w:lineRule="exact"/>
              <w:jc w:val="center"/>
              <w:rPr>
                <w:rFonts w:hint="eastAsia" w:ascii="宋体" w:hAnsi="宋体"/>
                <w:sz w:val="20"/>
              </w:rPr>
            </w:pPr>
          </w:p>
        </w:tc>
        <w:tc>
          <w:tcPr>
            <w:tcW w:w="1000" w:type="dxa"/>
            <w:vMerge w:val="continue"/>
            <w:vAlign w:val="center"/>
          </w:tcPr>
          <w:p w14:paraId="54D0492E">
            <w:pPr>
              <w:spacing w:line="320" w:lineRule="exact"/>
              <w:jc w:val="center"/>
              <w:rPr>
                <w:rFonts w:hint="eastAsia" w:ascii="宋体" w:hAnsi="宋体"/>
                <w:sz w:val="20"/>
              </w:rPr>
            </w:pPr>
          </w:p>
        </w:tc>
        <w:tc>
          <w:tcPr>
            <w:tcW w:w="691" w:type="dxa"/>
            <w:vMerge w:val="continue"/>
            <w:vAlign w:val="center"/>
          </w:tcPr>
          <w:p w14:paraId="55945BAD">
            <w:pPr>
              <w:spacing w:line="320" w:lineRule="exact"/>
              <w:jc w:val="center"/>
              <w:rPr>
                <w:rFonts w:hint="eastAsia" w:ascii="宋体" w:hAnsi="宋体"/>
                <w:sz w:val="20"/>
              </w:rPr>
            </w:pPr>
          </w:p>
        </w:tc>
        <w:tc>
          <w:tcPr>
            <w:tcW w:w="1450" w:type="dxa"/>
            <w:vAlign w:val="center"/>
          </w:tcPr>
          <w:p w14:paraId="378DE041">
            <w:pPr>
              <w:spacing w:line="320" w:lineRule="exact"/>
              <w:jc w:val="center"/>
              <w:rPr>
                <w:rFonts w:hint="eastAsia" w:ascii="宋体" w:hAnsi="宋体" w:cs="宋体"/>
                <w:sz w:val="20"/>
              </w:rPr>
            </w:pPr>
            <w:r>
              <w:rPr>
                <w:rFonts w:hint="eastAsia" w:ascii="宋体" w:hAnsi="宋体"/>
                <w:szCs w:val="24"/>
              </w:rPr>
              <w:t>环境保护保证体系及保证措施</w:t>
            </w:r>
          </w:p>
        </w:tc>
        <w:tc>
          <w:tcPr>
            <w:tcW w:w="708" w:type="dxa"/>
            <w:vAlign w:val="center"/>
          </w:tcPr>
          <w:p w14:paraId="58E0E060">
            <w:pPr>
              <w:jc w:val="center"/>
              <w:rPr>
                <w:rFonts w:hint="eastAsia" w:ascii="宋体" w:hAnsi="宋体" w:cs="宋体"/>
                <w:sz w:val="20"/>
              </w:rPr>
            </w:pPr>
            <w:r>
              <w:rPr>
                <w:rFonts w:hint="eastAsia" w:ascii="宋体" w:hAnsi="宋体"/>
                <w:szCs w:val="24"/>
              </w:rPr>
              <w:t>1分</w:t>
            </w:r>
          </w:p>
        </w:tc>
        <w:tc>
          <w:tcPr>
            <w:tcW w:w="4725" w:type="dxa"/>
          </w:tcPr>
          <w:p w14:paraId="460C96A5">
            <w:pPr>
              <w:spacing w:line="320" w:lineRule="exact"/>
              <w:rPr>
                <w:rFonts w:hint="eastAsia" w:ascii="宋体" w:hAnsi="宋体"/>
                <w:szCs w:val="24"/>
              </w:rPr>
            </w:pPr>
            <w:r>
              <w:rPr>
                <w:rFonts w:hint="eastAsia" w:ascii="宋体" w:hAnsi="宋体"/>
                <w:szCs w:val="24"/>
              </w:rPr>
              <w:t>体系完备，保证措施具体、全面合理，得0.8（不含）-1.0分；</w:t>
            </w:r>
          </w:p>
          <w:p w14:paraId="6BFC14A0">
            <w:pPr>
              <w:spacing w:line="320" w:lineRule="exact"/>
              <w:rPr>
                <w:rFonts w:hint="eastAsia" w:ascii="宋体" w:hAnsi="宋体"/>
                <w:szCs w:val="24"/>
              </w:rPr>
            </w:pPr>
            <w:r>
              <w:rPr>
                <w:rFonts w:hint="eastAsia" w:ascii="宋体" w:hAnsi="宋体"/>
                <w:szCs w:val="24"/>
              </w:rPr>
              <w:t>体系较完备，措施较具体，得0.6（不含）-0.8（含）分；</w:t>
            </w:r>
          </w:p>
          <w:p w14:paraId="40B0326A">
            <w:pPr>
              <w:spacing w:line="320" w:lineRule="exact"/>
              <w:rPr>
                <w:rFonts w:hint="eastAsia" w:ascii="宋体" w:hAnsi="宋体" w:cs="宋体"/>
                <w:sz w:val="20"/>
              </w:rPr>
            </w:pPr>
            <w:r>
              <w:rPr>
                <w:rFonts w:hint="eastAsia" w:ascii="宋体" w:hAnsi="宋体"/>
                <w:szCs w:val="24"/>
              </w:rPr>
              <w:t>体系基本完备，保证措施一般，得0.6分。</w:t>
            </w:r>
          </w:p>
        </w:tc>
      </w:tr>
      <w:tr w14:paraId="6512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529BC36">
            <w:pPr>
              <w:spacing w:line="320" w:lineRule="exact"/>
              <w:jc w:val="center"/>
              <w:rPr>
                <w:rFonts w:hint="eastAsia" w:ascii="宋体" w:hAnsi="宋体"/>
                <w:sz w:val="20"/>
              </w:rPr>
            </w:pPr>
          </w:p>
        </w:tc>
        <w:tc>
          <w:tcPr>
            <w:tcW w:w="1000" w:type="dxa"/>
            <w:vMerge w:val="continue"/>
            <w:vAlign w:val="center"/>
          </w:tcPr>
          <w:p w14:paraId="0D264301">
            <w:pPr>
              <w:spacing w:line="320" w:lineRule="exact"/>
              <w:jc w:val="center"/>
              <w:rPr>
                <w:rFonts w:hint="eastAsia" w:ascii="宋体" w:hAnsi="宋体"/>
                <w:sz w:val="20"/>
              </w:rPr>
            </w:pPr>
          </w:p>
        </w:tc>
        <w:tc>
          <w:tcPr>
            <w:tcW w:w="691" w:type="dxa"/>
            <w:vMerge w:val="continue"/>
            <w:vAlign w:val="center"/>
          </w:tcPr>
          <w:p w14:paraId="0FE5399C">
            <w:pPr>
              <w:spacing w:line="320" w:lineRule="exact"/>
              <w:jc w:val="center"/>
              <w:rPr>
                <w:rFonts w:hint="eastAsia" w:ascii="宋体" w:hAnsi="宋体"/>
                <w:sz w:val="20"/>
              </w:rPr>
            </w:pPr>
          </w:p>
        </w:tc>
        <w:tc>
          <w:tcPr>
            <w:tcW w:w="1450" w:type="dxa"/>
            <w:vAlign w:val="center"/>
          </w:tcPr>
          <w:p w14:paraId="67DFCAA5">
            <w:pPr>
              <w:spacing w:line="320" w:lineRule="exact"/>
              <w:jc w:val="center"/>
              <w:rPr>
                <w:rFonts w:hint="eastAsia" w:ascii="宋体" w:hAnsi="宋体" w:cs="宋体"/>
                <w:sz w:val="20"/>
              </w:rPr>
            </w:pPr>
            <w:r>
              <w:rPr>
                <w:rFonts w:hint="eastAsia" w:ascii="宋体" w:hAnsi="宋体"/>
                <w:szCs w:val="24"/>
              </w:rPr>
              <w:t>文明施工保证体系及保证措施</w:t>
            </w:r>
          </w:p>
        </w:tc>
        <w:tc>
          <w:tcPr>
            <w:tcW w:w="708" w:type="dxa"/>
            <w:vAlign w:val="center"/>
          </w:tcPr>
          <w:p w14:paraId="0F6E05E5">
            <w:pPr>
              <w:jc w:val="center"/>
              <w:rPr>
                <w:rFonts w:hint="eastAsia" w:ascii="宋体" w:hAnsi="宋体" w:cs="宋体"/>
                <w:sz w:val="20"/>
              </w:rPr>
            </w:pPr>
            <w:r>
              <w:rPr>
                <w:rFonts w:hint="eastAsia" w:ascii="宋体" w:hAnsi="宋体"/>
                <w:szCs w:val="24"/>
              </w:rPr>
              <w:t>1分</w:t>
            </w:r>
          </w:p>
        </w:tc>
        <w:tc>
          <w:tcPr>
            <w:tcW w:w="4725" w:type="dxa"/>
          </w:tcPr>
          <w:p w14:paraId="0AE4CF87">
            <w:pPr>
              <w:spacing w:line="320" w:lineRule="exact"/>
              <w:rPr>
                <w:rFonts w:hint="eastAsia" w:ascii="宋体" w:hAnsi="宋体"/>
                <w:szCs w:val="24"/>
              </w:rPr>
            </w:pPr>
            <w:r>
              <w:rPr>
                <w:rFonts w:hint="eastAsia" w:ascii="宋体" w:hAnsi="宋体"/>
                <w:szCs w:val="24"/>
              </w:rPr>
              <w:t>内容完整，编制科学合理，指导性强，得0.8（不含）-1.0分；</w:t>
            </w:r>
          </w:p>
          <w:p w14:paraId="06FA1D67">
            <w:pPr>
              <w:spacing w:line="320" w:lineRule="exact"/>
              <w:rPr>
                <w:rFonts w:hint="eastAsia" w:ascii="宋体" w:hAnsi="宋体"/>
                <w:szCs w:val="24"/>
              </w:rPr>
            </w:pPr>
            <w:r>
              <w:rPr>
                <w:rFonts w:hint="eastAsia" w:ascii="宋体" w:hAnsi="宋体"/>
                <w:szCs w:val="24"/>
              </w:rPr>
              <w:t>体系较完备，措施较具体，得0.6（不含）-0.8（含）分；</w:t>
            </w:r>
          </w:p>
          <w:p w14:paraId="4446A41A">
            <w:pPr>
              <w:spacing w:line="320" w:lineRule="exact"/>
              <w:rPr>
                <w:rFonts w:hint="eastAsia" w:ascii="宋体" w:hAnsi="宋体" w:cs="宋体"/>
                <w:sz w:val="20"/>
              </w:rPr>
            </w:pPr>
            <w:r>
              <w:rPr>
                <w:rFonts w:hint="eastAsia" w:ascii="宋体" w:hAnsi="宋体"/>
                <w:szCs w:val="24"/>
              </w:rPr>
              <w:t>体系基本完备，保证措施一般，得0.6分。</w:t>
            </w:r>
          </w:p>
        </w:tc>
      </w:tr>
      <w:tr w14:paraId="3567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0A79900D">
            <w:pPr>
              <w:spacing w:line="320" w:lineRule="exact"/>
              <w:jc w:val="center"/>
              <w:rPr>
                <w:rFonts w:hint="eastAsia" w:ascii="宋体" w:hAnsi="宋体"/>
                <w:sz w:val="20"/>
              </w:rPr>
            </w:pPr>
          </w:p>
        </w:tc>
        <w:tc>
          <w:tcPr>
            <w:tcW w:w="1000" w:type="dxa"/>
            <w:vMerge w:val="continue"/>
            <w:vAlign w:val="center"/>
          </w:tcPr>
          <w:p w14:paraId="7497E9FB">
            <w:pPr>
              <w:spacing w:line="320" w:lineRule="exact"/>
              <w:jc w:val="center"/>
              <w:rPr>
                <w:rFonts w:hint="eastAsia" w:ascii="宋体" w:hAnsi="宋体"/>
                <w:sz w:val="20"/>
              </w:rPr>
            </w:pPr>
          </w:p>
        </w:tc>
        <w:tc>
          <w:tcPr>
            <w:tcW w:w="691" w:type="dxa"/>
            <w:vMerge w:val="continue"/>
            <w:vAlign w:val="center"/>
          </w:tcPr>
          <w:p w14:paraId="02F84949">
            <w:pPr>
              <w:spacing w:line="320" w:lineRule="exact"/>
              <w:jc w:val="center"/>
              <w:rPr>
                <w:rFonts w:hint="eastAsia" w:ascii="宋体" w:hAnsi="宋体"/>
                <w:sz w:val="20"/>
              </w:rPr>
            </w:pPr>
          </w:p>
        </w:tc>
        <w:tc>
          <w:tcPr>
            <w:tcW w:w="1450" w:type="dxa"/>
            <w:vAlign w:val="center"/>
          </w:tcPr>
          <w:p w14:paraId="0A2015D1">
            <w:pPr>
              <w:spacing w:line="320" w:lineRule="exact"/>
              <w:jc w:val="center"/>
              <w:rPr>
                <w:rFonts w:hint="eastAsia" w:ascii="宋体" w:hAnsi="宋体" w:cs="宋体"/>
                <w:sz w:val="20"/>
              </w:rPr>
            </w:pPr>
            <w:r>
              <w:rPr>
                <w:rFonts w:hint="eastAsia" w:ascii="宋体" w:hAnsi="宋体"/>
                <w:szCs w:val="24"/>
              </w:rPr>
              <w:t>项目风险预测与防范，事故应急预案</w:t>
            </w:r>
          </w:p>
        </w:tc>
        <w:tc>
          <w:tcPr>
            <w:tcW w:w="708" w:type="dxa"/>
            <w:vAlign w:val="center"/>
          </w:tcPr>
          <w:p w14:paraId="0BF1B16C">
            <w:pPr>
              <w:jc w:val="center"/>
              <w:rPr>
                <w:rFonts w:hint="eastAsia" w:ascii="宋体" w:hAnsi="宋体" w:cs="宋体"/>
                <w:sz w:val="20"/>
              </w:rPr>
            </w:pPr>
            <w:r>
              <w:rPr>
                <w:rFonts w:hint="eastAsia" w:ascii="宋体" w:hAnsi="宋体"/>
                <w:szCs w:val="24"/>
              </w:rPr>
              <w:t>1分</w:t>
            </w:r>
          </w:p>
        </w:tc>
        <w:tc>
          <w:tcPr>
            <w:tcW w:w="4725" w:type="dxa"/>
          </w:tcPr>
          <w:p w14:paraId="52303312">
            <w:pPr>
              <w:spacing w:line="320" w:lineRule="exact"/>
              <w:rPr>
                <w:rFonts w:hint="eastAsia" w:ascii="宋体" w:hAnsi="宋体"/>
                <w:szCs w:val="24"/>
              </w:rPr>
            </w:pPr>
            <w:r>
              <w:rPr>
                <w:rFonts w:hint="eastAsia" w:ascii="宋体" w:hAnsi="宋体"/>
                <w:szCs w:val="24"/>
              </w:rPr>
              <w:t>分析透彻，把握准确，指导性强，得0.8（不含）-1.0分；</w:t>
            </w:r>
          </w:p>
          <w:p w14:paraId="1E2428FD">
            <w:pPr>
              <w:spacing w:line="320" w:lineRule="exact"/>
              <w:rPr>
                <w:rFonts w:hint="eastAsia" w:ascii="宋体" w:hAnsi="宋体"/>
                <w:szCs w:val="24"/>
              </w:rPr>
            </w:pPr>
            <w:r>
              <w:rPr>
                <w:rFonts w:hint="eastAsia" w:ascii="宋体" w:hAnsi="宋体"/>
                <w:szCs w:val="24"/>
              </w:rPr>
              <w:t>分析较透彻，把握较准确，指导性较强，得0.6（不含）-0.8（含）分；</w:t>
            </w:r>
          </w:p>
          <w:p w14:paraId="6C45309F">
            <w:pPr>
              <w:spacing w:line="320" w:lineRule="exact"/>
              <w:rPr>
                <w:rFonts w:hint="eastAsia" w:ascii="宋体" w:hAnsi="宋体" w:cs="宋体"/>
                <w:sz w:val="20"/>
              </w:rPr>
            </w:pPr>
            <w:r>
              <w:rPr>
                <w:rFonts w:hint="eastAsia" w:ascii="宋体" w:hAnsi="宋体"/>
                <w:szCs w:val="24"/>
              </w:rPr>
              <w:t>分析一般，指导性一般，得0.6分。</w:t>
            </w:r>
          </w:p>
        </w:tc>
      </w:tr>
      <w:tr w14:paraId="575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5" w:type="dxa"/>
            <w:vAlign w:val="center"/>
          </w:tcPr>
          <w:p w14:paraId="55D80A34">
            <w:pPr>
              <w:spacing w:line="320" w:lineRule="exact"/>
              <w:jc w:val="center"/>
              <w:rPr>
                <w:rFonts w:hint="eastAsia" w:ascii="宋体" w:hAnsi="宋体"/>
                <w:sz w:val="20"/>
              </w:rPr>
            </w:pPr>
            <w:r>
              <w:rPr>
                <w:rFonts w:hint="eastAsia" w:ascii="宋体" w:hAnsi="宋体"/>
                <w:sz w:val="20"/>
              </w:rPr>
              <w:t>2</w:t>
            </w:r>
            <w:r>
              <w:rPr>
                <w:rFonts w:ascii="宋体" w:hAnsi="宋体"/>
                <w:sz w:val="20"/>
              </w:rPr>
              <w:t>.2.4</w:t>
            </w:r>
            <w:r>
              <w:rPr>
                <w:rFonts w:hint="eastAsia" w:ascii="宋体" w:hAnsi="宋体"/>
                <w:sz w:val="20"/>
              </w:rPr>
              <w:t>（</w:t>
            </w:r>
            <w:r>
              <w:rPr>
                <w:rFonts w:ascii="宋体" w:hAnsi="宋体"/>
                <w:sz w:val="20"/>
              </w:rPr>
              <w:t>3</w:t>
            </w:r>
            <w:r>
              <w:rPr>
                <w:rFonts w:hint="eastAsia" w:ascii="宋体" w:hAnsi="宋体"/>
                <w:sz w:val="20"/>
              </w:rPr>
              <w:t>）</w:t>
            </w:r>
          </w:p>
        </w:tc>
        <w:tc>
          <w:tcPr>
            <w:tcW w:w="1000" w:type="dxa"/>
            <w:vAlign w:val="center"/>
          </w:tcPr>
          <w:p w14:paraId="5C0C4CF3">
            <w:pPr>
              <w:spacing w:line="320" w:lineRule="exact"/>
              <w:jc w:val="center"/>
              <w:rPr>
                <w:rFonts w:hint="eastAsia" w:ascii="宋体" w:hAnsi="宋体"/>
                <w:sz w:val="20"/>
              </w:rPr>
            </w:pPr>
            <w:r>
              <w:rPr>
                <w:rFonts w:hint="eastAsia" w:ascii="宋体" w:hAnsi="宋体"/>
                <w:sz w:val="20"/>
              </w:rPr>
              <w:t>资信</w:t>
            </w:r>
          </w:p>
          <w:p w14:paraId="5EF0DADF">
            <w:pPr>
              <w:spacing w:line="320" w:lineRule="exact"/>
              <w:jc w:val="center"/>
              <w:rPr>
                <w:rFonts w:hint="eastAsia" w:ascii="宋体" w:hAnsi="宋体"/>
                <w:sz w:val="20"/>
              </w:rPr>
            </w:pPr>
            <w:r>
              <w:rPr>
                <w:rFonts w:hint="eastAsia" w:ascii="宋体" w:hAnsi="宋体"/>
                <w:sz w:val="20"/>
              </w:rPr>
              <w:t>业绩</w:t>
            </w:r>
          </w:p>
        </w:tc>
        <w:tc>
          <w:tcPr>
            <w:tcW w:w="691" w:type="dxa"/>
            <w:vAlign w:val="center"/>
          </w:tcPr>
          <w:p w14:paraId="5909799F">
            <w:pPr>
              <w:spacing w:line="320" w:lineRule="exact"/>
              <w:jc w:val="center"/>
              <w:rPr>
                <w:rFonts w:hint="eastAsia" w:ascii="宋体" w:hAnsi="宋体"/>
                <w:sz w:val="20"/>
              </w:rPr>
            </w:pPr>
            <w:r>
              <w:rPr>
                <w:rFonts w:ascii="宋体" w:hAnsi="宋体"/>
                <w:sz w:val="20"/>
              </w:rPr>
              <w:t>10</w:t>
            </w:r>
            <w:r>
              <w:rPr>
                <w:rFonts w:hint="eastAsia" w:ascii="宋体" w:hAnsi="宋体"/>
                <w:sz w:val="20"/>
              </w:rPr>
              <w:t>分</w:t>
            </w:r>
          </w:p>
        </w:tc>
        <w:tc>
          <w:tcPr>
            <w:tcW w:w="1450" w:type="dxa"/>
            <w:vAlign w:val="center"/>
          </w:tcPr>
          <w:p w14:paraId="5B8BB615">
            <w:pPr>
              <w:spacing w:line="320" w:lineRule="exact"/>
              <w:jc w:val="center"/>
              <w:rPr>
                <w:rFonts w:hint="eastAsia" w:ascii="宋体" w:hAnsi="宋体"/>
                <w:szCs w:val="24"/>
              </w:rPr>
            </w:pPr>
            <w:r>
              <w:rPr>
                <w:rFonts w:hint="eastAsia" w:ascii="宋体" w:hAnsi="宋体"/>
                <w:sz w:val="20"/>
              </w:rPr>
              <w:t>投标人业绩</w:t>
            </w:r>
          </w:p>
        </w:tc>
        <w:tc>
          <w:tcPr>
            <w:tcW w:w="708" w:type="dxa"/>
            <w:vAlign w:val="center"/>
          </w:tcPr>
          <w:p w14:paraId="19D51DFF">
            <w:pPr>
              <w:jc w:val="center"/>
              <w:rPr>
                <w:rFonts w:hint="eastAsia" w:ascii="宋体" w:hAnsi="宋体"/>
                <w:szCs w:val="24"/>
              </w:rPr>
            </w:pPr>
            <w:r>
              <w:rPr>
                <w:rFonts w:ascii="宋体" w:hAnsi="宋体"/>
                <w:sz w:val="20"/>
              </w:rPr>
              <w:t>10</w:t>
            </w:r>
            <w:r>
              <w:rPr>
                <w:rFonts w:hint="eastAsia" w:ascii="宋体" w:hAnsi="宋体"/>
                <w:sz w:val="20"/>
              </w:rPr>
              <w:t>分</w:t>
            </w:r>
          </w:p>
        </w:tc>
        <w:tc>
          <w:tcPr>
            <w:tcW w:w="4725" w:type="dxa"/>
            <w:vAlign w:val="center"/>
          </w:tcPr>
          <w:p w14:paraId="1FEC755D">
            <w:pPr>
              <w:snapToGrid w:val="0"/>
              <w:spacing w:line="280" w:lineRule="exact"/>
              <w:jc w:val="left"/>
              <w:rPr>
                <w:rFonts w:hint="eastAsia" w:ascii="宋体" w:hAnsi="宋体"/>
                <w:sz w:val="20"/>
              </w:rPr>
            </w:pPr>
            <w:r>
              <w:rPr>
                <w:rFonts w:hint="eastAsia" w:ascii="宋体" w:hAnsi="宋体"/>
                <w:sz w:val="20"/>
              </w:rPr>
              <w:t>满足资格审查条件（业绩最低要求）得</w:t>
            </w:r>
            <w:r>
              <w:rPr>
                <w:rFonts w:ascii="宋体" w:hAnsi="宋体"/>
                <w:sz w:val="20"/>
              </w:rPr>
              <w:t>6</w:t>
            </w:r>
            <w:r>
              <w:rPr>
                <w:rFonts w:hint="eastAsia" w:ascii="宋体" w:hAnsi="宋体"/>
                <w:sz w:val="20"/>
              </w:rPr>
              <w:t>分；</w:t>
            </w:r>
          </w:p>
          <w:p w14:paraId="4D5F2D54">
            <w:pPr>
              <w:spacing w:line="320" w:lineRule="exact"/>
              <w:rPr>
                <w:rFonts w:hint="eastAsia" w:ascii="宋体" w:hAnsi="宋体"/>
                <w:szCs w:val="24"/>
              </w:rPr>
            </w:pPr>
            <w:r>
              <w:rPr>
                <w:rFonts w:hint="eastAsia" w:ascii="宋体" w:hAnsi="宋体"/>
                <w:sz w:val="20"/>
              </w:rPr>
              <w:t>投标人每增加一项（“一项”指一项设计业绩和一项施工业绩）满足资格审查条件（业绩最低要求）的业绩加</w:t>
            </w:r>
            <w:r>
              <w:rPr>
                <w:rFonts w:ascii="宋体" w:hAnsi="宋体"/>
                <w:sz w:val="20"/>
              </w:rPr>
              <w:t>2</w:t>
            </w:r>
            <w:r>
              <w:rPr>
                <w:rFonts w:hint="eastAsia" w:ascii="宋体" w:hAnsi="宋体"/>
                <w:sz w:val="20"/>
              </w:rPr>
              <w:t>分，最多加</w:t>
            </w:r>
            <w:r>
              <w:rPr>
                <w:rFonts w:ascii="宋体" w:hAnsi="宋体"/>
                <w:sz w:val="20"/>
              </w:rPr>
              <w:t>4</w:t>
            </w:r>
            <w:r>
              <w:rPr>
                <w:rFonts w:hint="eastAsia" w:ascii="宋体" w:hAnsi="宋体"/>
                <w:sz w:val="20"/>
              </w:rPr>
              <w:t>分。</w:t>
            </w:r>
          </w:p>
        </w:tc>
      </w:tr>
      <w:tr w14:paraId="4A68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765" w:type="dxa"/>
            <w:vAlign w:val="center"/>
          </w:tcPr>
          <w:p w14:paraId="4F928940">
            <w:pPr>
              <w:spacing w:line="320" w:lineRule="exact"/>
              <w:jc w:val="center"/>
              <w:rPr>
                <w:rFonts w:hint="eastAsia" w:ascii="宋体" w:hAnsi="宋体" w:cs="宋体"/>
                <w:kern w:val="0"/>
                <w:sz w:val="20"/>
                <w:lang w:val="zh-CN"/>
              </w:rPr>
            </w:pPr>
            <w:r>
              <w:rPr>
                <w:rFonts w:hint="eastAsia" w:ascii="宋体" w:hAnsi="宋体"/>
                <w:sz w:val="20"/>
              </w:rPr>
              <w:t>2.2.4（</w:t>
            </w:r>
            <w:r>
              <w:rPr>
                <w:rFonts w:ascii="宋体" w:hAnsi="宋体"/>
                <w:sz w:val="20"/>
              </w:rPr>
              <w:t>4</w:t>
            </w:r>
            <w:r>
              <w:rPr>
                <w:rFonts w:hint="eastAsia" w:ascii="宋体" w:hAnsi="宋体"/>
                <w:sz w:val="20"/>
              </w:rPr>
              <w:t>）</w:t>
            </w:r>
          </w:p>
        </w:tc>
        <w:tc>
          <w:tcPr>
            <w:tcW w:w="1000" w:type="dxa"/>
            <w:vAlign w:val="center"/>
          </w:tcPr>
          <w:p w14:paraId="43A83172">
            <w:pPr>
              <w:spacing w:line="320" w:lineRule="exact"/>
              <w:jc w:val="center"/>
              <w:rPr>
                <w:rFonts w:hint="eastAsia" w:ascii="宋体" w:hAnsi="宋体" w:cs="宋体"/>
                <w:kern w:val="0"/>
                <w:sz w:val="20"/>
                <w:lang w:val="zh-CN"/>
              </w:rPr>
            </w:pPr>
            <w:r>
              <w:rPr>
                <w:rFonts w:ascii="宋体" w:hAnsi="宋体"/>
                <w:sz w:val="20"/>
              </w:rPr>
              <w:t>评标价</w:t>
            </w:r>
          </w:p>
        </w:tc>
        <w:tc>
          <w:tcPr>
            <w:tcW w:w="691" w:type="dxa"/>
            <w:vAlign w:val="center"/>
          </w:tcPr>
          <w:p w14:paraId="267DAA0C">
            <w:pPr>
              <w:spacing w:line="320" w:lineRule="exact"/>
              <w:jc w:val="center"/>
              <w:rPr>
                <w:rFonts w:hint="eastAsia" w:ascii="宋体" w:hAnsi="宋体" w:cs="宋体"/>
                <w:kern w:val="0"/>
                <w:sz w:val="20"/>
                <w:lang w:val="zh-CN"/>
              </w:rPr>
            </w:pPr>
            <w:r>
              <w:rPr>
                <w:rFonts w:hint="eastAsia" w:ascii="宋体" w:hAnsi="宋体"/>
                <w:sz w:val="20"/>
              </w:rPr>
              <w:t>50分</w:t>
            </w:r>
          </w:p>
        </w:tc>
        <w:tc>
          <w:tcPr>
            <w:tcW w:w="6883" w:type="dxa"/>
            <w:gridSpan w:val="3"/>
            <w:vAlign w:val="center"/>
          </w:tcPr>
          <w:p w14:paraId="3DF15AB6">
            <w:pPr>
              <w:tabs>
                <w:tab w:val="left" w:pos="3060"/>
              </w:tabs>
              <w:spacing w:line="280" w:lineRule="exact"/>
              <w:rPr>
                <w:rFonts w:hint="eastAsia" w:ascii="宋体" w:hAnsi="宋体"/>
                <w:sz w:val="20"/>
              </w:rPr>
            </w:pPr>
            <w:r>
              <w:rPr>
                <w:rFonts w:ascii="宋体" w:hAnsi="宋体"/>
                <w:sz w:val="20"/>
              </w:rPr>
              <w:t>评标价</w:t>
            </w:r>
            <w:r>
              <w:rPr>
                <w:rFonts w:hint="eastAsia" w:ascii="宋体" w:hAnsi="宋体"/>
                <w:sz w:val="20"/>
              </w:rPr>
              <w:t>得分计算公式：</w:t>
            </w:r>
          </w:p>
          <w:p w14:paraId="6F31D57A">
            <w:pPr>
              <w:tabs>
                <w:tab w:val="left" w:pos="3060"/>
              </w:tabs>
              <w:spacing w:line="280" w:lineRule="exact"/>
              <w:rPr>
                <w:rFonts w:hint="eastAsia" w:ascii="宋体" w:hAnsi="宋体"/>
                <w:sz w:val="20"/>
              </w:rPr>
            </w:pPr>
            <w:r>
              <w:rPr>
                <w:rFonts w:hint="eastAsia" w:ascii="宋体" w:hAnsi="宋体"/>
                <w:sz w:val="20"/>
              </w:rPr>
              <w:t>（1）如果投标人的评标价＞评标基准价，则评标价得分＝</w:t>
            </w:r>
            <w:r>
              <w:rPr>
                <w:rFonts w:ascii="宋体" w:hAnsi="宋体"/>
                <w:sz w:val="20"/>
              </w:rPr>
              <w:t>5</w:t>
            </w:r>
            <w:r>
              <w:rPr>
                <w:rFonts w:hint="eastAsia" w:ascii="宋体" w:hAnsi="宋体"/>
                <w:sz w:val="20"/>
              </w:rPr>
              <w:t>0－偏差率×</w:t>
            </w:r>
            <w:r>
              <w:rPr>
                <w:rFonts w:ascii="宋体" w:hAnsi="宋体"/>
                <w:sz w:val="20"/>
              </w:rPr>
              <w:t>100</w:t>
            </w:r>
            <w:r>
              <w:rPr>
                <w:rFonts w:hint="eastAsia" w:ascii="宋体" w:hAnsi="宋体"/>
                <w:sz w:val="20"/>
              </w:rPr>
              <w:t>×E1；</w:t>
            </w:r>
          </w:p>
          <w:p w14:paraId="65D78F98">
            <w:pPr>
              <w:tabs>
                <w:tab w:val="left" w:pos="3060"/>
              </w:tabs>
              <w:spacing w:line="280" w:lineRule="exact"/>
              <w:rPr>
                <w:rFonts w:hint="eastAsia" w:ascii="宋体" w:hAnsi="宋体"/>
                <w:sz w:val="20"/>
              </w:rPr>
            </w:pPr>
            <w:r>
              <w:rPr>
                <w:rFonts w:hint="eastAsia" w:ascii="宋体" w:hAnsi="宋体"/>
                <w:sz w:val="20"/>
              </w:rPr>
              <w:t>（2）如果投标人的评标价≤评标基准价，则评标价得分＝5</w:t>
            </w:r>
            <w:r>
              <w:rPr>
                <w:rFonts w:ascii="宋体" w:hAnsi="宋体"/>
                <w:sz w:val="20"/>
              </w:rPr>
              <w:t>0</w:t>
            </w:r>
            <w:r>
              <w:rPr>
                <w:rFonts w:hint="eastAsia" w:ascii="宋体" w:hAnsi="宋体"/>
                <w:sz w:val="20"/>
              </w:rPr>
              <w:t>＋偏差率×1</w:t>
            </w:r>
            <w:r>
              <w:rPr>
                <w:rFonts w:ascii="宋体" w:hAnsi="宋体"/>
                <w:sz w:val="20"/>
              </w:rPr>
              <w:t>00</w:t>
            </w:r>
            <w:r>
              <w:rPr>
                <w:rFonts w:hint="eastAsia" w:ascii="宋体" w:hAnsi="宋体"/>
                <w:sz w:val="20"/>
              </w:rPr>
              <w:t>×E2；</w:t>
            </w:r>
          </w:p>
          <w:p w14:paraId="19ACB82D">
            <w:pPr>
              <w:tabs>
                <w:tab w:val="left" w:pos="3060"/>
              </w:tabs>
              <w:spacing w:line="280" w:lineRule="exact"/>
              <w:rPr>
                <w:rFonts w:hint="eastAsia" w:ascii="宋体" w:hAnsi="宋体"/>
                <w:sz w:val="20"/>
              </w:rPr>
            </w:pPr>
            <w:r>
              <w:rPr>
                <w:rFonts w:hint="eastAsia" w:ascii="宋体" w:hAnsi="宋体"/>
                <w:sz w:val="20"/>
              </w:rPr>
              <w:t>其中，E1是评标价每高于评标基准价一个百分点的扣分值，E1＝</w:t>
            </w:r>
            <w:r>
              <w:rPr>
                <w:rFonts w:ascii="宋体" w:hAnsi="宋体"/>
                <w:sz w:val="20"/>
              </w:rPr>
              <w:t>0.6</w:t>
            </w:r>
            <w:r>
              <w:rPr>
                <w:rFonts w:hint="eastAsia" w:ascii="宋体" w:hAnsi="宋体"/>
                <w:sz w:val="20"/>
              </w:rPr>
              <w:t>；E2是评标价每低于评标基准价一个百分点的扣分值，E2＝0.</w:t>
            </w:r>
            <w:r>
              <w:rPr>
                <w:rFonts w:ascii="宋体" w:hAnsi="宋体"/>
                <w:sz w:val="20"/>
              </w:rPr>
              <w:t>3</w:t>
            </w:r>
            <w:r>
              <w:rPr>
                <w:rFonts w:hint="eastAsia" w:ascii="宋体" w:hAnsi="宋体"/>
                <w:sz w:val="20"/>
              </w:rPr>
              <w:t>。</w:t>
            </w:r>
          </w:p>
          <w:p w14:paraId="122256CA">
            <w:pPr>
              <w:spacing w:line="280" w:lineRule="exact"/>
              <w:rPr>
                <w:rFonts w:hint="eastAsia" w:ascii="宋体" w:hAnsi="宋体"/>
                <w:sz w:val="20"/>
              </w:rPr>
            </w:pPr>
            <w:r>
              <w:rPr>
                <w:rFonts w:hint="eastAsia" w:ascii="宋体" w:hAnsi="宋体"/>
                <w:sz w:val="20"/>
              </w:rPr>
              <w:t>评标价最低得分为</w:t>
            </w:r>
            <w:r>
              <w:rPr>
                <w:rFonts w:ascii="宋体" w:hAnsi="宋体"/>
                <w:sz w:val="20"/>
              </w:rPr>
              <w:t>0</w:t>
            </w:r>
            <w:r>
              <w:rPr>
                <w:rFonts w:hint="eastAsia" w:ascii="宋体" w:hAnsi="宋体"/>
                <w:sz w:val="20"/>
              </w:rPr>
              <w:t>分，</w:t>
            </w:r>
            <w:r>
              <w:rPr>
                <w:rFonts w:hint="eastAsia" w:ascii="宋体" w:hAnsi="宋体"/>
                <w:bCs/>
                <w:sz w:val="20"/>
              </w:rPr>
              <w:t>评标价得分保留两位小数，第三位四舍五入。</w:t>
            </w:r>
          </w:p>
        </w:tc>
      </w:tr>
    </w:tbl>
    <w:p w14:paraId="1C43D9A1">
      <w:pPr>
        <w:spacing w:before="156" w:beforeLines="50" w:line="312" w:lineRule="auto"/>
        <w:rPr>
          <w:rFonts w:hint="eastAsia" w:ascii="宋体" w:hAnsi="宋体" w:cs="Courier New"/>
          <w:szCs w:val="21"/>
        </w:rPr>
      </w:pPr>
      <w:r>
        <w:rPr>
          <w:rFonts w:hint="eastAsia" w:ascii="宋体" w:hAnsi="宋体" w:cs="Courier New"/>
          <w:szCs w:val="21"/>
        </w:rPr>
        <w:t>注：（1）承包人建议书和承包人实施方案以评标委员会各成员的打分平均值确定；评委打分保留</w:t>
      </w:r>
      <w:r>
        <w:rPr>
          <w:rFonts w:ascii="宋体" w:hAnsi="宋体" w:cs="Courier New"/>
          <w:szCs w:val="21"/>
        </w:rPr>
        <w:t>1</w:t>
      </w:r>
      <w:r>
        <w:rPr>
          <w:rFonts w:hint="eastAsia" w:ascii="宋体" w:hAnsi="宋体" w:cs="Courier New"/>
          <w:szCs w:val="21"/>
        </w:rPr>
        <w:t>位小数，汇总得分保留小数点后两位。</w:t>
      </w:r>
    </w:p>
    <w:p w14:paraId="6A0F60D1">
      <w:pPr>
        <w:tabs>
          <w:tab w:val="left" w:pos="480"/>
        </w:tabs>
        <w:adjustRightInd w:val="0"/>
        <w:snapToGrid w:val="0"/>
        <w:spacing w:after="0" w:line="360" w:lineRule="auto"/>
        <w:ind w:firstLine="420" w:firstLineChars="200"/>
        <w:rPr>
          <w:rFonts w:hint="eastAsia" w:ascii="宋体" w:hAnsi="宋体"/>
          <w:sz w:val="24"/>
        </w:rPr>
      </w:pPr>
      <w:r>
        <w:rPr>
          <w:rFonts w:hint="eastAsia" w:ascii="宋体" w:hAnsi="宋体"/>
          <w:szCs w:val="24"/>
        </w:rPr>
        <w:t>（2）</w:t>
      </w:r>
      <w:bookmarkEnd w:id="13"/>
      <w:r>
        <w:rPr>
          <w:rFonts w:hint="eastAsia" w:hAnsi="宋体"/>
          <w:szCs w:val="24"/>
        </w:rPr>
        <w:t>承包人建议书和承包人实施方案各评分因素缺项</w:t>
      </w:r>
      <w:r>
        <w:rPr>
          <w:rFonts w:hAnsi="宋体"/>
          <w:szCs w:val="24"/>
        </w:rPr>
        <w:t>，则该项得</w:t>
      </w:r>
      <w:r>
        <w:rPr>
          <w:rFonts w:hint="eastAsia" w:hAnsi="宋体"/>
          <w:szCs w:val="24"/>
        </w:rPr>
        <w:t>0分</w:t>
      </w:r>
      <w:r>
        <w:rPr>
          <w:rFonts w:hAnsi="宋体"/>
          <w:szCs w:val="24"/>
        </w:rPr>
        <w:t>。</w:t>
      </w:r>
    </w:p>
    <w:bookmarkEnd w:id="0"/>
    <w:p w14:paraId="3A170D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2EA4"/>
    <w:rsid w:val="000C2829"/>
    <w:rsid w:val="000E0CC5"/>
    <w:rsid w:val="00304CA9"/>
    <w:rsid w:val="00872AA5"/>
    <w:rsid w:val="009136FF"/>
    <w:rsid w:val="0092156E"/>
    <w:rsid w:val="00A6619A"/>
    <w:rsid w:val="00A701B8"/>
    <w:rsid w:val="00B52081"/>
    <w:rsid w:val="00C86443"/>
    <w:rsid w:val="00E37822"/>
    <w:rsid w:val="00F24AB9"/>
    <w:rsid w:val="182D2EA4"/>
    <w:rsid w:val="607A51A8"/>
    <w:rsid w:val="7649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10187</Words>
  <Characters>11092</Characters>
  <Lines>83</Lines>
  <Paragraphs>23</Paragraphs>
  <TotalTime>5</TotalTime>
  <ScaleCrop>false</ScaleCrop>
  <LinksUpToDate>false</LinksUpToDate>
  <CharactersWithSpaces>11257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2020-07-13T09:17:00Z</dcterms:created>
  <dc:creator>聂展伟</dc:creator>
  <cp:lastModifiedBy>李娜</cp:lastModifiedBy>
  <cp:lastPrinted>2025-03-16T18:51:00Z</cp:lastPrinted>
  <dcterms:modified xsi:type="dcterms:W3CDTF">2025-03-18T06:02:13Z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5A72C10378E3414BB7FD12579D779675_12</vt:lpwstr>
  </property>
</Properties>
</file>