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5B790">
      <w:pPr>
        <w:wordWrap w:val="0"/>
        <w:outlineLvl w:val="3"/>
        <w:rPr>
          <w:b/>
          <w:kern w:val="2"/>
          <w:sz w:val="28"/>
          <w:szCs w:val="28"/>
        </w:rPr>
      </w:pPr>
      <w:bookmarkStart w:id="0" w:name="OLE_LINK2"/>
      <w:r>
        <w:rPr>
          <w:b/>
          <w:kern w:val="2"/>
          <w:sz w:val="28"/>
          <w:szCs w:val="28"/>
        </w:rPr>
        <w:t>附件1：</w:t>
      </w:r>
      <w:bookmarkStart w:id="1" w:name="_Toc404712451"/>
      <w:r>
        <w:rPr>
          <w:b/>
          <w:kern w:val="2"/>
          <w:sz w:val="28"/>
          <w:szCs w:val="28"/>
        </w:rPr>
        <w:t>资格审查条件</w:t>
      </w:r>
      <w:bookmarkEnd w:id="1"/>
    </w:p>
    <w:p w14:paraId="422FE0FC">
      <w:pPr>
        <w:wordWrap w:val="0"/>
        <w:rPr>
          <w:b/>
          <w:kern w:val="2"/>
          <w:sz w:val="28"/>
          <w:szCs w:val="28"/>
        </w:rPr>
      </w:pPr>
      <w:bookmarkStart w:id="3" w:name="_GoBack"/>
      <w:bookmarkEnd w:id="3"/>
    </w:p>
    <w:p w14:paraId="41D6FCF0">
      <w:pPr>
        <w:wordWrap w:val="0"/>
        <w:jc w:val="center"/>
        <w:rPr>
          <w:kern w:val="2"/>
          <w:sz w:val="21"/>
          <w:szCs w:val="22"/>
        </w:rPr>
      </w:pPr>
      <w:r>
        <w:rPr>
          <w:b/>
          <w:kern w:val="2"/>
          <w:szCs w:val="22"/>
        </w:rPr>
        <w:t>附录1  资格审查条件（资质最低要求）</w:t>
      </w:r>
    </w:p>
    <w:tbl>
      <w:tblPr>
        <w:tblStyle w:val="16"/>
        <w:tblpPr w:leftFromText="181" w:rightFromText="181" w:vertAnchor="text" w:horzAnchor="margin" w:tblpXSpec="center" w:tblpY="3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362"/>
      </w:tblGrid>
      <w:tr w14:paraId="26EA1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42" w:hRule="atLeast"/>
          <w:tblHeader/>
        </w:trPr>
        <w:tc>
          <w:tcPr>
            <w:tcW w:w="5000" w:type="pct"/>
            <w:vAlign w:val="center"/>
          </w:tcPr>
          <w:p w14:paraId="6FB25169">
            <w:pPr>
              <w:wordWrap w:val="0"/>
              <w:adjustRightInd w:val="0"/>
              <w:snapToGrid w:val="0"/>
              <w:jc w:val="center"/>
              <w:rPr>
                <w:b/>
                <w:bCs/>
                <w:kern w:val="2"/>
                <w:sz w:val="21"/>
                <w:szCs w:val="21"/>
              </w:rPr>
            </w:pPr>
            <w:r>
              <w:rPr>
                <w:b/>
                <w:bCs/>
                <w:kern w:val="2"/>
                <w:sz w:val="21"/>
                <w:szCs w:val="21"/>
              </w:rPr>
              <w:t>资质要求</w:t>
            </w:r>
          </w:p>
        </w:tc>
      </w:tr>
      <w:tr w14:paraId="70F6C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710" w:hRule="atLeast"/>
        </w:trPr>
        <w:tc>
          <w:tcPr>
            <w:tcW w:w="5000" w:type="pct"/>
            <w:vAlign w:val="center"/>
          </w:tcPr>
          <w:p w14:paraId="7E24A563">
            <w:pPr>
              <w:wordWrap w:val="0"/>
              <w:adjustRightInd w:val="0"/>
              <w:snapToGrid w:val="0"/>
              <w:rPr>
                <w:kern w:val="2"/>
                <w:sz w:val="21"/>
                <w:szCs w:val="22"/>
              </w:rPr>
            </w:pPr>
            <w:r>
              <w:rPr>
                <w:rFonts w:hint="eastAsia"/>
                <w:kern w:val="2"/>
                <w:sz w:val="21"/>
                <w:szCs w:val="22"/>
              </w:rPr>
              <w:t>投标人须为具备独立企业法人资格的制造商或授权代理商，具有有效的营业执照。</w:t>
            </w:r>
          </w:p>
          <w:p w14:paraId="5EE9D52D">
            <w:pPr>
              <w:wordWrap w:val="0"/>
              <w:adjustRightInd w:val="0"/>
              <w:snapToGrid w:val="0"/>
              <w:rPr>
                <w:kern w:val="2"/>
                <w:sz w:val="21"/>
                <w:szCs w:val="21"/>
              </w:rPr>
            </w:pPr>
            <w:r>
              <w:rPr>
                <w:rFonts w:hint="eastAsia"/>
                <w:kern w:val="2"/>
                <w:sz w:val="21"/>
                <w:szCs w:val="21"/>
              </w:rPr>
              <w:t>（1）</w:t>
            </w:r>
            <w:r>
              <w:rPr>
                <w:kern w:val="2"/>
                <w:sz w:val="21"/>
                <w:szCs w:val="21"/>
              </w:rPr>
              <w:t>投标人如为制造商，可以是国产设备制造商或进口设备制造商的中国销售公司（总代理）</w:t>
            </w:r>
            <w:r>
              <w:rPr>
                <w:rFonts w:hint="eastAsia"/>
                <w:kern w:val="2"/>
                <w:sz w:val="21"/>
                <w:szCs w:val="21"/>
              </w:rPr>
              <w:t>。</w:t>
            </w:r>
          </w:p>
          <w:p w14:paraId="4BA41642">
            <w:pPr>
              <w:wordWrap w:val="0"/>
              <w:adjustRightInd w:val="0"/>
              <w:snapToGrid w:val="0"/>
              <w:rPr>
                <w:kern w:val="2"/>
                <w:sz w:val="21"/>
                <w:szCs w:val="22"/>
              </w:rPr>
            </w:pPr>
            <w:r>
              <w:rPr>
                <w:rFonts w:hint="eastAsia"/>
                <w:kern w:val="2"/>
                <w:sz w:val="21"/>
                <w:szCs w:val="21"/>
              </w:rPr>
              <w:t>（2）投标人如为授权代理商，</w:t>
            </w:r>
            <w:r>
              <w:rPr>
                <w:kern w:val="2"/>
                <w:sz w:val="21"/>
                <w:szCs w:val="22"/>
              </w:rPr>
              <w:t>应持有制造商针对本项目的唯一授权；其代理的制造商须满足上述投标人为制造商的资质要求。</w:t>
            </w:r>
          </w:p>
        </w:tc>
      </w:tr>
    </w:tbl>
    <w:p w14:paraId="46142123">
      <w:pPr>
        <w:wordWrap w:val="0"/>
        <w:jc w:val="center"/>
        <w:rPr>
          <w:b/>
          <w:kern w:val="2"/>
          <w:szCs w:val="22"/>
        </w:rPr>
      </w:pPr>
    </w:p>
    <w:p w14:paraId="0D48284A">
      <w:pPr>
        <w:wordWrap w:val="0"/>
        <w:jc w:val="center"/>
        <w:rPr>
          <w:b/>
          <w:kern w:val="2"/>
          <w:szCs w:val="22"/>
        </w:rPr>
      </w:pPr>
    </w:p>
    <w:p w14:paraId="243E59EE">
      <w:pPr>
        <w:wordWrap w:val="0"/>
        <w:jc w:val="center"/>
        <w:rPr>
          <w:b/>
          <w:kern w:val="2"/>
          <w:szCs w:val="22"/>
        </w:rPr>
      </w:pPr>
      <w:r>
        <w:rPr>
          <w:b/>
          <w:kern w:val="2"/>
          <w:szCs w:val="22"/>
        </w:rPr>
        <w:t>附录2  资格审查条件（财务最低要求）</w:t>
      </w:r>
    </w:p>
    <w:tbl>
      <w:tblPr>
        <w:tblStyle w:val="16"/>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84"/>
      </w:tblGrid>
      <w:tr w14:paraId="0DFC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000" w:type="pct"/>
            <w:vAlign w:val="center"/>
          </w:tcPr>
          <w:p w14:paraId="070CB809">
            <w:pPr>
              <w:wordWrap w:val="0"/>
              <w:adjustRightInd w:val="0"/>
              <w:snapToGrid w:val="0"/>
              <w:jc w:val="center"/>
              <w:rPr>
                <w:b/>
                <w:kern w:val="2"/>
                <w:sz w:val="21"/>
                <w:szCs w:val="21"/>
                <w:shd w:val="clear" w:color="auto" w:fill="FFFFFF"/>
              </w:rPr>
            </w:pPr>
            <w:r>
              <w:rPr>
                <w:b/>
                <w:kern w:val="2"/>
                <w:sz w:val="21"/>
                <w:szCs w:val="21"/>
                <w:shd w:val="clear" w:color="auto" w:fill="FFFFFF"/>
              </w:rPr>
              <w:t>财务要求</w:t>
            </w:r>
          </w:p>
        </w:tc>
      </w:tr>
      <w:tr w14:paraId="014D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5000" w:type="pct"/>
            <w:vAlign w:val="center"/>
          </w:tcPr>
          <w:p w14:paraId="3AAC5BE1">
            <w:pPr>
              <w:wordWrap w:val="0"/>
              <w:adjustRightInd w:val="0"/>
              <w:snapToGrid w:val="0"/>
              <w:spacing w:line="288" w:lineRule="auto"/>
              <w:rPr>
                <w:kern w:val="2"/>
                <w:sz w:val="21"/>
                <w:szCs w:val="21"/>
                <w:shd w:val="clear" w:color="auto" w:fill="FFFFFF"/>
              </w:rPr>
            </w:pPr>
            <w:r>
              <w:rPr>
                <w:kern w:val="2"/>
                <w:sz w:val="21"/>
                <w:szCs w:val="21"/>
              </w:rPr>
              <w:t>为本合同所提供的营运资金（以经会计事务所或审计机构审计的202</w:t>
            </w:r>
            <w:r>
              <w:rPr>
                <w:rFonts w:hint="eastAsia"/>
                <w:kern w:val="2"/>
                <w:sz w:val="21"/>
                <w:szCs w:val="21"/>
              </w:rPr>
              <w:t>3</w:t>
            </w:r>
            <w:r>
              <w:rPr>
                <w:kern w:val="2"/>
                <w:sz w:val="21"/>
                <w:szCs w:val="21"/>
              </w:rPr>
              <w:t>年度财务报表中：营运资金=流动资产-流动负债，以年末数计算）以及为本项目而专门开具的银行信贷证明总和不得低于</w:t>
            </w:r>
            <w:r>
              <w:rPr>
                <w:rFonts w:hint="eastAsia"/>
                <w:kern w:val="2"/>
                <w:sz w:val="21"/>
                <w:szCs w:val="21"/>
              </w:rPr>
              <w:t>：</w:t>
            </w:r>
            <w:r>
              <w:rPr>
                <w:rFonts w:hint="eastAsia"/>
                <w:kern w:val="2"/>
                <w:sz w:val="21"/>
                <w:szCs w:val="21"/>
                <w:u w:val="single"/>
              </w:rPr>
              <w:t xml:space="preserve"> 200 </w:t>
            </w:r>
            <w:r>
              <w:rPr>
                <w:kern w:val="2"/>
                <w:sz w:val="21"/>
                <w:szCs w:val="21"/>
              </w:rPr>
              <w:t>万元</w:t>
            </w:r>
            <w:r>
              <w:rPr>
                <w:rFonts w:hint="eastAsia"/>
                <w:kern w:val="2"/>
                <w:sz w:val="21"/>
                <w:szCs w:val="21"/>
              </w:rPr>
              <w:t>。</w:t>
            </w:r>
          </w:p>
        </w:tc>
      </w:tr>
    </w:tbl>
    <w:p w14:paraId="166A29BB">
      <w:pPr>
        <w:wordWrap w:val="0"/>
        <w:jc w:val="center"/>
        <w:rPr>
          <w:b/>
          <w:kern w:val="2"/>
          <w:szCs w:val="22"/>
        </w:rPr>
      </w:pPr>
    </w:p>
    <w:p w14:paraId="01CFA2D6">
      <w:pPr>
        <w:wordWrap w:val="0"/>
        <w:jc w:val="center"/>
        <w:rPr>
          <w:b/>
          <w:kern w:val="2"/>
          <w:szCs w:val="22"/>
        </w:rPr>
      </w:pPr>
    </w:p>
    <w:p w14:paraId="15A697B1">
      <w:pPr>
        <w:wordWrap w:val="0"/>
        <w:jc w:val="center"/>
        <w:rPr>
          <w:kern w:val="2"/>
          <w:sz w:val="21"/>
          <w:szCs w:val="22"/>
        </w:rPr>
      </w:pPr>
      <w:r>
        <w:rPr>
          <w:b/>
          <w:kern w:val="2"/>
          <w:szCs w:val="22"/>
        </w:rPr>
        <w:t>附录3  资格审查条件（信誉最低要求）</w:t>
      </w:r>
    </w:p>
    <w:tbl>
      <w:tblPr>
        <w:tblStyle w:val="16"/>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6"/>
      </w:tblGrid>
      <w:tr w14:paraId="71576C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vAlign w:val="center"/>
          </w:tcPr>
          <w:p w14:paraId="33161604">
            <w:pPr>
              <w:wordWrap w:val="0"/>
              <w:adjustRightInd w:val="0"/>
              <w:snapToGrid w:val="0"/>
              <w:jc w:val="center"/>
              <w:rPr>
                <w:b/>
                <w:kern w:val="2"/>
                <w:sz w:val="21"/>
                <w:szCs w:val="21"/>
              </w:rPr>
            </w:pPr>
            <w:r>
              <w:rPr>
                <w:b/>
                <w:kern w:val="2"/>
                <w:sz w:val="21"/>
                <w:szCs w:val="21"/>
              </w:rPr>
              <w:t>信誉要求</w:t>
            </w:r>
          </w:p>
        </w:tc>
      </w:tr>
      <w:tr w14:paraId="3EB843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5000" w:type="pct"/>
            <w:vAlign w:val="center"/>
          </w:tcPr>
          <w:p w14:paraId="41F7139D">
            <w:pPr>
              <w:wordWrap w:val="0"/>
              <w:rPr>
                <w:kern w:val="2"/>
                <w:sz w:val="21"/>
                <w:szCs w:val="22"/>
              </w:rPr>
            </w:pPr>
            <w:r>
              <w:rPr>
                <w:kern w:val="2"/>
                <w:sz w:val="21"/>
                <w:szCs w:val="22"/>
              </w:rPr>
              <w:t>投标人在近一年（</w:t>
            </w:r>
            <w:r>
              <w:rPr>
                <w:rFonts w:hint="eastAsia"/>
                <w:kern w:val="2"/>
                <w:sz w:val="21"/>
                <w:szCs w:val="22"/>
              </w:rPr>
              <w:t>2024年3月1日</w:t>
            </w:r>
            <w:r>
              <w:rPr>
                <w:kern w:val="2"/>
                <w:sz w:val="21"/>
                <w:szCs w:val="22"/>
              </w:rPr>
              <w:t>至投标截止时间）不曾在高速公路机电项目设备供货中违约被逐或因投标人自身的原因而使高速公路机电项目设备供货合同被解除。</w:t>
            </w:r>
          </w:p>
        </w:tc>
      </w:tr>
    </w:tbl>
    <w:p w14:paraId="3DFDB5CF">
      <w:pPr>
        <w:wordWrap w:val="0"/>
        <w:jc w:val="center"/>
        <w:rPr>
          <w:b/>
          <w:kern w:val="2"/>
          <w:szCs w:val="22"/>
        </w:rPr>
      </w:pPr>
    </w:p>
    <w:p w14:paraId="49348A4F">
      <w:pPr>
        <w:wordWrap w:val="0"/>
        <w:jc w:val="center"/>
        <w:rPr>
          <w:b/>
          <w:kern w:val="2"/>
          <w:szCs w:val="22"/>
        </w:rPr>
      </w:pPr>
    </w:p>
    <w:p w14:paraId="7FAAD6CE">
      <w:pPr>
        <w:wordWrap w:val="0"/>
        <w:jc w:val="center"/>
        <w:rPr>
          <w:b/>
          <w:kern w:val="2"/>
          <w:szCs w:val="22"/>
        </w:rPr>
      </w:pPr>
      <w:r>
        <w:rPr>
          <w:b/>
          <w:kern w:val="2"/>
          <w:szCs w:val="22"/>
        </w:rPr>
        <w:t>附录4  资格审查条件（业绩最低要求）</w:t>
      </w:r>
    </w:p>
    <w:tbl>
      <w:tblPr>
        <w:tblStyle w:val="16"/>
        <w:tblW w:w="509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66"/>
      </w:tblGrid>
      <w:tr w14:paraId="0507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5000" w:type="pct"/>
            <w:vAlign w:val="center"/>
          </w:tcPr>
          <w:p w14:paraId="57FFA26F">
            <w:pPr>
              <w:wordWrap w:val="0"/>
              <w:adjustRightInd w:val="0"/>
              <w:snapToGrid w:val="0"/>
              <w:jc w:val="center"/>
              <w:rPr>
                <w:b/>
                <w:kern w:val="2"/>
                <w:sz w:val="21"/>
                <w:szCs w:val="21"/>
                <w:shd w:val="clear" w:color="auto" w:fill="FFFFFF"/>
              </w:rPr>
            </w:pPr>
            <w:r>
              <w:rPr>
                <w:b/>
                <w:kern w:val="2"/>
                <w:sz w:val="21"/>
                <w:szCs w:val="21"/>
                <w:shd w:val="clear" w:color="auto" w:fill="FFFFFF"/>
              </w:rPr>
              <w:t>业绩要求</w:t>
            </w:r>
          </w:p>
        </w:tc>
      </w:tr>
      <w:tr w14:paraId="03D6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5000" w:type="pct"/>
            <w:vAlign w:val="center"/>
          </w:tcPr>
          <w:p w14:paraId="04BDE3BA">
            <w:pPr>
              <w:spacing w:before="141"/>
              <w:ind w:right="1"/>
              <w:rPr>
                <w:kern w:val="2"/>
                <w:sz w:val="20"/>
                <w:szCs w:val="21"/>
                <w:shd w:val="clear" w:color="auto" w:fill="FFFFFF"/>
              </w:rPr>
            </w:pPr>
            <w:r>
              <w:rPr>
                <w:kern w:val="2"/>
                <w:sz w:val="21"/>
                <w:szCs w:val="22"/>
              </w:rPr>
              <w:t>近3年内（</w:t>
            </w:r>
            <w:r>
              <w:rPr>
                <w:rFonts w:hint="eastAsia"/>
                <w:kern w:val="2"/>
                <w:sz w:val="21"/>
                <w:szCs w:val="22"/>
              </w:rPr>
              <w:t>2022年3月1日</w:t>
            </w:r>
            <w:r>
              <w:rPr>
                <w:kern w:val="2"/>
                <w:sz w:val="21"/>
                <w:szCs w:val="22"/>
              </w:rPr>
              <w:t>至投标截止时间，以合同签订时间为准），至少</w:t>
            </w:r>
            <w:r>
              <w:rPr>
                <w:rFonts w:hint="eastAsia"/>
                <w:kern w:val="2"/>
                <w:sz w:val="21"/>
                <w:szCs w:val="22"/>
              </w:rPr>
              <w:t>承揽</w:t>
            </w:r>
            <w:r>
              <w:rPr>
                <w:kern w:val="2"/>
                <w:sz w:val="21"/>
                <w:szCs w:val="22"/>
              </w:rPr>
              <w:t>过1项</w:t>
            </w:r>
            <w:r>
              <w:rPr>
                <w:rFonts w:hint="eastAsia"/>
                <w:kern w:val="2"/>
                <w:sz w:val="21"/>
                <w:szCs w:val="22"/>
              </w:rPr>
              <w:t>高速公路机电设备（含照明设备）的</w:t>
            </w:r>
            <w:r>
              <w:rPr>
                <w:kern w:val="2"/>
                <w:sz w:val="21"/>
                <w:szCs w:val="22"/>
              </w:rPr>
              <w:t>供货业绩。</w:t>
            </w:r>
          </w:p>
        </w:tc>
      </w:tr>
    </w:tbl>
    <w:p w14:paraId="46FB6CA2">
      <w:pPr>
        <w:spacing w:line="288" w:lineRule="auto"/>
        <w:rPr>
          <w:strike/>
          <w:kern w:val="2"/>
          <w:sz w:val="21"/>
          <w:szCs w:val="21"/>
        </w:rPr>
      </w:pPr>
      <w:r>
        <w:rPr>
          <w:rFonts w:hint="eastAsia" w:ascii="宋体" w:hAnsi="宋体"/>
          <w:color w:val="000000"/>
          <w:kern w:val="2"/>
          <w:sz w:val="21"/>
          <w:szCs w:val="21"/>
        </w:rPr>
        <w:t>注：</w:t>
      </w:r>
      <w:r>
        <w:rPr>
          <w:rFonts w:ascii="宋体" w:hAnsi="宋体"/>
          <w:color w:val="000000"/>
          <w:kern w:val="2"/>
          <w:sz w:val="21"/>
          <w:szCs w:val="21"/>
          <w:shd w:val="clear" w:color="auto" w:fill="FFFFFF"/>
        </w:rPr>
        <w:t>代理商</w:t>
      </w:r>
      <w:r>
        <w:rPr>
          <w:rFonts w:hint="eastAsia" w:ascii="宋体" w:hAnsi="宋体"/>
          <w:color w:val="000000"/>
          <w:kern w:val="2"/>
          <w:sz w:val="21"/>
          <w:szCs w:val="21"/>
          <w:shd w:val="clear" w:color="auto" w:fill="FFFFFF"/>
        </w:rPr>
        <w:t>和制造商的业绩可互用，以上业绩不包含制造商和代理商签订的合同</w:t>
      </w:r>
      <w:r>
        <w:rPr>
          <w:rFonts w:hint="eastAsia" w:ascii="宋体" w:hAnsi="宋体"/>
          <w:color w:val="000000"/>
          <w:kern w:val="2"/>
          <w:sz w:val="21"/>
          <w:szCs w:val="21"/>
        </w:rPr>
        <w:t>。</w:t>
      </w:r>
    </w:p>
    <w:p w14:paraId="368357E5">
      <w:pPr>
        <w:wordWrap w:val="0"/>
        <w:jc w:val="center"/>
        <w:rPr>
          <w:b/>
          <w:kern w:val="2"/>
          <w:szCs w:val="22"/>
        </w:rPr>
      </w:pPr>
    </w:p>
    <w:p w14:paraId="67CFCC3F">
      <w:pPr>
        <w:wordWrap w:val="0"/>
        <w:jc w:val="center"/>
        <w:rPr>
          <w:b/>
          <w:kern w:val="2"/>
          <w:szCs w:val="22"/>
        </w:rPr>
      </w:pPr>
    </w:p>
    <w:p w14:paraId="29DB87D9">
      <w:pPr>
        <w:wordWrap w:val="0"/>
        <w:autoSpaceDE w:val="0"/>
        <w:autoSpaceDN w:val="0"/>
        <w:adjustRightInd w:val="0"/>
        <w:ind w:right="-20"/>
        <w:jc w:val="left"/>
        <w:outlineLvl w:val="3"/>
        <w:rPr>
          <w:b/>
          <w:kern w:val="2"/>
          <w:sz w:val="28"/>
          <w:szCs w:val="28"/>
        </w:rPr>
      </w:pPr>
      <w:r>
        <w:rPr>
          <w:b/>
          <w:kern w:val="2"/>
          <w:sz w:val="28"/>
          <w:szCs w:val="28"/>
        </w:rPr>
        <w:br w:type="page"/>
      </w:r>
      <w:r>
        <w:rPr>
          <w:b/>
          <w:kern w:val="2"/>
          <w:sz w:val="28"/>
          <w:szCs w:val="28"/>
        </w:rPr>
        <w:t>附件2：评标办法</w:t>
      </w:r>
    </w:p>
    <w:p w14:paraId="65F74614">
      <w:pPr>
        <w:snapToGrid w:val="0"/>
        <w:spacing w:line="360" w:lineRule="auto"/>
        <w:ind w:firstLine="480"/>
        <w:jc w:val="center"/>
        <w:textAlignment w:val="baseline"/>
        <w:rPr>
          <w:b/>
          <w:kern w:val="2"/>
          <w:sz w:val="28"/>
          <w:szCs w:val="28"/>
        </w:rPr>
      </w:pPr>
    </w:p>
    <w:p w14:paraId="5A485A96">
      <w:pPr>
        <w:wordWrap w:val="0"/>
        <w:spacing w:line="360" w:lineRule="auto"/>
        <w:rPr>
          <w:rFonts w:hint="eastAsia" w:ascii="宋体" w:hAnsi="宋体" w:cs="宋体"/>
          <w:spacing w:val="1"/>
          <w:kern w:val="2"/>
          <w:sz w:val="28"/>
          <w:szCs w:val="28"/>
        </w:rPr>
      </w:pPr>
      <w:r>
        <w:rPr>
          <w:rFonts w:hint="eastAsia" w:ascii="宋体" w:hAnsi="宋体" w:cs="宋体"/>
          <w:spacing w:val="2"/>
          <w:kern w:val="2"/>
          <w:szCs w:val="24"/>
        </w:rPr>
        <w:t>评标办法前附表</w:t>
      </w:r>
    </w:p>
    <w:tbl>
      <w:tblPr>
        <w:tblStyle w:val="1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49E6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24C806DC">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条款号</w:t>
            </w:r>
          </w:p>
        </w:tc>
        <w:tc>
          <w:tcPr>
            <w:tcW w:w="7197" w:type="dxa"/>
            <w:vAlign w:val="center"/>
          </w:tcPr>
          <w:p w14:paraId="28BBDBA6">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评审因素与标准</w:t>
            </w:r>
          </w:p>
        </w:tc>
      </w:tr>
      <w:tr w14:paraId="39EF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1E2CF4AF">
            <w:pPr>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1</w:t>
            </w:r>
          </w:p>
        </w:tc>
        <w:tc>
          <w:tcPr>
            <w:tcW w:w="1317" w:type="dxa"/>
            <w:vAlign w:val="center"/>
          </w:tcPr>
          <w:p w14:paraId="3DB390AD">
            <w:pPr>
              <w:snapToGrid w:val="0"/>
              <w:spacing w:line="320" w:lineRule="exact"/>
              <w:jc w:val="center"/>
              <w:rPr>
                <w:rFonts w:hint="eastAsia" w:ascii="宋体" w:hAnsi="宋体" w:cs="宋体"/>
                <w:b/>
                <w:kern w:val="2"/>
                <w:sz w:val="21"/>
                <w:szCs w:val="21"/>
              </w:rPr>
            </w:pPr>
            <w:r>
              <w:rPr>
                <w:rFonts w:hint="eastAsia" w:ascii="宋体" w:hAnsi="宋体" w:cs="宋体"/>
                <w:kern w:val="2"/>
                <w:sz w:val="21"/>
                <w:szCs w:val="21"/>
              </w:rPr>
              <w:t>评标办法</w:t>
            </w:r>
          </w:p>
        </w:tc>
        <w:tc>
          <w:tcPr>
            <w:tcW w:w="7197" w:type="dxa"/>
            <w:vAlign w:val="center"/>
          </w:tcPr>
          <w:p w14:paraId="2CC2120B">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本次评标采用技术评分最低标价法，双信封形式。</w:t>
            </w:r>
          </w:p>
          <w:p w14:paraId="2C3AF7A1">
            <w:pPr>
              <w:snapToGrid w:val="0"/>
              <w:spacing w:line="320" w:lineRule="exact"/>
              <w:ind w:firstLine="416" w:firstLineChars="200"/>
              <w:rPr>
                <w:rFonts w:hint="eastAsia" w:ascii="宋体" w:hAnsi="宋体" w:cs="宋体"/>
                <w:kern w:val="2"/>
                <w:sz w:val="21"/>
                <w:szCs w:val="21"/>
              </w:rPr>
            </w:pPr>
            <w:r>
              <w:rPr>
                <w:rFonts w:hint="eastAsia" w:ascii="宋体" w:hAnsi="宋体" w:cs="宋体"/>
                <w:spacing w:val="-1"/>
                <w:kern w:val="2"/>
                <w:sz w:val="21"/>
                <w:szCs w:val="21"/>
              </w:rPr>
              <w:t>评标委员会对满足招标文件实质性要求的投标文件</w:t>
            </w:r>
            <w:r>
              <w:rPr>
                <w:rFonts w:hint="eastAsia" w:ascii="宋体" w:hAnsi="宋体" w:cs="宋体"/>
                <w:kern w:val="2"/>
                <w:sz w:val="21"/>
                <w:szCs w:val="21"/>
              </w:rPr>
              <w:t>第一个信封，按照本章第2.2款规定的评分标准进行打分，并按技术得分由高到低顺序确定3名投标人进入第二个信封评审。若技术得分相同的，以技术暗标得分高的投标人优先，若技术暗标得分也相同的，以满足资格审查条件（业绩最低要求）累计合同金额高的投标人优先。未通过第一信封评审或技术得分未进入前3名的投标人，其第二信封不予开封。</w:t>
            </w:r>
          </w:p>
          <w:p w14:paraId="6D3AA7D6">
            <w:pPr>
              <w:snapToGrid w:val="0"/>
              <w:spacing w:line="320" w:lineRule="exact"/>
              <w:ind w:firstLine="420" w:firstLineChars="200"/>
              <w:rPr>
                <w:rFonts w:hint="eastAsia" w:ascii="宋体" w:hAnsi="宋体" w:cs="宋体"/>
                <w:kern w:val="2"/>
                <w:sz w:val="22"/>
                <w:szCs w:val="22"/>
              </w:rPr>
            </w:pPr>
            <w:r>
              <w:rPr>
                <w:rFonts w:hint="eastAsia" w:ascii="宋体" w:hAnsi="宋体"/>
                <w:kern w:val="2"/>
                <w:sz w:val="21"/>
                <w:szCs w:val="22"/>
              </w:rPr>
              <w:t>评标委员会按第二个信封经评审的评标价由低到高的顺序，向招标人推荐1-3名中标候选人。</w:t>
            </w:r>
          </w:p>
          <w:p w14:paraId="7E45C076">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评标价相等时，评标委员会依次按照以下优先顺序推荐中标候选人：</w:t>
            </w:r>
          </w:p>
          <w:p w14:paraId="54F57BA8">
            <w:pPr>
              <w:snapToGrid w:val="0"/>
              <w:spacing w:line="320" w:lineRule="exact"/>
              <w:ind w:firstLine="210" w:firstLineChars="100"/>
              <w:rPr>
                <w:rFonts w:hint="eastAsia" w:ascii="宋体" w:hAnsi="宋体" w:cs="宋体"/>
                <w:kern w:val="2"/>
                <w:sz w:val="21"/>
                <w:szCs w:val="21"/>
              </w:rPr>
            </w:pPr>
            <w:r>
              <w:rPr>
                <w:rFonts w:hint="eastAsia" w:ascii="宋体" w:hAnsi="宋体" w:cs="宋体"/>
                <w:kern w:val="2"/>
                <w:sz w:val="21"/>
                <w:szCs w:val="21"/>
              </w:rPr>
              <w:t>（1）第一个信封技术得分较高的优先；</w:t>
            </w:r>
          </w:p>
          <w:p w14:paraId="6895C18F">
            <w:pPr>
              <w:snapToGrid w:val="0"/>
              <w:spacing w:line="320" w:lineRule="exact"/>
              <w:ind w:firstLine="210" w:firstLineChars="100"/>
              <w:rPr>
                <w:rFonts w:hint="eastAsia" w:ascii="宋体" w:hAnsi="宋体" w:cs="宋体"/>
                <w:kern w:val="2"/>
                <w:sz w:val="21"/>
                <w:szCs w:val="21"/>
              </w:rPr>
            </w:pPr>
            <w:r>
              <w:rPr>
                <w:rFonts w:hint="eastAsia" w:ascii="宋体" w:hAnsi="宋体" w:cs="宋体"/>
                <w:kern w:val="2"/>
                <w:sz w:val="21"/>
                <w:szCs w:val="21"/>
              </w:rPr>
              <w:t>（2）满足资格审查条件（业绩最低要求）累计合同金额高的投标人优先；</w:t>
            </w:r>
          </w:p>
          <w:p w14:paraId="542F6982">
            <w:pPr>
              <w:snapToGrid w:val="0"/>
              <w:spacing w:line="320" w:lineRule="exact"/>
              <w:ind w:firstLine="210" w:firstLineChars="100"/>
              <w:rPr>
                <w:rFonts w:hint="eastAsia" w:ascii="宋体" w:hAnsi="宋体" w:cs="宋体"/>
                <w:kern w:val="2"/>
                <w:sz w:val="21"/>
                <w:szCs w:val="21"/>
              </w:rPr>
            </w:pPr>
            <w:r>
              <w:rPr>
                <w:rFonts w:hint="eastAsia" w:ascii="宋体" w:hAnsi="宋体" w:cs="宋体"/>
                <w:kern w:val="2"/>
                <w:sz w:val="21"/>
                <w:szCs w:val="21"/>
              </w:rPr>
              <w:t>（3）投标文件递交时间在前的优先。</w:t>
            </w:r>
          </w:p>
        </w:tc>
      </w:tr>
      <w:tr w14:paraId="3B48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347DE097">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2.1.1</w:t>
            </w:r>
          </w:p>
          <w:p w14:paraId="5C1DC051">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2.1.3</w:t>
            </w:r>
          </w:p>
        </w:tc>
        <w:tc>
          <w:tcPr>
            <w:tcW w:w="1317" w:type="dxa"/>
            <w:vAlign w:val="center"/>
          </w:tcPr>
          <w:p w14:paraId="7C67DDDB">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形式评审与响应性评审标准</w:t>
            </w:r>
          </w:p>
        </w:tc>
        <w:tc>
          <w:tcPr>
            <w:tcW w:w="7197" w:type="dxa"/>
            <w:vAlign w:val="center"/>
          </w:tcPr>
          <w:p w14:paraId="37B7131E">
            <w:pPr>
              <w:snapToGrid w:val="0"/>
              <w:spacing w:line="320" w:lineRule="exact"/>
              <w:ind w:firstLine="422" w:firstLineChars="200"/>
              <w:rPr>
                <w:rFonts w:hint="eastAsia" w:ascii="宋体" w:hAnsi="宋体" w:cs="宋体"/>
                <w:kern w:val="2"/>
                <w:sz w:val="21"/>
                <w:szCs w:val="21"/>
              </w:rPr>
            </w:pPr>
            <w:r>
              <w:rPr>
                <w:rFonts w:hint="eastAsia" w:ascii="宋体" w:hAnsi="宋体" w:cs="宋体"/>
                <w:b/>
                <w:bCs/>
                <w:kern w:val="2"/>
                <w:sz w:val="21"/>
                <w:szCs w:val="21"/>
              </w:rPr>
              <w:t>第一个信封（商务及技术文件）评审标准：</w:t>
            </w:r>
          </w:p>
          <w:p w14:paraId="056549C8">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（1）投标文件按照招标文件规定的格式、内容填写，字迹清晰可辨：</w:t>
            </w:r>
          </w:p>
          <w:p w14:paraId="19CC360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a.投标函按照招标文件规定填报了招标人名称、项目名称、标段号、补遗书编号（如有）、交货期、质量标准；</w:t>
            </w:r>
          </w:p>
          <w:p w14:paraId="4A408E9E">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b.投标文件组成齐全完整，内容均按规定填写；</w:t>
            </w:r>
          </w:p>
          <w:p w14:paraId="29AC1D77">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（2）投标文件上法定代表人或其委托代理人的签字、投标人的单位章盖章齐全，符合招标文件规定。</w:t>
            </w:r>
          </w:p>
          <w:p w14:paraId="4AF31E72">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（3）投标人按照招标文件的规定提供了投标保证金，满足投标人须知3.4.1规定。</w:t>
            </w:r>
          </w:p>
          <w:p w14:paraId="6BE3C870">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（4）投标人法定代表人授权委托代理人签署投标文件的，须提交授权委托书，授权委托书的签字盖章符合招标文件规定。</w:t>
            </w:r>
          </w:p>
          <w:p w14:paraId="1C8D6667">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（5）投标人法定代表人亲自签署投标文件的，提供了法定代表人身份证明,法定代表人身份证明的签字盖章符合招标文件规定。</w:t>
            </w:r>
          </w:p>
          <w:p w14:paraId="779E3EA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（6）投标人未以联合体形式投标。</w:t>
            </w:r>
          </w:p>
          <w:p w14:paraId="0CD77B12">
            <w:pPr>
              <w:snapToGrid w:val="0"/>
              <w:spacing w:line="320" w:lineRule="exact"/>
              <w:ind w:right="113" w:firstLine="420" w:firstLineChars="200"/>
              <w:rPr>
                <w:rFonts w:hint="eastAsia" w:ascii="宋体" w:hAnsi="宋体" w:cs="宋体"/>
                <w:kern w:val="2"/>
                <w:sz w:val="21"/>
                <w:szCs w:val="21"/>
              </w:rPr>
            </w:pPr>
            <w:r>
              <w:rPr>
                <w:rFonts w:hint="eastAsia" w:ascii="宋体" w:hAnsi="宋体" w:cs="宋体"/>
                <w:kern w:val="2"/>
                <w:sz w:val="21"/>
                <w:szCs w:val="21"/>
              </w:rPr>
              <w:t>（7）投标人未对本项目进行分包。</w:t>
            </w:r>
          </w:p>
          <w:p w14:paraId="41991DB5">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（8）同一投标人同一标段未提交两个以上不同的投标文件。</w:t>
            </w:r>
          </w:p>
          <w:p w14:paraId="2A157D20">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（9）投标文件中未出现有关投标报价的内容。</w:t>
            </w:r>
          </w:p>
          <w:p w14:paraId="156DFC56">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（10）投标文件载明的招标项目完成期限未超过招标文件规定的时限。</w:t>
            </w:r>
          </w:p>
          <w:p w14:paraId="37761C33">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（11）</w:t>
            </w:r>
            <w:r>
              <w:rPr>
                <w:rFonts w:hint="eastAsia" w:ascii="宋体" w:hAnsi="宋体" w:cs="宋体"/>
                <w:kern w:val="2"/>
                <w:sz w:val="21"/>
                <w:szCs w:val="21"/>
                <w:lang w:bidi="ar"/>
              </w:rPr>
              <w:t>递交的投标文件与所投标段一致</w:t>
            </w:r>
            <w:r>
              <w:rPr>
                <w:rFonts w:hint="eastAsia" w:ascii="宋体" w:hAnsi="宋体" w:cs="宋体"/>
                <w:kern w:val="2"/>
                <w:sz w:val="21"/>
                <w:szCs w:val="21"/>
              </w:rPr>
              <w:t>。</w:t>
            </w:r>
          </w:p>
          <w:p w14:paraId="4924A9C4">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（12）投标文件对招标文件的实质性要求和条件作出响应。</w:t>
            </w:r>
          </w:p>
          <w:p w14:paraId="1E91AADB">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（13）权利义务符合招标文件规定：</w:t>
            </w:r>
          </w:p>
          <w:p w14:paraId="5554678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a．投标人应接受招标文件规定的风险划分原则，未提出新的风险划分办法；</w:t>
            </w:r>
          </w:p>
          <w:p w14:paraId="22157DD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b．投标人未增加发包人的责任范围，或减少投标人义务；</w:t>
            </w:r>
          </w:p>
          <w:p w14:paraId="2D887C7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c．投标人未提出不同的工程验收、计量、支付办法；</w:t>
            </w:r>
          </w:p>
          <w:p w14:paraId="681C9EC6">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d．投标人对合同纠纷、事故处理办法未提出异议；</w:t>
            </w:r>
          </w:p>
          <w:p w14:paraId="2D040A3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e．投标人在投标活动中无欺诈行为；</w:t>
            </w:r>
          </w:p>
          <w:p w14:paraId="0F07C1B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f．投标人未对合同条款有重要保留</w:t>
            </w:r>
          </w:p>
          <w:p w14:paraId="37A00B29">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（14）</w:t>
            </w:r>
            <w:r>
              <w:rPr>
                <w:kern w:val="2"/>
                <w:sz w:val="21"/>
                <w:szCs w:val="21"/>
              </w:rPr>
              <w:t>投标文件中投标设备的主要技术性能指标</w:t>
            </w:r>
            <w:r>
              <w:rPr>
                <w:rFonts w:hint="eastAsia"/>
                <w:kern w:val="2"/>
                <w:sz w:val="21"/>
                <w:szCs w:val="21"/>
              </w:rPr>
              <w:t>完全响应</w:t>
            </w:r>
            <w:r>
              <w:rPr>
                <w:kern w:val="2"/>
                <w:sz w:val="21"/>
                <w:szCs w:val="21"/>
              </w:rPr>
              <w:t>招标文件</w:t>
            </w:r>
            <w:r>
              <w:rPr>
                <w:rFonts w:hint="eastAsia"/>
                <w:kern w:val="2"/>
                <w:sz w:val="21"/>
                <w:szCs w:val="21"/>
              </w:rPr>
              <w:t>中</w:t>
            </w:r>
            <w:r>
              <w:rPr>
                <w:kern w:val="2"/>
                <w:sz w:val="21"/>
                <w:szCs w:val="22"/>
              </w:rPr>
              <w:t>加注“</w:t>
            </w:r>
            <w:r>
              <w:rPr>
                <w:rFonts w:ascii="Segoe UI Symbol" w:hAnsi="Segoe UI Symbol" w:cs="Segoe UI Symbol"/>
                <w:kern w:val="2"/>
                <w:sz w:val="21"/>
                <w:szCs w:val="22"/>
              </w:rPr>
              <w:t>★</w:t>
            </w:r>
            <w:r>
              <w:rPr>
                <w:kern w:val="2"/>
                <w:sz w:val="21"/>
                <w:szCs w:val="22"/>
              </w:rPr>
              <w:t>”号的重要技术条款（参数）和要求</w:t>
            </w:r>
            <w:r>
              <w:rPr>
                <w:kern w:val="2"/>
                <w:sz w:val="21"/>
                <w:szCs w:val="21"/>
              </w:rPr>
              <w:t>。</w:t>
            </w:r>
          </w:p>
          <w:p w14:paraId="11D8F0C6">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（15）供货能力及进度保障（暗标）、技术服务及质保期服务（暗标）</w:t>
            </w:r>
            <w:r>
              <w:rPr>
                <w:rFonts w:hint="eastAsia" w:ascii="宋体" w:hAnsi="宋体" w:cs="宋体"/>
                <w:kern w:val="2"/>
                <w:sz w:val="21"/>
                <w:szCs w:val="22"/>
              </w:rPr>
              <w:t>符合招标文件第二章“投标人须知前附表”第10.3款的规定。</w:t>
            </w:r>
          </w:p>
          <w:p w14:paraId="4A999D57">
            <w:pPr>
              <w:snapToGrid w:val="0"/>
              <w:spacing w:line="320" w:lineRule="exact"/>
              <w:ind w:firstLine="422" w:firstLineChars="200"/>
              <w:rPr>
                <w:rFonts w:hint="eastAsia" w:ascii="宋体" w:hAnsi="宋体" w:cs="宋体"/>
                <w:b/>
                <w:bCs/>
                <w:kern w:val="2"/>
                <w:sz w:val="21"/>
                <w:szCs w:val="21"/>
              </w:rPr>
            </w:pPr>
            <w:r>
              <w:rPr>
                <w:rFonts w:hint="eastAsia" w:ascii="宋体" w:hAnsi="宋体" w:cs="宋体"/>
                <w:b/>
                <w:bCs/>
                <w:kern w:val="2"/>
                <w:sz w:val="21"/>
                <w:szCs w:val="21"/>
              </w:rPr>
              <w:t>第二个信封（报价文件）评审标准：</w:t>
            </w:r>
          </w:p>
          <w:p w14:paraId="02360267">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（1）投标文件按照招标文件规定的格式、内容填写，字迹清晰可辨：</w:t>
            </w:r>
          </w:p>
          <w:p w14:paraId="6D06DD3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a.投标函按照招标文件规定填报了招标人名称、项目名称、标段号、补遗书编号（如有）、投标报价（包括大写金额和小写金额）、增值税税率；</w:t>
            </w:r>
          </w:p>
          <w:p w14:paraId="3B608E59">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b.投标文件组成齐全完整，内容均按规定填写。</w:t>
            </w:r>
          </w:p>
          <w:p w14:paraId="0241CC52">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（2）投标文件上法定代表人或委托代理人的签字、投标人的单位章盖章齐全，符合招标文件规定。</w:t>
            </w:r>
          </w:p>
          <w:p w14:paraId="31480D0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（3）投标报价未超过招标文件设定的最高投标限价。</w:t>
            </w:r>
          </w:p>
          <w:p w14:paraId="34298C75">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（4）投标报价的大写金额能够确定具体数值。</w:t>
            </w:r>
          </w:p>
          <w:p w14:paraId="38FE4217">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（5）同一投标人同一标段未提交两个以上不同的投标报价。</w:t>
            </w:r>
          </w:p>
          <w:p w14:paraId="0D3A412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（6）分项报价表中投标报价与投标函大写金额一致。</w:t>
            </w:r>
          </w:p>
          <w:p w14:paraId="0EE32681">
            <w:pPr>
              <w:snapToGrid w:val="0"/>
              <w:spacing w:line="320" w:lineRule="exact"/>
              <w:ind w:firstLine="420" w:firstLineChars="200"/>
              <w:rPr>
                <w:kern w:val="2"/>
                <w:sz w:val="21"/>
                <w:szCs w:val="22"/>
              </w:rPr>
            </w:pPr>
            <w:r>
              <w:rPr>
                <w:rFonts w:hint="eastAsia" w:ascii="宋体" w:hAnsi="宋体" w:cs="宋体"/>
                <w:kern w:val="2"/>
                <w:sz w:val="21"/>
                <w:szCs w:val="21"/>
              </w:rPr>
              <w:t>（7）递交的投标文件与所投标段一致。</w:t>
            </w:r>
          </w:p>
        </w:tc>
      </w:tr>
      <w:tr w14:paraId="0483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7564ACFD">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2.1.2</w:t>
            </w:r>
          </w:p>
        </w:tc>
        <w:tc>
          <w:tcPr>
            <w:tcW w:w="1317" w:type="dxa"/>
            <w:vAlign w:val="center"/>
          </w:tcPr>
          <w:p w14:paraId="324D5DCC">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资格评审标准</w:t>
            </w:r>
          </w:p>
        </w:tc>
        <w:tc>
          <w:tcPr>
            <w:tcW w:w="7197" w:type="dxa"/>
            <w:vAlign w:val="center"/>
          </w:tcPr>
          <w:p w14:paraId="5D142690">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（1）投标人具备有效的企业营业执照、组织机构代码证（三证合一或五证合一的除外）和基本账户开户许可证（或基本存款账户信息）；</w:t>
            </w:r>
          </w:p>
          <w:p w14:paraId="691838C7">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（2）投标人的资质符合招标文件规定；</w:t>
            </w:r>
          </w:p>
          <w:p w14:paraId="61471BA8">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w:t>
            </w:r>
            <w:r>
              <w:rPr>
                <w:kern w:val="2"/>
                <w:sz w:val="21"/>
                <w:szCs w:val="21"/>
              </w:rPr>
              <w:t>投标人的财务状况符合招标文件规定</w:t>
            </w:r>
          </w:p>
          <w:p w14:paraId="7FFCF569">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（4）投标人的业绩符合招标文件规定；</w:t>
            </w:r>
          </w:p>
          <w:p w14:paraId="265FC73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（5）投标人的信誉符合招标文件规定；</w:t>
            </w:r>
          </w:p>
          <w:p w14:paraId="436B4002">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（6）投标人不存在第二章“投标人须知”第1.4.3项规定的任何一种情形。</w:t>
            </w:r>
          </w:p>
        </w:tc>
      </w:tr>
      <w:tr w14:paraId="3F5B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3FF43AFF">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条款号</w:t>
            </w:r>
          </w:p>
        </w:tc>
        <w:tc>
          <w:tcPr>
            <w:tcW w:w="1317" w:type="dxa"/>
            <w:vAlign w:val="center"/>
          </w:tcPr>
          <w:p w14:paraId="17881045">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条款内容</w:t>
            </w:r>
          </w:p>
        </w:tc>
        <w:tc>
          <w:tcPr>
            <w:tcW w:w="7197" w:type="dxa"/>
            <w:vAlign w:val="center"/>
          </w:tcPr>
          <w:p w14:paraId="59E4F36B">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编列内容</w:t>
            </w:r>
          </w:p>
        </w:tc>
      </w:tr>
      <w:tr w14:paraId="772A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27E316B6">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2.2.1</w:t>
            </w:r>
          </w:p>
        </w:tc>
        <w:tc>
          <w:tcPr>
            <w:tcW w:w="1317" w:type="dxa"/>
            <w:vAlign w:val="center"/>
          </w:tcPr>
          <w:p w14:paraId="4DEB1BA2">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分值构成</w:t>
            </w:r>
          </w:p>
          <w:p w14:paraId="4F8FF5AF">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（总分100分）</w:t>
            </w:r>
          </w:p>
        </w:tc>
        <w:tc>
          <w:tcPr>
            <w:tcW w:w="7197" w:type="dxa"/>
            <w:vAlign w:val="center"/>
          </w:tcPr>
          <w:p w14:paraId="60D120A0">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商务部分：0分</w:t>
            </w:r>
          </w:p>
          <w:p w14:paraId="51DD8319">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技术部分：100分</w:t>
            </w:r>
          </w:p>
          <w:p w14:paraId="39FB4247">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其他评分因素：0分</w:t>
            </w:r>
          </w:p>
        </w:tc>
      </w:tr>
      <w:tr w14:paraId="3360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34E5C062">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2.2.3</w:t>
            </w:r>
          </w:p>
        </w:tc>
        <w:tc>
          <w:tcPr>
            <w:tcW w:w="1317" w:type="dxa"/>
            <w:vAlign w:val="center"/>
          </w:tcPr>
          <w:p w14:paraId="6D124D09">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第二个信封详细评审标准</w:t>
            </w:r>
          </w:p>
        </w:tc>
        <w:tc>
          <w:tcPr>
            <w:tcW w:w="7197" w:type="dxa"/>
            <w:vAlign w:val="center"/>
          </w:tcPr>
          <w:p w14:paraId="72223F83">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评标价计算公式：</w:t>
            </w:r>
          </w:p>
          <w:p w14:paraId="26EB7E80">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评标价=修正后的投标报价。</w:t>
            </w:r>
          </w:p>
        </w:tc>
      </w:tr>
      <w:tr w14:paraId="6CF7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2126D051">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3.2.4</w:t>
            </w:r>
          </w:p>
        </w:tc>
        <w:tc>
          <w:tcPr>
            <w:tcW w:w="1317" w:type="dxa"/>
            <w:vAlign w:val="center"/>
          </w:tcPr>
          <w:p w14:paraId="6912846C">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通过第一个信封详细评审的投标人数量</w:t>
            </w:r>
          </w:p>
        </w:tc>
        <w:tc>
          <w:tcPr>
            <w:tcW w:w="7197" w:type="dxa"/>
            <w:vAlign w:val="center"/>
          </w:tcPr>
          <w:p w14:paraId="066F0AA4">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按照投标人的技术得分由高到低排序，选择前3名通过详细评审</w:t>
            </w:r>
          </w:p>
        </w:tc>
      </w:tr>
      <w:tr w14:paraId="4392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7BC62600">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3.6.1</w:t>
            </w:r>
          </w:p>
        </w:tc>
        <w:tc>
          <w:tcPr>
            <w:tcW w:w="1317" w:type="dxa"/>
            <w:vAlign w:val="center"/>
          </w:tcPr>
          <w:p w14:paraId="7BACB9D2">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信息查询</w:t>
            </w:r>
          </w:p>
        </w:tc>
        <w:tc>
          <w:tcPr>
            <w:tcW w:w="7197" w:type="dxa"/>
            <w:vAlign w:val="center"/>
          </w:tcPr>
          <w:p w14:paraId="2C6195D1">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修改为：</w:t>
            </w:r>
          </w:p>
          <w:p w14:paraId="36BD3563">
            <w:pPr>
              <w:snapToGrid w:val="0"/>
              <w:spacing w:line="320" w:lineRule="exact"/>
              <w:rPr>
                <w:rFonts w:hint="eastAsia" w:ascii="宋体" w:hAnsi="宋体" w:cs="宋体"/>
                <w:kern w:val="2"/>
                <w:sz w:val="21"/>
                <w:szCs w:val="21"/>
              </w:rPr>
            </w:pPr>
            <w:r>
              <w:rPr>
                <w:rFonts w:hint="eastAsia" w:ascii="宋体" w:hAnsi="宋体" w:cs="宋体"/>
                <w:kern w:val="2"/>
                <w:sz w:val="21"/>
                <w:szCs w:val="21"/>
              </w:rPr>
              <w:t>在评标过程中，评标委员会应对以下信息进行查询：</w:t>
            </w:r>
          </w:p>
          <w:p w14:paraId="13B5F53A">
            <w:pPr>
              <w:snapToGrid w:val="0"/>
              <w:spacing w:line="320" w:lineRule="exact"/>
              <w:ind w:firstLine="327" w:firstLineChars="156"/>
              <w:rPr>
                <w:rFonts w:hint="eastAsia" w:ascii="宋体" w:hAnsi="宋体" w:cs="宋体"/>
                <w:kern w:val="2"/>
                <w:sz w:val="21"/>
                <w:szCs w:val="21"/>
              </w:rPr>
            </w:pPr>
            <w:r>
              <w:rPr>
                <w:rFonts w:hint="eastAsia" w:ascii="宋体" w:hAnsi="宋体" w:cs="宋体"/>
                <w:kern w:val="2"/>
                <w:sz w:val="21"/>
                <w:szCs w:val="21"/>
              </w:rPr>
              <w:t>（1）投标人信用情况网页截图内容与在“国家企业信用信息公示系统”中严重违法失信名单（黑名单）信息（不含分公司）或在“信用中国”网站“中失信被执行人、经营(活动)异常名录、重大税收违法失信主体、政府采购严重违法失信行为记录名单（均不含分公司）的复核结果一致。</w:t>
            </w:r>
          </w:p>
          <w:p w14:paraId="468D78E1">
            <w:pPr>
              <w:snapToGrid w:val="0"/>
              <w:spacing w:line="320" w:lineRule="exact"/>
              <w:ind w:firstLine="327" w:firstLineChars="156"/>
              <w:rPr>
                <w:rFonts w:hint="eastAsia" w:ascii="宋体" w:hAnsi="宋体" w:cs="宋体"/>
                <w:kern w:val="2"/>
                <w:sz w:val="21"/>
                <w:szCs w:val="21"/>
              </w:rPr>
            </w:pPr>
            <w:r>
              <w:rPr>
                <w:rFonts w:hint="eastAsia" w:ascii="宋体" w:hAnsi="宋体" w:cs="宋体"/>
                <w:kern w:val="2"/>
                <w:sz w:val="21"/>
                <w:szCs w:val="21"/>
              </w:rPr>
              <w:t>如投标人未提供相关网页截图或所附截图与复核结果不一致导致不能满足资格评审要求的，评标委员会应否决其投标。</w:t>
            </w:r>
          </w:p>
          <w:p w14:paraId="3C631C2A">
            <w:pPr>
              <w:autoSpaceDE w:val="0"/>
              <w:autoSpaceDN w:val="0"/>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413C5B96">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lang w:bidi="ar"/>
              </w:rPr>
              <w:t>投标人应保证本款所附的全部截图的真实性。</w:t>
            </w:r>
            <w:r>
              <w:rPr>
                <w:rFonts w:hint="eastAsia" w:ascii="宋体" w:hAnsi="宋体" w:cs="宋体"/>
                <w:kern w:val="2"/>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63389732">
      <w:pPr>
        <w:wordWrap w:val="0"/>
        <w:autoSpaceDE w:val="0"/>
        <w:autoSpaceDN w:val="0"/>
        <w:adjustRightInd w:val="0"/>
        <w:ind w:right="-20"/>
        <w:jc w:val="left"/>
        <w:rPr>
          <w:spacing w:val="2"/>
          <w:kern w:val="0"/>
          <w:szCs w:val="24"/>
        </w:rPr>
      </w:pPr>
    </w:p>
    <w:p w14:paraId="0D0D357B">
      <w:pPr>
        <w:wordWrap w:val="0"/>
        <w:autoSpaceDE w:val="0"/>
        <w:autoSpaceDN w:val="0"/>
        <w:adjustRightInd w:val="0"/>
        <w:ind w:right="-20"/>
        <w:jc w:val="left"/>
        <w:rPr>
          <w:spacing w:val="2"/>
          <w:kern w:val="0"/>
          <w:szCs w:val="24"/>
        </w:rPr>
      </w:pPr>
    </w:p>
    <w:p w14:paraId="4EC95AC4">
      <w:pPr>
        <w:rPr>
          <w:rFonts w:hint="eastAsia" w:ascii="宋体" w:hAnsi="宋体" w:cs="宋体"/>
          <w:spacing w:val="2"/>
          <w:kern w:val="2"/>
          <w:szCs w:val="24"/>
        </w:rPr>
      </w:pPr>
      <w:r>
        <w:rPr>
          <w:spacing w:val="2"/>
          <w:kern w:val="0"/>
          <w:szCs w:val="24"/>
        </w:rPr>
        <w:br w:type="page"/>
      </w:r>
      <w:r>
        <w:rPr>
          <w:rFonts w:hint="eastAsia" w:ascii="宋体" w:hAnsi="宋体" w:cs="宋体"/>
          <w:kern w:val="2"/>
          <w:szCs w:val="24"/>
          <w:lang w:bidi="ar"/>
        </w:rPr>
        <w:t>具体</w:t>
      </w:r>
      <w:r>
        <w:rPr>
          <w:rFonts w:hint="eastAsia" w:ascii="宋体" w:hAnsi="宋体" w:cs="宋体"/>
          <w:kern w:val="2"/>
          <w:sz w:val="21"/>
          <w:szCs w:val="21"/>
          <w:lang w:bidi="ar"/>
        </w:rPr>
        <w:t xml:space="preserve">评分标准如下： </w:t>
      </w:r>
    </w:p>
    <w:tbl>
      <w:tblPr>
        <w:tblStyle w:val="16"/>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1038"/>
        <w:gridCol w:w="1233"/>
        <w:gridCol w:w="989"/>
        <w:gridCol w:w="4925"/>
      </w:tblGrid>
      <w:tr w14:paraId="6AFC1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785" w:type="dxa"/>
            <w:gridSpan w:val="5"/>
            <w:shd w:val="clear" w:color="000000" w:fill="FFFFFF"/>
            <w:vAlign w:val="center"/>
          </w:tcPr>
          <w:p w14:paraId="1DABFC0E">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评分因素与权重分值</w:t>
            </w:r>
          </w:p>
        </w:tc>
        <w:tc>
          <w:tcPr>
            <w:tcW w:w="4925" w:type="dxa"/>
            <w:vMerge w:val="restart"/>
            <w:shd w:val="clear" w:color="000000" w:fill="FFFFFF"/>
            <w:vAlign w:val="center"/>
          </w:tcPr>
          <w:p w14:paraId="69F1594F">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评分标准</w:t>
            </w:r>
          </w:p>
        </w:tc>
      </w:tr>
      <w:tr w14:paraId="6166C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vAlign w:val="center"/>
          </w:tcPr>
          <w:p w14:paraId="64E588D7">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条款号</w:t>
            </w:r>
          </w:p>
        </w:tc>
        <w:tc>
          <w:tcPr>
            <w:tcW w:w="709" w:type="dxa"/>
            <w:shd w:val="clear" w:color="000000" w:fill="FFFFFF"/>
            <w:vAlign w:val="center"/>
          </w:tcPr>
          <w:p w14:paraId="54BF9884">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评分因素</w:t>
            </w:r>
          </w:p>
        </w:tc>
        <w:tc>
          <w:tcPr>
            <w:tcW w:w="1038" w:type="dxa"/>
            <w:shd w:val="clear" w:color="000000" w:fill="FFFFFF"/>
            <w:vAlign w:val="center"/>
          </w:tcPr>
          <w:p w14:paraId="554AD5D2">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评分因素权重分值</w:t>
            </w:r>
          </w:p>
        </w:tc>
        <w:tc>
          <w:tcPr>
            <w:tcW w:w="1233" w:type="dxa"/>
            <w:shd w:val="clear" w:color="000000" w:fill="FFFFFF"/>
            <w:vAlign w:val="center"/>
          </w:tcPr>
          <w:p w14:paraId="32F9B946">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各评分因素</w:t>
            </w:r>
          </w:p>
          <w:p w14:paraId="3145800E">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细分项</w:t>
            </w:r>
          </w:p>
        </w:tc>
        <w:tc>
          <w:tcPr>
            <w:tcW w:w="989" w:type="dxa"/>
            <w:shd w:val="clear" w:color="000000" w:fill="FFFFFF"/>
            <w:vAlign w:val="center"/>
          </w:tcPr>
          <w:p w14:paraId="524E79D1">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分值</w:t>
            </w:r>
          </w:p>
        </w:tc>
        <w:tc>
          <w:tcPr>
            <w:tcW w:w="4925" w:type="dxa"/>
            <w:vMerge w:val="continue"/>
            <w:shd w:val="clear" w:color="000000" w:fill="FFFFFF"/>
          </w:tcPr>
          <w:p w14:paraId="27A433E0">
            <w:pPr>
              <w:autoSpaceDE w:val="0"/>
              <w:autoSpaceDN w:val="0"/>
              <w:adjustRightInd w:val="0"/>
              <w:snapToGrid w:val="0"/>
              <w:spacing w:line="320" w:lineRule="exact"/>
              <w:rPr>
                <w:rFonts w:hint="eastAsia" w:ascii="宋体" w:hAnsi="宋体" w:cs="宋体"/>
                <w:kern w:val="2"/>
                <w:sz w:val="21"/>
                <w:szCs w:val="21"/>
                <w:lang w:val="zh-CN"/>
              </w:rPr>
            </w:pPr>
          </w:p>
        </w:tc>
      </w:tr>
      <w:tr w14:paraId="575FB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816" w:type="dxa"/>
            <w:vMerge w:val="restart"/>
            <w:shd w:val="clear" w:color="000000" w:fill="FFFFFF"/>
            <w:vAlign w:val="center"/>
          </w:tcPr>
          <w:p w14:paraId="404274E2">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2.2.2</w:t>
            </w:r>
          </w:p>
          <w:p w14:paraId="508AE322">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(1)</w:t>
            </w:r>
          </w:p>
        </w:tc>
        <w:tc>
          <w:tcPr>
            <w:tcW w:w="709" w:type="dxa"/>
            <w:vMerge w:val="restart"/>
            <w:shd w:val="clear" w:color="000000" w:fill="FFFFFF"/>
            <w:vAlign w:val="center"/>
          </w:tcPr>
          <w:p w14:paraId="7B3871CE">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商务部分</w:t>
            </w:r>
          </w:p>
        </w:tc>
        <w:tc>
          <w:tcPr>
            <w:tcW w:w="1038" w:type="dxa"/>
            <w:vMerge w:val="restart"/>
            <w:shd w:val="clear" w:color="000000" w:fill="FFFFFF"/>
            <w:vAlign w:val="center"/>
          </w:tcPr>
          <w:p w14:paraId="3F72DF9A">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w:t>
            </w:r>
          </w:p>
        </w:tc>
        <w:tc>
          <w:tcPr>
            <w:tcW w:w="1233" w:type="dxa"/>
            <w:shd w:val="clear" w:color="000000" w:fill="FFFFFF"/>
            <w:vAlign w:val="center"/>
          </w:tcPr>
          <w:p w14:paraId="34F8E2D9">
            <w:pPr>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w:t>
            </w:r>
          </w:p>
        </w:tc>
        <w:tc>
          <w:tcPr>
            <w:tcW w:w="989" w:type="dxa"/>
            <w:shd w:val="clear" w:color="000000" w:fill="FFFFFF"/>
            <w:vAlign w:val="center"/>
          </w:tcPr>
          <w:p w14:paraId="4B2378BF">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w:t>
            </w:r>
          </w:p>
        </w:tc>
        <w:tc>
          <w:tcPr>
            <w:tcW w:w="4925" w:type="dxa"/>
            <w:tcBorders>
              <w:bottom w:val="single" w:color="000000" w:sz="4" w:space="0"/>
            </w:tcBorders>
            <w:shd w:val="clear" w:color="000000" w:fill="FFFFFF"/>
            <w:vAlign w:val="center"/>
          </w:tcPr>
          <w:p w14:paraId="2ADC1007">
            <w:pPr>
              <w:snapToGrid w:val="0"/>
              <w:spacing w:line="320" w:lineRule="exact"/>
              <w:rPr>
                <w:rFonts w:hint="eastAsia" w:ascii="宋体" w:hAnsi="宋体" w:cs="宋体"/>
                <w:kern w:val="2"/>
                <w:sz w:val="21"/>
                <w:szCs w:val="21"/>
              </w:rPr>
            </w:pPr>
            <w:r>
              <w:rPr>
                <w:rFonts w:hint="eastAsia" w:ascii="宋体" w:hAnsi="宋体" w:cs="宋体"/>
                <w:kern w:val="2"/>
                <w:sz w:val="21"/>
                <w:szCs w:val="21"/>
              </w:rPr>
              <w:t>/</w:t>
            </w:r>
          </w:p>
        </w:tc>
      </w:tr>
      <w:tr w14:paraId="0D0DB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6" w:hRule="atLeast"/>
          <w:jc w:val="center"/>
        </w:trPr>
        <w:tc>
          <w:tcPr>
            <w:tcW w:w="816" w:type="dxa"/>
            <w:vMerge w:val="restart"/>
            <w:shd w:val="clear" w:color="000000" w:fill="FFFFFF"/>
            <w:vAlign w:val="center"/>
          </w:tcPr>
          <w:p w14:paraId="0D35472A">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2.2.2</w:t>
            </w:r>
          </w:p>
          <w:p w14:paraId="4FF7DE7D">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w:t>
            </w:r>
          </w:p>
        </w:tc>
        <w:tc>
          <w:tcPr>
            <w:tcW w:w="709" w:type="dxa"/>
            <w:vMerge w:val="restart"/>
            <w:shd w:val="clear" w:color="000000" w:fill="FFFFFF"/>
            <w:vAlign w:val="center"/>
          </w:tcPr>
          <w:p w14:paraId="731F3F25">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技术部分</w:t>
            </w:r>
          </w:p>
        </w:tc>
        <w:tc>
          <w:tcPr>
            <w:tcW w:w="1038" w:type="dxa"/>
            <w:vMerge w:val="restart"/>
            <w:shd w:val="clear" w:color="000000" w:fill="FFFFFF"/>
            <w:vAlign w:val="center"/>
          </w:tcPr>
          <w:p w14:paraId="10C65133">
            <w:pPr>
              <w:autoSpaceDE w:val="0"/>
              <w:autoSpaceDN w:val="0"/>
              <w:adjustRightInd w:val="0"/>
              <w:snapToGrid w:val="0"/>
              <w:spacing w:line="320" w:lineRule="exact"/>
              <w:jc w:val="center"/>
              <w:rPr>
                <w:kern w:val="2"/>
                <w:sz w:val="21"/>
                <w:szCs w:val="22"/>
                <w:lang w:val="zh-CN"/>
              </w:rPr>
            </w:pPr>
            <w:r>
              <w:rPr>
                <w:rFonts w:hint="eastAsia" w:ascii="宋体" w:hAnsi="宋体" w:cs="宋体"/>
                <w:kern w:val="2"/>
                <w:sz w:val="21"/>
                <w:szCs w:val="21"/>
              </w:rPr>
              <w:t>100</w:t>
            </w:r>
            <w:r>
              <w:rPr>
                <w:rFonts w:hint="eastAsia" w:ascii="宋体" w:hAnsi="宋体" w:cs="宋体"/>
                <w:kern w:val="2"/>
                <w:sz w:val="21"/>
                <w:szCs w:val="21"/>
                <w:lang w:val="zh-CN"/>
              </w:rPr>
              <w:t>分</w:t>
            </w:r>
          </w:p>
        </w:tc>
        <w:tc>
          <w:tcPr>
            <w:tcW w:w="1233" w:type="dxa"/>
            <w:shd w:val="clear" w:color="000000" w:fill="FFFFFF"/>
            <w:vAlign w:val="center"/>
          </w:tcPr>
          <w:p w14:paraId="2325D497">
            <w:pPr>
              <w:snapToGrid w:val="0"/>
              <w:spacing w:line="320" w:lineRule="exact"/>
              <w:jc w:val="center"/>
              <w:rPr>
                <w:rFonts w:ascii="Calibri" w:hAnsi="Calibri"/>
                <w:kern w:val="0"/>
                <w:sz w:val="21"/>
                <w:szCs w:val="21"/>
                <w:lang w:eastAsia="en-US"/>
              </w:rPr>
            </w:pPr>
            <w:r>
              <w:rPr>
                <w:rFonts w:hint="eastAsia" w:ascii="Calibri" w:hAnsi="Calibri"/>
                <w:kern w:val="0"/>
                <w:sz w:val="21"/>
                <w:szCs w:val="21"/>
                <w:lang w:eastAsia="en-US"/>
              </w:rPr>
              <w:t>投标设备整体评价</w:t>
            </w:r>
          </w:p>
        </w:tc>
        <w:tc>
          <w:tcPr>
            <w:tcW w:w="989" w:type="dxa"/>
            <w:shd w:val="clear" w:color="000000" w:fill="FFFFFF"/>
            <w:vAlign w:val="center"/>
          </w:tcPr>
          <w:p w14:paraId="7D596E22">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30分</w:t>
            </w:r>
          </w:p>
        </w:tc>
        <w:tc>
          <w:tcPr>
            <w:tcW w:w="4925" w:type="dxa"/>
            <w:shd w:val="clear" w:color="000000" w:fill="FFFFFF"/>
            <w:vAlign w:val="center"/>
          </w:tcPr>
          <w:p w14:paraId="6AE300EA">
            <w:pPr>
              <w:autoSpaceDE w:val="0"/>
              <w:autoSpaceDN w:val="0"/>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1.设备整体性能优越、功能齐全、完善，自动化水平高，完全满足招标文件要求，得24-30分；</w:t>
            </w:r>
          </w:p>
          <w:p w14:paraId="21A706DF">
            <w:pPr>
              <w:autoSpaceDE w:val="0"/>
              <w:autoSpaceDN w:val="0"/>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2.设备整体性能较高、功能较齐全、较完善，自动化水平较高，满足招标文件要求，得18-24分；</w:t>
            </w:r>
          </w:p>
          <w:p w14:paraId="1FBF6837">
            <w:pPr>
              <w:autoSpaceDE w:val="0"/>
              <w:autoSpaceDN w:val="0"/>
              <w:adjustRightInd w:val="0"/>
              <w:snapToGrid w:val="0"/>
              <w:spacing w:line="320" w:lineRule="exact"/>
              <w:rPr>
                <w:rFonts w:hint="eastAsia" w:ascii="宋体" w:hAnsi="宋体" w:cs="宋体"/>
                <w:kern w:val="2"/>
                <w:sz w:val="21"/>
                <w:szCs w:val="21"/>
                <w:lang w:val="zh-CN"/>
              </w:rPr>
            </w:pPr>
            <w:r>
              <w:rPr>
                <w:rFonts w:hint="eastAsia" w:ascii="宋体" w:hAnsi="宋体" w:cs="宋体"/>
                <w:kern w:val="2"/>
                <w:sz w:val="21"/>
                <w:szCs w:val="21"/>
              </w:rPr>
              <w:t>3.设备整体性能一般，功能一般，自动化水平一般，基本满足招标文件要求，得18分。</w:t>
            </w:r>
          </w:p>
        </w:tc>
      </w:tr>
      <w:tr w14:paraId="41AFC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816" w:type="dxa"/>
            <w:vMerge w:val="continue"/>
            <w:shd w:val="clear" w:color="000000" w:fill="FFFFFF"/>
            <w:vAlign w:val="center"/>
          </w:tcPr>
          <w:p w14:paraId="6287EF90">
            <w:pPr>
              <w:autoSpaceDE w:val="0"/>
              <w:autoSpaceDN w:val="0"/>
              <w:adjustRightInd w:val="0"/>
              <w:snapToGrid w:val="0"/>
              <w:spacing w:line="320" w:lineRule="exact"/>
              <w:jc w:val="center"/>
              <w:rPr>
                <w:rFonts w:hint="eastAsia" w:ascii="宋体" w:hAnsi="宋体" w:cs="宋体"/>
                <w:kern w:val="2"/>
                <w:sz w:val="21"/>
                <w:szCs w:val="21"/>
              </w:rPr>
            </w:pPr>
          </w:p>
        </w:tc>
        <w:tc>
          <w:tcPr>
            <w:tcW w:w="709" w:type="dxa"/>
            <w:vMerge w:val="continue"/>
            <w:shd w:val="clear" w:color="000000" w:fill="FFFFFF"/>
            <w:vAlign w:val="center"/>
          </w:tcPr>
          <w:p w14:paraId="13FE4D11">
            <w:pPr>
              <w:autoSpaceDE w:val="0"/>
              <w:autoSpaceDN w:val="0"/>
              <w:adjustRightInd w:val="0"/>
              <w:snapToGrid w:val="0"/>
              <w:spacing w:line="320" w:lineRule="exact"/>
              <w:jc w:val="center"/>
              <w:rPr>
                <w:rFonts w:hint="eastAsia" w:ascii="宋体" w:hAnsi="宋体" w:cs="宋体"/>
                <w:kern w:val="2"/>
                <w:sz w:val="21"/>
                <w:szCs w:val="21"/>
                <w:lang w:val="zh-CN"/>
              </w:rPr>
            </w:pPr>
          </w:p>
        </w:tc>
        <w:tc>
          <w:tcPr>
            <w:tcW w:w="1038" w:type="dxa"/>
            <w:vMerge w:val="continue"/>
            <w:shd w:val="clear" w:color="000000" w:fill="FFFFFF"/>
            <w:vAlign w:val="center"/>
          </w:tcPr>
          <w:p w14:paraId="1DDF5248">
            <w:pPr>
              <w:autoSpaceDE w:val="0"/>
              <w:autoSpaceDN w:val="0"/>
              <w:adjustRightInd w:val="0"/>
              <w:snapToGrid w:val="0"/>
              <w:spacing w:line="320" w:lineRule="exact"/>
              <w:jc w:val="center"/>
              <w:rPr>
                <w:rFonts w:hint="eastAsia" w:ascii="宋体" w:hAnsi="宋体" w:cs="宋体"/>
                <w:kern w:val="2"/>
                <w:sz w:val="21"/>
                <w:szCs w:val="21"/>
              </w:rPr>
            </w:pPr>
          </w:p>
        </w:tc>
        <w:tc>
          <w:tcPr>
            <w:tcW w:w="1233" w:type="dxa"/>
            <w:shd w:val="clear" w:color="000000" w:fill="FFFFFF"/>
            <w:vAlign w:val="center"/>
          </w:tcPr>
          <w:p w14:paraId="1B64441D">
            <w:pPr>
              <w:snapToGrid w:val="0"/>
              <w:spacing w:line="320" w:lineRule="exact"/>
              <w:jc w:val="center"/>
              <w:rPr>
                <w:rFonts w:ascii="Calibri" w:hAnsi="Calibri"/>
                <w:kern w:val="0"/>
                <w:sz w:val="21"/>
                <w:szCs w:val="21"/>
              </w:rPr>
            </w:pPr>
            <w:r>
              <w:rPr>
                <w:rFonts w:hint="eastAsia" w:ascii="Calibri" w:hAnsi="Calibri"/>
                <w:kern w:val="0"/>
                <w:sz w:val="21"/>
                <w:szCs w:val="21"/>
              </w:rPr>
              <w:t>投标设备技术性能指标响应程度</w:t>
            </w:r>
          </w:p>
        </w:tc>
        <w:tc>
          <w:tcPr>
            <w:tcW w:w="989" w:type="dxa"/>
            <w:shd w:val="clear" w:color="000000" w:fill="FFFFFF"/>
            <w:vAlign w:val="center"/>
          </w:tcPr>
          <w:p w14:paraId="7095C999">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30分</w:t>
            </w:r>
          </w:p>
        </w:tc>
        <w:tc>
          <w:tcPr>
            <w:tcW w:w="4925" w:type="dxa"/>
            <w:shd w:val="clear" w:color="000000" w:fill="FFFFFF"/>
          </w:tcPr>
          <w:p w14:paraId="3D63F435">
            <w:pPr>
              <w:autoSpaceDE w:val="0"/>
              <w:autoSpaceDN w:val="0"/>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1.投标产品选型合理，主要组成部件的技术性能参数及功能参数指标高，实用性强、产品设计科学合理、质量可靠，得24-30分；</w:t>
            </w:r>
          </w:p>
          <w:p w14:paraId="3E9C7862">
            <w:pPr>
              <w:autoSpaceDE w:val="0"/>
              <w:autoSpaceDN w:val="0"/>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2.投标产品选型较合理，主要组成部件的技术性能参数及功能参数指标较高，实用性较强、产品设计较合理、质量较可靠，得18-24分；</w:t>
            </w:r>
          </w:p>
          <w:p w14:paraId="13C32D5B">
            <w:pPr>
              <w:autoSpaceDE w:val="0"/>
              <w:autoSpaceDN w:val="0"/>
              <w:adjustRightInd w:val="0"/>
              <w:snapToGrid w:val="0"/>
              <w:spacing w:line="320" w:lineRule="exact"/>
              <w:rPr>
                <w:rFonts w:hint="eastAsia" w:ascii="宋体" w:hAnsi="宋体" w:cs="宋体"/>
                <w:kern w:val="2"/>
                <w:sz w:val="21"/>
                <w:szCs w:val="21"/>
                <w:lang w:val="zh-CN"/>
              </w:rPr>
            </w:pPr>
            <w:r>
              <w:rPr>
                <w:rFonts w:hint="eastAsia" w:ascii="宋体" w:hAnsi="宋体" w:cs="宋体"/>
                <w:kern w:val="2"/>
                <w:sz w:val="21"/>
                <w:szCs w:val="21"/>
              </w:rPr>
              <w:t>3.投标产品选型一般，主要组成部件的技术性能参数及功能参数指标一般，实用性一般、产品设计一般、质量一般，得18分。</w:t>
            </w:r>
          </w:p>
        </w:tc>
      </w:tr>
      <w:tr w14:paraId="2ED90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3" w:hRule="atLeast"/>
          <w:jc w:val="center"/>
        </w:trPr>
        <w:tc>
          <w:tcPr>
            <w:tcW w:w="816" w:type="dxa"/>
            <w:vMerge w:val="continue"/>
            <w:shd w:val="clear" w:color="000000" w:fill="FFFFFF"/>
            <w:vAlign w:val="center"/>
          </w:tcPr>
          <w:p w14:paraId="0FC50037">
            <w:pPr>
              <w:autoSpaceDE w:val="0"/>
              <w:autoSpaceDN w:val="0"/>
              <w:adjustRightInd w:val="0"/>
              <w:snapToGrid w:val="0"/>
              <w:spacing w:line="320" w:lineRule="exact"/>
              <w:jc w:val="center"/>
              <w:rPr>
                <w:rFonts w:hint="eastAsia" w:ascii="宋体" w:hAnsi="宋体" w:cs="宋体"/>
                <w:kern w:val="2"/>
                <w:sz w:val="21"/>
                <w:szCs w:val="21"/>
              </w:rPr>
            </w:pPr>
          </w:p>
        </w:tc>
        <w:tc>
          <w:tcPr>
            <w:tcW w:w="709" w:type="dxa"/>
            <w:vMerge w:val="continue"/>
            <w:shd w:val="clear" w:color="000000" w:fill="FFFFFF"/>
            <w:vAlign w:val="center"/>
          </w:tcPr>
          <w:p w14:paraId="13A5FB0D">
            <w:pPr>
              <w:autoSpaceDE w:val="0"/>
              <w:autoSpaceDN w:val="0"/>
              <w:adjustRightInd w:val="0"/>
              <w:snapToGrid w:val="0"/>
              <w:spacing w:line="320" w:lineRule="exact"/>
              <w:jc w:val="center"/>
              <w:rPr>
                <w:rFonts w:hint="eastAsia" w:ascii="宋体" w:hAnsi="宋体" w:cs="宋体"/>
                <w:kern w:val="2"/>
                <w:sz w:val="21"/>
                <w:szCs w:val="21"/>
                <w:lang w:val="zh-CN"/>
              </w:rPr>
            </w:pPr>
          </w:p>
        </w:tc>
        <w:tc>
          <w:tcPr>
            <w:tcW w:w="1038" w:type="dxa"/>
            <w:vMerge w:val="continue"/>
            <w:shd w:val="clear" w:color="000000" w:fill="FFFFFF"/>
            <w:vAlign w:val="center"/>
          </w:tcPr>
          <w:p w14:paraId="619CD69F">
            <w:pPr>
              <w:autoSpaceDE w:val="0"/>
              <w:autoSpaceDN w:val="0"/>
              <w:adjustRightInd w:val="0"/>
              <w:snapToGrid w:val="0"/>
              <w:spacing w:line="320" w:lineRule="exact"/>
              <w:jc w:val="center"/>
              <w:rPr>
                <w:rFonts w:hint="eastAsia" w:ascii="宋体" w:hAnsi="宋体" w:cs="宋体"/>
                <w:kern w:val="2"/>
                <w:sz w:val="21"/>
                <w:szCs w:val="21"/>
              </w:rPr>
            </w:pPr>
          </w:p>
        </w:tc>
        <w:tc>
          <w:tcPr>
            <w:tcW w:w="1233" w:type="dxa"/>
            <w:tcBorders>
              <w:top w:val="single" w:color="auto" w:sz="4" w:space="0"/>
            </w:tcBorders>
            <w:shd w:val="clear" w:color="000000" w:fill="FFFFFF"/>
            <w:vAlign w:val="center"/>
          </w:tcPr>
          <w:p w14:paraId="58E274BE">
            <w:pPr>
              <w:snapToGrid w:val="0"/>
              <w:spacing w:line="320" w:lineRule="exact"/>
              <w:jc w:val="center"/>
              <w:rPr>
                <w:rFonts w:ascii="Calibri" w:hAnsi="Calibri"/>
                <w:kern w:val="0"/>
                <w:sz w:val="21"/>
                <w:szCs w:val="21"/>
              </w:rPr>
            </w:pPr>
            <w:r>
              <w:rPr>
                <w:rFonts w:hint="eastAsia" w:ascii="Calibri" w:hAnsi="Calibri"/>
                <w:kern w:val="0"/>
                <w:sz w:val="21"/>
                <w:szCs w:val="21"/>
              </w:rPr>
              <w:t>供货能力及进度保障（暗标）</w:t>
            </w:r>
          </w:p>
        </w:tc>
        <w:tc>
          <w:tcPr>
            <w:tcW w:w="989" w:type="dxa"/>
            <w:shd w:val="clear" w:color="000000" w:fill="FFFFFF"/>
            <w:vAlign w:val="center"/>
          </w:tcPr>
          <w:p w14:paraId="02A574D8">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20分</w:t>
            </w:r>
          </w:p>
        </w:tc>
        <w:tc>
          <w:tcPr>
            <w:tcW w:w="4925" w:type="dxa"/>
            <w:shd w:val="clear" w:color="000000" w:fill="FFFFFF"/>
          </w:tcPr>
          <w:p w14:paraId="20803173">
            <w:pPr>
              <w:snapToGrid w:val="0"/>
              <w:spacing w:line="320" w:lineRule="exact"/>
              <w:rPr>
                <w:rFonts w:hint="eastAsia" w:ascii="宋体" w:hAnsi="宋体" w:cs="宋体"/>
                <w:kern w:val="2"/>
                <w:sz w:val="21"/>
                <w:szCs w:val="21"/>
              </w:rPr>
            </w:pPr>
            <w:r>
              <w:rPr>
                <w:rFonts w:hint="eastAsia" w:ascii="宋体" w:hAnsi="宋体" w:cs="宋体"/>
                <w:kern w:val="2"/>
                <w:sz w:val="21"/>
                <w:szCs w:val="21"/>
              </w:rPr>
              <w:t>1.投标人提供的供货方案切实可行、供货能力强、交货进度有保障、能够保质保量的完成供货，针对供货过程中的特殊情况有预案，得16-20分；</w:t>
            </w:r>
          </w:p>
          <w:p w14:paraId="70F5DE58">
            <w:pPr>
              <w:snapToGrid w:val="0"/>
              <w:spacing w:line="320" w:lineRule="exact"/>
              <w:rPr>
                <w:rFonts w:hint="eastAsia" w:ascii="宋体" w:hAnsi="宋体" w:cs="宋体"/>
                <w:kern w:val="2"/>
                <w:sz w:val="21"/>
                <w:szCs w:val="21"/>
              </w:rPr>
            </w:pPr>
            <w:r>
              <w:rPr>
                <w:rFonts w:hint="eastAsia" w:ascii="宋体" w:hAnsi="宋体" w:cs="宋体"/>
                <w:kern w:val="2"/>
                <w:sz w:val="21"/>
                <w:szCs w:val="21"/>
              </w:rPr>
              <w:t>2.投标人提供的供货方案可行、供货能力较强、交货进度满足招标文件要求，得12-16分；</w:t>
            </w:r>
          </w:p>
          <w:p w14:paraId="235FD772">
            <w:pPr>
              <w:snapToGrid w:val="0"/>
              <w:spacing w:line="320" w:lineRule="exact"/>
              <w:rPr>
                <w:rFonts w:hint="eastAsia" w:ascii="宋体" w:hAnsi="宋体" w:cs="宋体"/>
                <w:kern w:val="2"/>
                <w:sz w:val="21"/>
                <w:szCs w:val="21"/>
                <w:lang w:val="zh-CN"/>
              </w:rPr>
            </w:pPr>
            <w:r>
              <w:rPr>
                <w:rFonts w:hint="eastAsia" w:ascii="宋体" w:hAnsi="宋体" w:cs="宋体"/>
                <w:kern w:val="2"/>
                <w:sz w:val="21"/>
                <w:szCs w:val="21"/>
              </w:rPr>
              <w:t>3.投标人提供的供货方案一般、供货能力一般、交货进度基本满足招标文件要求，得12分。</w:t>
            </w:r>
          </w:p>
        </w:tc>
      </w:tr>
      <w:tr w14:paraId="72F75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7" w:hRule="atLeast"/>
          <w:jc w:val="center"/>
        </w:trPr>
        <w:tc>
          <w:tcPr>
            <w:tcW w:w="816" w:type="dxa"/>
            <w:vMerge w:val="continue"/>
            <w:shd w:val="clear" w:color="000000" w:fill="FFFFFF"/>
            <w:vAlign w:val="center"/>
          </w:tcPr>
          <w:p w14:paraId="56B33990">
            <w:pPr>
              <w:autoSpaceDE w:val="0"/>
              <w:autoSpaceDN w:val="0"/>
              <w:adjustRightInd w:val="0"/>
              <w:snapToGrid w:val="0"/>
              <w:spacing w:line="320" w:lineRule="exact"/>
              <w:jc w:val="center"/>
              <w:rPr>
                <w:rFonts w:hint="eastAsia" w:ascii="宋体" w:hAnsi="宋体" w:cs="宋体"/>
                <w:kern w:val="2"/>
                <w:sz w:val="21"/>
                <w:szCs w:val="21"/>
              </w:rPr>
            </w:pPr>
          </w:p>
        </w:tc>
        <w:tc>
          <w:tcPr>
            <w:tcW w:w="709" w:type="dxa"/>
            <w:vMerge w:val="continue"/>
            <w:shd w:val="clear" w:color="000000" w:fill="FFFFFF"/>
            <w:vAlign w:val="center"/>
          </w:tcPr>
          <w:p w14:paraId="34B41DE8">
            <w:pPr>
              <w:autoSpaceDE w:val="0"/>
              <w:autoSpaceDN w:val="0"/>
              <w:adjustRightInd w:val="0"/>
              <w:snapToGrid w:val="0"/>
              <w:spacing w:line="320" w:lineRule="exact"/>
              <w:jc w:val="center"/>
              <w:rPr>
                <w:rFonts w:hint="eastAsia" w:ascii="宋体" w:hAnsi="宋体" w:cs="宋体"/>
                <w:kern w:val="2"/>
                <w:sz w:val="21"/>
                <w:szCs w:val="21"/>
                <w:lang w:val="zh-CN"/>
              </w:rPr>
            </w:pPr>
          </w:p>
        </w:tc>
        <w:tc>
          <w:tcPr>
            <w:tcW w:w="1038" w:type="dxa"/>
            <w:vMerge w:val="continue"/>
            <w:shd w:val="clear" w:color="000000" w:fill="FFFFFF"/>
            <w:vAlign w:val="center"/>
          </w:tcPr>
          <w:p w14:paraId="7CEC29E4">
            <w:pPr>
              <w:autoSpaceDE w:val="0"/>
              <w:autoSpaceDN w:val="0"/>
              <w:adjustRightInd w:val="0"/>
              <w:snapToGrid w:val="0"/>
              <w:spacing w:line="320" w:lineRule="exact"/>
              <w:jc w:val="center"/>
              <w:rPr>
                <w:rFonts w:hint="eastAsia" w:ascii="宋体" w:hAnsi="宋体" w:cs="宋体"/>
                <w:kern w:val="2"/>
                <w:sz w:val="21"/>
                <w:szCs w:val="21"/>
              </w:rPr>
            </w:pPr>
          </w:p>
        </w:tc>
        <w:tc>
          <w:tcPr>
            <w:tcW w:w="1233" w:type="dxa"/>
            <w:shd w:val="clear" w:color="000000" w:fill="FFFFFF"/>
            <w:vAlign w:val="center"/>
          </w:tcPr>
          <w:p w14:paraId="0B0FFD27">
            <w:pPr>
              <w:snapToGrid w:val="0"/>
              <w:spacing w:line="320" w:lineRule="exact"/>
              <w:jc w:val="center"/>
              <w:rPr>
                <w:rFonts w:ascii="Calibri" w:hAnsi="Calibri"/>
                <w:kern w:val="0"/>
                <w:sz w:val="21"/>
                <w:szCs w:val="21"/>
              </w:rPr>
            </w:pPr>
            <w:r>
              <w:rPr>
                <w:rFonts w:hint="eastAsia" w:ascii="Calibri" w:hAnsi="Calibri"/>
                <w:kern w:val="0"/>
                <w:sz w:val="21"/>
                <w:szCs w:val="21"/>
              </w:rPr>
              <w:t>技术服务及质保期服务（暗标）</w:t>
            </w:r>
          </w:p>
        </w:tc>
        <w:tc>
          <w:tcPr>
            <w:tcW w:w="989" w:type="dxa"/>
            <w:shd w:val="clear" w:color="000000" w:fill="FFFFFF"/>
            <w:vAlign w:val="center"/>
          </w:tcPr>
          <w:p w14:paraId="7F6F753D">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20分</w:t>
            </w:r>
          </w:p>
        </w:tc>
        <w:tc>
          <w:tcPr>
            <w:tcW w:w="4925" w:type="dxa"/>
            <w:tcBorders>
              <w:bottom w:val="single" w:color="auto" w:sz="4" w:space="0"/>
            </w:tcBorders>
            <w:shd w:val="clear" w:color="000000" w:fill="FFFFFF"/>
            <w:vAlign w:val="center"/>
          </w:tcPr>
          <w:p w14:paraId="71F1AE93">
            <w:pPr>
              <w:autoSpaceDE w:val="0"/>
              <w:autoSpaceDN w:val="0"/>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lang w:val="zh-CN"/>
              </w:rPr>
              <w:t>服务方案切实可行，针对性强，</w:t>
            </w:r>
            <w:r>
              <w:rPr>
                <w:rFonts w:hint="eastAsia" w:ascii="宋体" w:hAnsi="宋体" w:cs="宋体"/>
                <w:kern w:val="2"/>
                <w:sz w:val="21"/>
                <w:szCs w:val="21"/>
              </w:rPr>
              <w:t>服务体系完善</w:t>
            </w:r>
            <w:r>
              <w:rPr>
                <w:rFonts w:hint="eastAsia" w:ascii="宋体" w:hAnsi="宋体" w:cs="宋体"/>
                <w:kern w:val="2"/>
                <w:sz w:val="21"/>
                <w:szCs w:val="21"/>
                <w:lang w:val="zh-CN"/>
              </w:rPr>
              <w:t>，得</w:t>
            </w:r>
            <w:r>
              <w:rPr>
                <w:rFonts w:hint="eastAsia" w:ascii="宋体" w:hAnsi="宋体" w:cs="宋体"/>
                <w:kern w:val="2"/>
                <w:sz w:val="21"/>
                <w:szCs w:val="21"/>
              </w:rPr>
              <w:t>16</w:t>
            </w:r>
            <w:r>
              <w:rPr>
                <w:rFonts w:hint="eastAsia" w:ascii="宋体" w:hAnsi="宋体" w:cs="宋体"/>
                <w:kern w:val="2"/>
                <w:sz w:val="21"/>
                <w:szCs w:val="21"/>
                <w:lang w:val="zh-CN"/>
              </w:rPr>
              <w:t>-</w:t>
            </w:r>
            <w:r>
              <w:rPr>
                <w:rFonts w:hint="eastAsia" w:ascii="宋体" w:hAnsi="宋体" w:cs="宋体"/>
                <w:kern w:val="2"/>
                <w:sz w:val="21"/>
                <w:szCs w:val="21"/>
              </w:rPr>
              <w:t>20</w:t>
            </w:r>
            <w:r>
              <w:rPr>
                <w:rFonts w:hint="eastAsia" w:ascii="宋体" w:hAnsi="宋体" w:cs="宋体"/>
                <w:kern w:val="2"/>
                <w:sz w:val="21"/>
                <w:szCs w:val="21"/>
                <w:lang w:val="zh-CN"/>
              </w:rPr>
              <w:t>分；</w:t>
            </w:r>
          </w:p>
          <w:p w14:paraId="5FC342B3">
            <w:pPr>
              <w:snapToGrid w:val="0"/>
              <w:spacing w:line="320" w:lineRule="exact"/>
              <w:rPr>
                <w:rFonts w:hint="eastAsia" w:ascii="宋体" w:hAnsi="宋体" w:cs="宋体"/>
                <w:kern w:val="2"/>
                <w:sz w:val="21"/>
                <w:szCs w:val="21"/>
              </w:rPr>
            </w:pPr>
            <w:r>
              <w:rPr>
                <w:rFonts w:hint="eastAsia" w:ascii="宋体" w:hAnsi="宋体" w:cs="宋体"/>
                <w:kern w:val="2"/>
                <w:sz w:val="21"/>
                <w:szCs w:val="21"/>
                <w:lang w:val="zh-CN"/>
              </w:rPr>
              <w:t>服务方案较切实可行，针对性较强，</w:t>
            </w:r>
            <w:r>
              <w:rPr>
                <w:rFonts w:hint="eastAsia" w:ascii="宋体" w:hAnsi="宋体" w:cs="宋体"/>
                <w:kern w:val="2"/>
                <w:sz w:val="21"/>
                <w:szCs w:val="21"/>
              </w:rPr>
              <w:t>服务体系较完善</w:t>
            </w:r>
            <w:r>
              <w:rPr>
                <w:rFonts w:hint="eastAsia" w:ascii="宋体" w:hAnsi="宋体" w:cs="宋体"/>
                <w:kern w:val="2"/>
                <w:sz w:val="21"/>
                <w:szCs w:val="21"/>
                <w:lang w:val="zh-CN"/>
              </w:rPr>
              <w:t>，得</w:t>
            </w:r>
            <w:r>
              <w:rPr>
                <w:rFonts w:hint="eastAsia" w:ascii="宋体" w:hAnsi="宋体" w:cs="宋体"/>
                <w:kern w:val="2"/>
                <w:sz w:val="21"/>
                <w:szCs w:val="21"/>
              </w:rPr>
              <w:t>12</w:t>
            </w:r>
            <w:r>
              <w:rPr>
                <w:rFonts w:hint="eastAsia" w:ascii="宋体" w:hAnsi="宋体" w:cs="宋体"/>
                <w:kern w:val="2"/>
                <w:sz w:val="21"/>
                <w:szCs w:val="21"/>
                <w:lang w:val="zh-CN"/>
              </w:rPr>
              <w:t>-</w:t>
            </w:r>
            <w:r>
              <w:rPr>
                <w:rFonts w:hint="eastAsia" w:ascii="宋体" w:hAnsi="宋体" w:cs="宋体"/>
                <w:kern w:val="2"/>
                <w:sz w:val="21"/>
                <w:szCs w:val="21"/>
              </w:rPr>
              <w:t>16</w:t>
            </w:r>
            <w:r>
              <w:rPr>
                <w:rFonts w:hint="eastAsia" w:ascii="宋体" w:hAnsi="宋体" w:cs="宋体"/>
                <w:kern w:val="2"/>
                <w:sz w:val="21"/>
                <w:szCs w:val="21"/>
                <w:lang w:val="zh-CN"/>
              </w:rPr>
              <w:t>分；</w:t>
            </w:r>
          </w:p>
          <w:p w14:paraId="60E2AC42">
            <w:pPr>
              <w:snapToGrid w:val="0"/>
              <w:spacing w:line="320" w:lineRule="exact"/>
              <w:rPr>
                <w:rFonts w:hint="eastAsia" w:ascii="宋体" w:hAnsi="宋体" w:cs="宋体"/>
                <w:kern w:val="2"/>
                <w:sz w:val="21"/>
                <w:szCs w:val="21"/>
                <w:lang w:val="zh-CN"/>
              </w:rPr>
            </w:pPr>
            <w:r>
              <w:rPr>
                <w:rFonts w:hint="eastAsia" w:ascii="宋体" w:hAnsi="宋体" w:cs="宋体"/>
                <w:kern w:val="2"/>
                <w:sz w:val="21"/>
                <w:szCs w:val="21"/>
                <w:lang w:val="zh-CN"/>
              </w:rPr>
              <w:t>服务方案基本可行，</w:t>
            </w:r>
            <w:r>
              <w:rPr>
                <w:rFonts w:hint="eastAsia" w:ascii="宋体" w:hAnsi="宋体" w:cs="宋体"/>
                <w:kern w:val="2"/>
                <w:sz w:val="21"/>
                <w:szCs w:val="21"/>
              </w:rPr>
              <w:t>服务体系基本完善</w:t>
            </w:r>
            <w:r>
              <w:rPr>
                <w:rFonts w:hint="eastAsia" w:ascii="宋体" w:hAnsi="宋体" w:cs="宋体"/>
                <w:kern w:val="2"/>
                <w:sz w:val="21"/>
                <w:szCs w:val="21"/>
                <w:lang w:val="zh-CN"/>
              </w:rPr>
              <w:t>，得</w:t>
            </w:r>
            <w:r>
              <w:rPr>
                <w:rFonts w:hint="eastAsia" w:ascii="宋体" w:hAnsi="宋体" w:cs="宋体"/>
                <w:kern w:val="2"/>
                <w:sz w:val="21"/>
                <w:szCs w:val="21"/>
              </w:rPr>
              <w:t>12</w:t>
            </w:r>
            <w:r>
              <w:rPr>
                <w:rFonts w:hint="eastAsia" w:ascii="宋体" w:hAnsi="宋体" w:cs="宋体"/>
                <w:kern w:val="2"/>
                <w:sz w:val="21"/>
                <w:szCs w:val="21"/>
                <w:lang w:val="zh-CN"/>
              </w:rPr>
              <w:t>分；</w:t>
            </w:r>
          </w:p>
        </w:tc>
      </w:tr>
      <w:tr w14:paraId="2115E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166B3F4F">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2.2.2（3）</w:t>
            </w:r>
          </w:p>
        </w:tc>
        <w:tc>
          <w:tcPr>
            <w:tcW w:w="709" w:type="dxa"/>
            <w:shd w:val="clear" w:color="000000" w:fill="FFFFFF"/>
            <w:vAlign w:val="center"/>
          </w:tcPr>
          <w:p w14:paraId="2B687C9D">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其他因素</w:t>
            </w:r>
          </w:p>
        </w:tc>
        <w:tc>
          <w:tcPr>
            <w:tcW w:w="1038" w:type="dxa"/>
            <w:shd w:val="clear" w:color="000000" w:fill="FFFFFF"/>
            <w:vAlign w:val="center"/>
          </w:tcPr>
          <w:p w14:paraId="62814E60">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w:t>
            </w:r>
          </w:p>
        </w:tc>
        <w:tc>
          <w:tcPr>
            <w:tcW w:w="1233" w:type="dxa"/>
            <w:tcBorders>
              <w:right w:val="single" w:color="auto" w:sz="4" w:space="0"/>
            </w:tcBorders>
            <w:shd w:val="clear" w:color="000000" w:fill="FFFFFF"/>
            <w:vAlign w:val="center"/>
          </w:tcPr>
          <w:p w14:paraId="15A8B3AF">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w:t>
            </w:r>
          </w:p>
        </w:tc>
        <w:tc>
          <w:tcPr>
            <w:tcW w:w="989" w:type="dxa"/>
            <w:tcBorders>
              <w:left w:val="single" w:color="auto" w:sz="4" w:space="0"/>
              <w:right w:val="single" w:color="auto" w:sz="4" w:space="0"/>
            </w:tcBorders>
            <w:shd w:val="clear" w:color="000000" w:fill="FFFFFF"/>
            <w:vAlign w:val="center"/>
          </w:tcPr>
          <w:p w14:paraId="04020F41">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w:t>
            </w:r>
          </w:p>
        </w:tc>
        <w:tc>
          <w:tcPr>
            <w:tcW w:w="4925" w:type="dxa"/>
            <w:tcBorders>
              <w:left w:val="single" w:color="auto" w:sz="4" w:space="0"/>
            </w:tcBorders>
            <w:shd w:val="clear" w:color="000000" w:fill="FFFFFF"/>
            <w:vAlign w:val="center"/>
          </w:tcPr>
          <w:p w14:paraId="5E0FD973">
            <w:pPr>
              <w:autoSpaceDE w:val="0"/>
              <w:autoSpaceDN w:val="0"/>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w:t>
            </w:r>
          </w:p>
        </w:tc>
      </w:tr>
    </w:tbl>
    <w:p w14:paraId="60CDE175">
      <w:pPr>
        <w:adjustRightInd w:val="0"/>
        <w:spacing w:line="288" w:lineRule="auto"/>
        <w:rPr>
          <w:rFonts w:hint="eastAsia" w:ascii="宋体" w:hAnsi="宋体" w:cs="宋体"/>
          <w:kern w:val="2"/>
          <w:sz w:val="21"/>
          <w:szCs w:val="21"/>
        </w:rPr>
      </w:pPr>
      <w:r>
        <w:rPr>
          <w:rFonts w:hint="eastAsia" w:ascii="宋体" w:hAnsi="宋体" w:cs="宋体"/>
          <w:kern w:val="2"/>
          <w:sz w:val="21"/>
          <w:szCs w:val="21"/>
        </w:rPr>
        <w:t>注：1.评委打分保留一位小数，各评分因素得分应以评标委员会各成员的打分平均值确定，保留两位小数，第三位四舍五入。</w:t>
      </w:r>
    </w:p>
    <w:p w14:paraId="554F2B41">
      <w:pPr>
        <w:wordWrap w:val="0"/>
        <w:autoSpaceDE w:val="0"/>
        <w:autoSpaceDN w:val="0"/>
        <w:adjustRightInd w:val="0"/>
        <w:ind w:right="-20"/>
        <w:jc w:val="left"/>
        <w:rPr>
          <w:rFonts w:hint="eastAsia" w:ascii="宋体" w:hAnsi="宋体" w:cs="宋体"/>
          <w:kern w:val="2"/>
          <w:sz w:val="21"/>
          <w:szCs w:val="21"/>
        </w:rPr>
      </w:pPr>
      <w:r>
        <w:rPr>
          <w:rFonts w:hint="eastAsia" w:ascii="宋体" w:hAnsi="宋体" w:cs="宋体"/>
          <w:kern w:val="2"/>
          <w:sz w:val="21"/>
          <w:szCs w:val="21"/>
        </w:rPr>
        <w:t>2.技术部分评分因素缺项则该项得0分。</w:t>
      </w:r>
    </w:p>
    <w:p w14:paraId="593B5014">
      <w:pPr>
        <w:wordWrap w:val="0"/>
        <w:autoSpaceDE w:val="0"/>
        <w:autoSpaceDN w:val="0"/>
        <w:adjustRightInd w:val="0"/>
        <w:ind w:right="-20"/>
        <w:jc w:val="left"/>
        <w:outlineLvl w:val="3"/>
        <w:rPr>
          <w:b/>
          <w:kern w:val="2"/>
          <w:sz w:val="28"/>
          <w:szCs w:val="28"/>
        </w:rPr>
      </w:pPr>
      <w:r>
        <w:rPr>
          <w:rFonts w:hint="eastAsia" w:ascii="宋体" w:hAnsi="宋体" w:cs="宋体"/>
          <w:kern w:val="2"/>
          <w:sz w:val="21"/>
          <w:szCs w:val="21"/>
        </w:rPr>
        <w:br w:type="page"/>
      </w:r>
      <w:bookmarkStart w:id="2" w:name="_Hlk192057202"/>
      <w:r>
        <w:rPr>
          <w:rFonts w:hint="eastAsia"/>
          <w:b/>
          <w:kern w:val="2"/>
          <w:sz w:val="28"/>
          <w:szCs w:val="28"/>
        </w:rPr>
        <w:t>附件3：</w:t>
      </w:r>
      <w:r>
        <w:rPr>
          <w:b/>
          <w:kern w:val="2"/>
          <w:sz w:val="28"/>
          <w:szCs w:val="28"/>
        </w:rPr>
        <w:t>设备需求一览表</w:t>
      </w:r>
      <w:bookmarkEnd w:id="2"/>
    </w:p>
    <w:p w14:paraId="537BE595">
      <w:pPr>
        <w:tabs>
          <w:tab w:val="left" w:pos="0"/>
        </w:tabs>
        <w:snapToGrid w:val="0"/>
        <w:spacing w:line="360" w:lineRule="auto"/>
        <w:ind w:firstLine="480" w:firstLineChars="200"/>
        <w:jc w:val="center"/>
        <w:rPr>
          <w:rFonts w:hint="eastAsia" w:ascii="宋体" w:hAnsi="宋体" w:cs="宋体"/>
          <w:kern w:val="2"/>
          <w:szCs w:val="24"/>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94"/>
        <w:gridCol w:w="2577"/>
        <w:gridCol w:w="1467"/>
        <w:gridCol w:w="2200"/>
        <w:gridCol w:w="13"/>
      </w:tblGrid>
      <w:tr w14:paraId="26D64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78" w:hRule="atLeast"/>
          <w:jc w:val="center"/>
        </w:trPr>
        <w:tc>
          <w:tcPr>
            <w:tcW w:w="1994" w:type="dxa"/>
            <w:vAlign w:val="center"/>
          </w:tcPr>
          <w:p w14:paraId="5323688F">
            <w:pPr>
              <w:widowControl/>
              <w:jc w:val="center"/>
              <w:textAlignment w:val="center"/>
              <w:rPr>
                <w:rFonts w:eastAsia="仿宋"/>
                <w:b/>
                <w:bCs/>
                <w:kern w:val="0"/>
                <w:szCs w:val="24"/>
                <w:lang w:bidi="ar"/>
              </w:rPr>
            </w:pPr>
            <w:r>
              <w:rPr>
                <w:rFonts w:eastAsia="仿宋"/>
                <w:b/>
                <w:bCs/>
                <w:kern w:val="0"/>
                <w:szCs w:val="24"/>
                <w:lang w:bidi="ar"/>
              </w:rPr>
              <w:t>设备类别</w:t>
            </w:r>
          </w:p>
        </w:tc>
        <w:tc>
          <w:tcPr>
            <w:tcW w:w="2577" w:type="dxa"/>
            <w:vAlign w:val="center"/>
          </w:tcPr>
          <w:p w14:paraId="106F1137">
            <w:pPr>
              <w:widowControl/>
              <w:jc w:val="center"/>
              <w:textAlignment w:val="center"/>
              <w:rPr>
                <w:rFonts w:eastAsia="仿宋"/>
                <w:b/>
                <w:bCs/>
                <w:kern w:val="0"/>
                <w:szCs w:val="24"/>
                <w:lang w:bidi="ar"/>
              </w:rPr>
            </w:pPr>
            <w:r>
              <w:rPr>
                <w:rFonts w:eastAsia="仿宋"/>
                <w:b/>
                <w:bCs/>
                <w:kern w:val="0"/>
                <w:szCs w:val="24"/>
                <w:lang w:bidi="ar"/>
              </w:rPr>
              <w:t>主要内容</w:t>
            </w:r>
          </w:p>
        </w:tc>
        <w:tc>
          <w:tcPr>
            <w:tcW w:w="1467" w:type="dxa"/>
            <w:vAlign w:val="center"/>
          </w:tcPr>
          <w:p w14:paraId="0FF4279A">
            <w:pPr>
              <w:widowControl/>
              <w:jc w:val="center"/>
              <w:textAlignment w:val="center"/>
              <w:rPr>
                <w:rFonts w:eastAsia="仿宋"/>
                <w:b/>
                <w:bCs/>
                <w:kern w:val="0"/>
                <w:szCs w:val="24"/>
                <w:lang w:bidi="ar"/>
              </w:rPr>
            </w:pPr>
            <w:r>
              <w:rPr>
                <w:rFonts w:eastAsia="仿宋"/>
                <w:b/>
                <w:bCs/>
                <w:kern w:val="0"/>
                <w:szCs w:val="24"/>
                <w:lang w:bidi="ar"/>
              </w:rPr>
              <w:t>单位</w:t>
            </w:r>
          </w:p>
        </w:tc>
        <w:tc>
          <w:tcPr>
            <w:tcW w:w="2200" w:type="dxa"/>
            <w:vAlign w:val="center"/>
          </w:tcPr>
          <w:p w14:paraId="249FF066">
            <w:pPr>
              <w:widowControl/>
              <w:jc w:val="center"/>
              <w:textAlignment w:val="center"/>
              <w:rPr>
                <w:rFonts w:eastAsia="仿宋"/>
                <w:b/>
                <w:bCs/>
                <w:kern w:val="0"/>
                <w:szCs w:val="24"/>
                <w:lang w:bidi="ar"/>
              </w:rPr>
            </w:pPr>
            <w:r>
              <w:rPr>
                <w:rFonts w:eastAsia="仿宋"/>
                <w:b/>
                <w:bCs/>
                <w:kern w:val="0"/>
                <w:szCs w:val="24"/>
                <w:lang w:bidi="ar"/>
              </w:rPr>
              <w:t>数量</w:t>
            </w:r>
          </w:p>
        </w:tc>
      </w:tr>
      <w:tr w14:paraId="4E372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1994" w:type="dxa"/>
            <w:vMerge w:val="restart"/>
            <w:vAlign w:val="center"/>
          </w:tcPr>
          <w:p w14:paraId="068A74A0">
            <w:pPr>
              <w:widowControl/>
              <w:spacing w:line="360" w:lineRule="auto"/>
              <w:jc w:val="center"/>
              <w:rPr>
                <w:rFonts w:eastAsia="仿宋"/>
                <w:kern w:val="0"/>
                <w:szCs w:val="24"/>
                <w:lang w:bidi="ar"/>
              </w:rPr>
            </w:pPr>
            <w:r>
              <w:rPr>
                <w:rFonts w:eastAsia="仿宋"/>
                <w:kern w:val="0"/>
                <w:szCs w:val="24"/>
                <w:lang w:bidi="ar"/>
              </w:rPr>
              <w:t>隧道洞内照明及无级调光设备</w:t>
            </w:r>
          </w:p>
          <w:p w14:paraId="08A8E23D">
            <w:pPr>
              <w:widowControl/>
              <w:spacing w:line="360" w:lineRule="auto"/>
              <w:jc w:val="center"/>
              <w:rPr>
                <w:rFonts w:eastAsia="仿宋"/>
                <w:kern w:val="0"/>
                <w:sz w:val="28"/>
                <w:szCs w:val="28"/>
              </w:rPr>
            </w:pPr>
          </w:p>
        </w:tc>
        <w:tc>
          <w:tcPr>
            <w:tcW w:w="2577" w:type="dxa"/>
            <w:vAlign w:val="center"/>
          </w:tcPr>
          <w:p w14:paraId="51FBF5E8">
            <w:pPr>
              <w:widowControl/>
              <w:jc w:val="center"/>
              <w:textAlignment w:val="center"/>
              <w:rPr>
                <w:rFonts w:eastAsia="仿宋"/>
                <w:kern w:val="0"/>
                <w:szCs w:val="24"/>
              </w:rPr>
            </w:pPr>
            <w:r>
              <w:rPr>
                <w:rFonts w:eastAsia="仿宋"/>
                <w:kern w:val="0"/>
                <w:szCs w:val="24"/>
                <w:lang w:bidi="ar"/>
              </w:rPr>
              <w:t>隧道LED灯120W</w:t>
            </w:r>
          </w:p>
        </w:tc>
        <w:tc>
          <w:tcPr>
            <w:tcW w:w="1467" w:type="dxa"/>
            <w:vAlign w:val="center"/>
          </w:tcPr>
          <w:p w14:paraId="4A15A484">
            <w:pPr>
              <w:widowControl/>
              <w:spacing w:line="360" w:lineRule="auto"/>
              <w:jc w:val="center"/>
              <w:rPr>
                <w:rFonts w:eastAsia="仿宋"/>
                <w:kern w:val="0"/>
                <w:szCs w:val="24"/>
              </w:rPr>
            </w:pPr>
            <w:r>
              <w:rPr>
                <w:rFonts w:eastAsia="仿宋"/>
                <w:kern w:val="0"/>
                <w:szCs w:val="24"/>
              </w:rPr>
              <w:t>套</w:t>
            </w:r>
          </w:p>
        </w:tc>
        <w:tc>
          <w:tcPr>
            <w:tcW w:w="2200" w:type="dxa"/>
            <w:vAlign w:val="center"/>
          </w:tcPr>
          <w:p w14:paraId="3B55309F">
            <w:pPr>
              <w:widowControl/>
              <w:jc w:val="center"/>
              <w:textAlignment w:val="center"/>
              <w:rPr>
                <w:rFonts w:eastAsia="仿宋"/>
                <w:kern w:val="0"/>
                <w:szCs w:val="24"/>
              </w:rPr>
            </w:pPr>
            <w:r>
              <w:rPr>
                <w:rFonts w:eastAsia="仿宋"/>
                <w:kern w:val="0"/>
                <w:szCs w:val="24"/>
                <w:lang w:bidi="ar"/>
              </w:rPr>
              <w:t>3469</w:t>
            </w:r>
          </w:p>
        </w:tc>
      </w:tr>
      <w:tr w14:paraId="3CB96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1994" w:type="dxa"/>
            <w:vMerge w:val="continue"/>
            <w:vAlign w:val="center"/>
          </w:tcPr>
          <w:p w14:paraId="34ED1DCE">
            <w:pPr>
              <w:widowControl/>
              <w:spacing w:line="360" w:lineRule="auto"/>
              <w:jc w:val="center"/>
              <w:rPr>
                <w:rFonts w:eastAsia="仿宋"/>
                <w:b/>
                <w:bCs/>
                <w:kern w:val="0"/>
                <w:sz w:val="28"/>
                <w:szCs w:val="28"/>
              </w:rPr>
            </w:pPr>
          </w:p>
        </w:tc>
        <w:tc>
          <w:tcPr>
            <w:tcW w:w="2577" w:type="dxa"/>
            <w:vAlign w:val="center"/>
          </w:tcPr>
          <w:p w14:paraId="079D4294">
            <w:pPr>
              <w:widowControl/>
              <w:jc w:val="center"/>
              <w:textAlignment w:val="center"/>
              <w:rPr>
                <w:rFonts w:eastAsia="仿宋"/>
                <w:kern w:val="0"/>
                <w:szCs w:val="24"/>
              </w:rPr>
            </w:pPr>
            <w:r>
              <w:rPr>
                <w:rFonts w:eastAsia="仿宋"/>
                <w:kern w:val="0"/>
                <w:szCs w:val="24"/>
                <w:lang w:bidi="ar"/>
              </w:rPr>
              <w:t>隧道LED灯100W</w:t>
            </w:r>
          </w:p>
        </w:tc>
        <w:tc>
          <w:tcPr>
            <w:tcW w:w="1467" w:type="dxa"/>
            <w:vAlign w:val="center"/>
          </w:tcPr>
          <w:p w14:paraId="370FD9F8">
            <w:pPr>
              <w:widowControl/>
              <w:spacing w:line="360" w:lineRule="auto"/>
              <w:jc w:val="center"/>
              <w:rPr>
                <w:rFonts w:eastAsia="仿宋"/>
                <w:kern w:val="0"/>
                <w:szCs w:val="24"/>
              </w:rPr>
            </w:pPr>
            <w:r>
              <w:rPr>
                <w:rFonts w:eastAsia="仿宋"/>
                <w:kern w:val="0"/>
                <w:szCs w:val="24"/>
              </w:rPr>
              <w:t>套</w:t>
            </w:r>
          </w:p>
        </w:tc>
        <w:tc>
          <w:tcPr>
            <w:tcW w:w="2200" w:type="dxa"/>
            <w:vAlign w:val="center"/>
          </w:tcPr>
          <w:p w14:paraId="7629CD64">
            <w:pPr>
              <w:widowControl/>
              <w:jc w:val="center"/>
              <w:textAlignment w:val="center"/>
              <w:rPr>
                <w:rFonts w:eastAsia="仿宋"/>
                <w:kern w:val="0"/>
                <w:szCs w:val="24"/>
              </w:rPr>
            </w:pPr>
            <w:r>
              <w:rPr>
                <w:rFonts w:eastAsia="仿宋"/>
                <w:kern w:val="0"/>
                <w:szCs w:val="24"/>
                <w:lang w:bidi="ar"/>
              </w:rPr>
              <w:t>3994</w:t>
            </w:r>
          </w:p>
        </w:tc>
      </w:tr>
      <w:tr w14:paraId="53DAC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Merge w:val="continue"/>
            <w:vAlign w:val="center"/>
          </w:tcPr>
          <w:p w14:paraId="30CDA05E">
            <w:pPr>
              <w:widowControl/>
              <w:spacing w:line="360" w:lineRule="auto"/>
              <w:jc w:val="center"/>
              <w:rPr>
                <w:rFonts w:eastAsia="仿宋"/>
                <w:b/>
                <w:bCs/>
                <w:kern w:val="0"/>
                <w:sz w:val="28"/>
                <w:szCs w:val="28"/>
              </w:rPr>
            </w:pPr>
          </w:p>
        </w:tc>
        <w:tc>
          <w:tcPr>
            <w:tcW w:w="2577" w:type="dxa"/>
            <w:vAlign w:val="center"/>
          </w:tcPr>
          <w:p w14:paraId="5B8DF10A">
            <w:pPr>
              <w:widowControl/>
              <w:jc w:val="center"/>
              <w:textAlignment w:val="center"/>
              <w:rPr>
                <w:rFonts w:eastAsia="仿宋"/>
                <w:kern w:val="0"/>
                <w:szCs w:val="24"/>
              </w:rPr>
            </w:pPr>
            <w:r>
              <w:rPr>
                <w:rFonts w:eastAsia="仿宋"/>
                <w:kern w:val="0"/>
                <w:szCs w:val="24"/>
                <w:lang w:bidi="ar"/>
              </w:rPr>
              <w:t>隧道LED灯80W</w:t>
            </w:r>
          </w:p>
        </w:tc>
        <w:tc>
          <w:tcPr>
            <w:tcW w:w="1467" w:type="dxa"/>
            <w:vAlign w:val="center"/>
          </w:tcPr>
          <w:p w14:paraId="6F6503FE">
            <w:pPr>
              <w:widowControl/>
              <w:spacing w:line="360" w:lineRule="auto"/>
              <w:jc w:val="center"/>
              <w:rPr>
                <w:rFonts w:eastAsia="仿宋"/>
                <w:kern w:val="0"/>
                <w:szCs w:val="24"/>
              </w:rPr>
            </w:pPr>
            <w:r>
              <w:rPr>
                <w:rFonts w:eastAsia="仿宋"/>
                <w:kern w:val="0"/>
                <w:szCs w:val="24"/>
              </w:rPr>
              <w:t>套</w:t>
            </w:r>
          </w:p>
        </w:tc>
        <w:tc>
          <w:tcPr>
            <w:tcW w:w="2213" w:type="dxa"/>
            <w:gridSpan w:val="2"/>
            <w:vAlign w:val="center"/>
          </w:tcPr>
          <w:p w14:paraId="11570EAD">
            <w:pPr>
              <w:widowControl/>
              <w:spacing w:line="360" w:lineRule="auto"/>
              <w:jc w:val="center"/>
              <w:rPr>
                <w:rFonts w:eastAsia="仿宋"/>
                <w:kern w:val="0"/>
                <w:szCs w:val="24"/>
              </w:rPr>
            </w:pPr>
            <w:r>
              <w:rPr>
                <w:rFonts w:eastAsia="仿宋"/>
                <w:kern w:val="0"/>
                <w:szCs w:val="24"/>
              </w:rPr>
              <w:t>1218</w:t>
            </w:r>
          </w:p>
        </w:tc>
      </w:tr>
      <w:tr w14:paraId="43F69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Merge w:val="continue"/>
            <w:vAlign w:val="center"/>
          </w:tcPr>
          <w:p w14:paraId="0C62B3DB">
            <w:pPr>
              <w:widowControl/>
              <w:spacing w:line="360" w:lineRule="auto"/>
              <w:jc w:val="center"/>
              <w:rPr>
                <w:rFonts w:eastAsia="仿宋"/>
                <w:b/>
                <w:bCs/>
                <w:kern w:val="0"/>
                <w:sz w:val="28"/>
                <w:szCs w:val="28"/>
              </w:rPr>
            </w:pPr>
          </w:p>
        </w:tc>
        <w:tc>
          <w:tcPr>
            <w:tcW w:w="2577" w:type="dxa"/>
            <w:vAlign w:val="center"/>
          </w:tcPr>
          <w:p w14:paraId="419A9DDE">
            <w:pPr>
              <w:widowControl/>
              <w:jc w:val="center"/>
              <w:textAlignment w:val="center"/>
              <w:rPr>
                <w:rFonts w:eastAsia="仿宋"/>
                <w:kern w:val="0"/>
                <w:szCs w:val="24"/>
              </w:rPr>
            </w:pPr>
            <w:r>
              <w:rPr>
                <w:rFonts w:eastAsia="仿宋"/>
                <w:kern w:val="0"/>
                <w:szCs w:val="24"/>
                <w:lang w:bidi="ar"/>
              </w:rPr>
              <w:t>隧道LED灯60W</w:t>
            </w:r>
          </w:p>
        </w:tc>
        <w:tc>
          <w:tcPr>
            <w:tcW w:w="1467" w:type="dxa"/>
            <w:vAlign w:val="center"/>
          </w:tcPr>
          <w:p w14:paraId="63A72829">
            <w:pPr>
              <w:widowControl/>
              <w:spacing w:line="360" w:lineRule="auto"/>
              <w:jc w:val="center"/>
              <w:rPr>
                <w:rFonts w:eastAsia="仿宋"/>
                <w:kern w:val="0"/>
                <w:szCs w:val="24"/>
              </w:rPr>
            </w:pPr>
            <w:r>
              <w:rPr>
                <w:rFonts w:eastAsia="仿宋"/>
                <w:kern w:val="0"/>
                <w:szCs w:val="24"/>
              </w:rPr>
              <w:t>套</w:t>
            </w:r>
          </w:p>
        </w:tc>
        <w:tc>
          <w:tcPr>
            <w:tcW w:w="2213" w:type="dxa"/>
            <w:gridSpan w:val="2"/>
            <w:vAlign w:val="center"/>
          </w:tcPr>
          <w:p w14:paraId="1EBC96EC">
            <w:pPr>
              <w:widowControl/>
              <w:spacing w:line="360" w:lineRule="auto"/>
              <w:jc w:val="center"/>
              <w:rPr>
                <w:rFonts w:eastAsia="仿宋"/>
                <w:kern w:val="0"/>
                <w:szCs w:val="24"/>
              </w:rPr>
            </w:pPr>
            <w:r>
              <w:rPr>
                <w:rFonts w:eastAsia="仿宋"/>
                <w:kern w:val="0"/>
                <w:szCs w:val="24"/>
              </w:rPr>
              <w:t>3685</w:t>
            </w:r>
          </w:p>
        </w:tc>
      </w:tr>
      <w:tr w14:paraId="02E31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Merge w:val="continue"/>
            <w:vAlign w:val="center"/>
          </w:tcPr>
          <w:p w14:paraId="65007ADD">
            <w:pPr>
              <w:widowControl/>
              <w:spacing w:line="360" w:lineRule="auto"/>
              <w:jc w:val="center"/>
              <w:rPr>
                <w:rFonts w:eastAsia="仿宋"/>
                <w:b/>
                <w:bCs/>
                <w:kern w:val="0"/>
                <w:sz w:val="28"/>
                <w:szCs w:val="28"/>
              </w:rPr>
            </w:pPr>
          </w:p>
        </w:tc>
        <w:tc>
          <w:tcPr>
            <w:tcW w:w="2577" w:type="dxa"/>
            <w:vAlign w:val="center"/>
          </w:tcPr>
          <w:p w14:paraId="5E766911">
            <w:pPr>
              <w:widowControl/>
              <w:jc w:val="center"/>
              <w:textAlignment w:val="center"/>
              <w:rPr>
                <w:rFonts w:eastAsia="仿宋"/>
                <w:kern w:val="0"/>
                <w:szCs w:val="24"/>
                <w:lang w:bidi="ar"/>
              </w:rPr>
            </w:pPr>
            <w:r>
              <w:rPr>
                <w:rFonts w:eastAsia="仿宋"/>
                <w:kern w:val="0"/>
                <w:szCs w:val="24"/>
                <w:lang w:bidi="ar"/>
              </w:rPr>
              <w:t>隧道LED灯50W</w:t>
            </w:r>
          </w:p>
        </w:tc>
        <w:tc>
          <w:tcPr>
            <w:tcW w:w="1467" w:type="dxa"/>
            <w:vAlign w:val="center"/>
          </w:tcPr>
          <w:p w14:paraId="7FA9A9E2">
            <w:pPr>
              <w:widowControl/>
              <w:spacing w:line="360" w:lineRule="auto"/>
              <w:jc w:val="center"/>
              <w:rPr>
                <w:rFonts w:eastAsia="仿宋"/>
                <w:kern w:val="0"/>
                <w:szCs w:val="24"/>
              </w:rPr>
            </w:pPr>
            <w:r>
              <w:rPr>
                <w:rFonts w:eastAsia="仿宋"/>
                <w:kern w:val="0"/>
                <w:szCs w:val="24"/>
              </w:rPr>
              <w:t>套</w:t>
            </w:r>
          </w:p>
        </w:tc>
        <w:tc>
          <w:tcPr>
            <w:tcW w:w="2213" w:type="dxa"/>
            <w:gridSpan w:val="2"/>
            <w:vAlign w:val="center"/>
          </w:tcPr>
          <w:p w14:paraId="2AE734D8">
            <w:pPr>
              <w:widowControl/>
              <w:spacing w:line="360" w:lineRule="auto"/>
              <w:jc w:val="center"/>
              <w:rPr>
                <w:rFonts w:eastAsia="仿宋"/>
                <w:kern w:val="0"/>
                <w:szCs w:val="24"/>
              </w:rPr>
            </w:pPr>
            <w:r>
              <w:rPr>
                <w:rFonts w:eastAsia="仿宋"/>
                <w:kern w:val="0"/>
                <w:szCs w:val="24"/>
              </w:rPr>
              <w:t>2841</w:t>
            </w:r>
          </w:p>
        </w:tc>
      </w:tr>
      <w:tr w14:paraId="67369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Merge w:val="continue"/>
            <w:vAlign w:val="center"/>
          </w:tcPr>
          <w:p w14:paraId="5C3AE5F5">
            <w:pPr>
              <w:widowControl/>
              <w:spacing w:line="360" w:lineRule="auto"/>
              <w:jc w:val="center"/>
              <w:rPr>
                <w:rFonts w:eastAsia="仿宋"/>
                <w:b/>
                <w:bCs/>
                <w:kern w:val="0"/>
                <w:sz w:val="28"/>
                <w:szCs w:val="28"/>
              </w:rPr>
            </w:pPr>
          </w:p>
        </w:tc>
        <w:tc>
          <w:tcPr>
            <w:tcW w:w="2577" w:type="dxa"/>
            <w:vAlign w:val="center"/>
          </w:tcPr>
          <w:p w14:paraId="5A94D8C6">
            <w:pPr>
              <w:widowControl/>
              <w:jc w:val="center"/>
              <w:textAlignment w:val="center"/>
              <w:rPr>
                <w:rFonts w:eastAsia="仿宋"/>
                <w:kern w:val="0"/>
                <w:szCs w:val="24"/>
                <w:lang w:bidi="ar"/>
              </w:rPr>
            </w:pPr>
            <w:r>
              <w:rPr>
                <w:rFonts w:eastAsia="仿宋"/>
                <w:kern w:val="0"/>
                <w:szCs w:val="24"/>
                <w:lang w:bidi="ar"/>
              </w:rPr>
              <w:t>隧道LED灯40W</w:t>
            </w:r>
          </w:p>
        </w:tc>
        <w:tc>
          <w:tcPr>
            <w:tcW w:w="1467" w:type="dxa"/>
            <w:vAlign w:val="center"/>
          </w:tcPr>
          <w:p w14:paraId="1B4CFC93">
            <w:pPr>
              <w:widowControl/>
              <w:spacing w:line="360" w:lineRule="auto"/>
              <w:jc w:val="center"/>
              <w:rPr>
                <w:rFonts w:eastAsia="仿宋"/>
                <w:kern w:val="0"/>
                <w:szCs w:val="24"/>
              </w:rPr>
            </w:pPr>
            <w:r>
              <w:rPr>
                <w:rFonts w:eastAsia="仿宋"/>
                <w:kern w:val="0"/>
                <w:szCs w:val="24"/>
              </w:rPr>
              <w:t>套</w:t>
            </w:r>
          </w:p>
        </w:tc>
        <w:tc>
          <w:tcPr>
            <w:tcW w:w="2213" w:type="dxa"/>
            <w:gridSpan w:val="2"/>
            <w:vAlign w:val="center"/>
          </w:tcPr>
          <w:p w14:paraId="7382424E">
            <w:pPr>
              <w:widowControl/>
              <w:spacing w:line="360" w:lineRule="auto"/>
              <w:jc w:val="center"/>
              <w:rPr>
                <w:rFonts w:eastAsia="仿宋"/>
                <w:kern w:val="0"/>
                <w:szCs w:val="24"/>
              </w:rPr>
            </w:pPr>
            <w:r>
              <w:rPr>
                <w:rFonts w:eastAsia="仿宋"/>
                <w:kern w:val="0"/>
                <w:szCs w:val="24"/>
              </w:rPr>
              <w:t>215</w:t>
            </w:r>
          </w:p>
        </w:tc>
      </w:tr>
      <w:tr w14:paraId="1EB6D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Merge w:val="continue"/>
            <w:vAlign w:val="center"/>
          </w:tcPr>
          <w:p w14:paraId="358A1548">
            <w:pPr>
              <w:widowControl/>
              <w:spacing w:line="360" w:lineRule="auto"/>
              <w:jc w:val="center"/>
              <w:rPr>
                <w:rFonts w:eastAsia="仿宋"/>
                <w:b/>
                <w:bCs/>
                <w:kern w:val="0"/>
                <w:sz w:val="28"/>
                <w:szCs w:val="28"/>
              </w:rPr>
            </w:pPr>
          </w:p>
        </w:tc>
        <w:tc>
          <w:tcPr>
            <w:tcW w:w="2577" w:type="dxa"/>
            <w:vAlign w:val="center"/>
          </w:tcPr>
          <w:p w14:paraId="0D5F2980">
            <w:pPr>
              <w:widowControl/>
              <w:jc w:val="center"/>
              <w:textAlignment w:val="center"/>
              <w:rPr>
                <w:rFonts w:eastAsia="仿宋"/>
                <w:kern w:val="0"/>
                <w:szCs w:val="24"/>
                <w:lang w:bidi="ar"/>
              </w:rPr>
            </w:pPr>
            <w:r>
              <w:rPr>
                <w:rFonts w:eastAsia="仿宋"/>
                <w:kern w:val="0"/>
                <w:szCs w:val="24"/>
                <w:lang w:bidi="ar"/>
              </w:rPr>
              <w:t>隧道LED灯30W</w:t>
            </w:r>
          </w:p>
        </w:tc>
        <w:tc>
          <w:tcPr>
            <w:tcW w:w="1467" w:type="dxa"/>
            <w:vAlign w:val="center"/>
          </w:tcPr>
          <w:p w14:paraId="16C7CBC6">
            <w:pPr>
              <w:widowControl/>
              <w:spacing w:line="360" w:lineRule="auto"/>
              <w:jc w:val="center"/>
              <w:rPr>
                <w:rFonts w:eastAsia="仿宋"/>
                <w:kern w:val="0"/>
                <w:szCs w:val="24"/>
              </w:rPr>
            </w:pPr>
            <w:r>
              <w:rPr>
                <w:rFonts w:eastAsia="仿宋"/>
                <w:kern w:val="0"/>
                <w:szCs w:val="24"/>
              </w:rPr>
              <w:t>套</w:t>
            </w:r>
          </w:p>
        </w:tc>
        <w:tc>
          <w:tcPr>
            <w:tcW w:w="2213" w:type="dxa"/>
            <w:gridSpan w:val="2"/>
            <w:vAlign w:val="center"/>
          </w:tcPr>
          <w:p w14:paraId="09E12E38">
            <w:pPr>
              <w:widowControl/>
              <w:spacing w:line="360" w:lineRule="auto"/>
              <w:jc w:val="center"/>
              <w:rPr>
                <w:rFonts w:eastAsia="仿宋"/>
                <w:kern w:val="0"/>
                <w:szCs w:val="24"/>
              </w:rPr>
            </w:pPr>
            <w:r>
              <w:rPr>
                <w:rFonts w:eastAsia="仿宋"/>
                <w:kern w:val="0"/>
                <w:szCs w:val="24"/>
              </w:rPr>
              <w:t>638</w:t>
            </w:r>
          </w:p>
        </w:tc>
      </w:tr>
      <w:tr w14:paraId="29A5E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Merge w:val="continue"/>
            <w:vAlign w:val="center"/>
          </w:tcPr>
          <w:p w14:paraId="66A97B75">
            <w:pPr>
              <w:widowControl/>
              <w:spacing w:line="360" w:lineRule="auto"/>
              <w:jc w:val="center"/>
              <w:rPr>
                <w:rFonts w:eastAsia="仿宋"/>
                <w:b/>
                <w:bCs/>
                <w:kern w:val="0"/>
                <w:sz w:val="28"/>
                <w:szCs w:val="28"/>
              </w:rPr>
            </w:pPr>
          </w:p>
        </w:tc>
        <w:tc>
          <w:tcPr>
            <w:tcW w:w="2577" w:type="dxa"/>
            <w:vAlign w:val="center"/>
          </w:tcPr>
          <w:p w14:paraId="0EF22E6B">
            <w:pPr>
              <w:widowControl/>
              <w:jc w:val="center"/>
              <w:textAlignment w:val="center"/>
              <w:rPr>
                <w:rFonts w:eastAsia="仿宋"/>
                <w:kern w:val="0"/>
                <w:szCs w:val="24"/>
                <w:lang w:bidi="ar"/>
              </w:rPr>
            </w:pPr>
            <w:r>
              <w:rPr>
                <w:rFonts w:eastAsia="仿宋"/>
                <w:kern w:val="0"/>
                <w:szCs w:val="24"/>
                <w:lang w:bidi="ar"/>
              </w:rPr>
              <w:t>照明专用配电箱</w:t>
            </w:r>
          </w:p>
        </w:tc>
        <w:tc>
          <w:tcPr>
            <w:tcW w:w="1467" w:type="dxa"/>
            <w:vAlign w:val="center"/>
          </w:tcPr>
          <w:p w14:paraId="7BEB7C75">
            <w:pPr>
              <w:widowControl/>
              <w:spacing w:line="360" w:lineRule="auto"/>
              <w:jc w:val="center"/>
              <w:rPr>
                <w:rFonts w:eastAsia="仿宋"/>
                <w:kern w:val="0"/>
                <w:szCs w:val="24"/>
              </w:rPr>
            </w:pPr>
            <w:r>
              <w:rPr>
                <w:rFonts w:eastAsia="仿宋"/>
                <w:kern w:val="0"/>
                <w:szCs w:val="24"/>
              </w:rPr>
              <w:t>套</w:t>
            </w:r>
          </w:p>
        </w:tc>
        <w:tc>
          <w:tcPr>
            <w:tcW w:w="2213" w:type="dxa"/>
            <w:gridSpan w:val="2"/>
            <w:vAlign w:val="center"/>
          </w:tcPr>
          <w:p w14:paraId="1412A08C">
            <w:pPr>
              <w:widowControl/>
              <w:spacing w:line="360" w:lineRule="auto"/>
              <w:jc w:val="center"/>
              <w:rPr>
                <w:rFonts w:eastAsia="仿宋"/>
                <w:kern w:val="0"/>
                <w:szCs w:val="24"/>
              </w:rPr>
            </w:pPr>
            <w:r>
              <w:rPr>
                <w:rFonts w:eastAsia="仿宋"/>
                <w:kern w:val="0"/>
                <w:szCs w:val="24"/>
              </w:rPr>
              <w:t>283</w:t>
            </w:r>
          </w:p>
        </w:tc>
      </w:tr>
      <w:tr w14:paraId="77B47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Merge w:val="continue"/>
            <w:vAlign w:val="center"/>
          </w:tcPr>
          <w:p w14:paraId="5BB82A95">
            <w:pPr>
              <w:widowControl/>
              <w:spacing w:line="360" w:lineRule="auto"/>
              <w:jc w:val="center"/>
              <w:rPr>
                <w:rFonts w:eastAsia="仿宋"/>
                <w:b/>
                <w:bCs/>
                <w:kern w:val="0"/>
                <w:sz w:val="28"/>
                <w:szCs w:val="28"/>
              </w:rPr>
            </w:pPr>
          </w:p>
        </w:tc>
        <w:tc>
          <w:tcPr>
            <w:tcW w:w="2577" w:type="dxa"/>
            <w:vAlign w:val="center"/>
          </w:tcPr>
          <w:p w14:paraId="43467510">
            <w:pPr>
              <w:widowControl/>
              <w:jc w:val="center"/>
              <w:rPr>
                <w:rFonts w:eastAsia="仿宋"/>
                <w:kern w:val="0"/>
                <w:szCs w:val="24"/>
              </w:rPr>
            </w:pPr>
            <w:r>
              <w:rPr>
                <w:rFonts w:eastAsia="仿宋"/>
                <w:kern w:val="0"/>
                <w:szCs w:val="24"/>
                <w:lang w:bidi="ar"/>
              </w:rPr>
              <w:t>无级调光控制</w:t>
            </w:r>
            <w:r>
              <w:rPr>
                <w:rFonts w:eastAsia="仿宋"/>
                <w:kern w:val="0"/>
                <w:szCs w:val="24"/>
              </w:rPr>
              <w:t>器</w:t>
            </w:r>
          </w:p>
        </w:tc>
        <w:tc>
          <w:tcPr>
            <w:tcW w:w="1467" w:type="dxa"/>
            <w:vAlign w:val="center"/>
          </w:tcPr>
          <w:p w14:paraId="0105C5FA">
            <w:pPr>
              <w:widowControl/>
              <w:spacing w:line="360" w:lineRule="auto"/>
              <w:jc w:val="center"/>
              <w:rPr>
                <w:rFonts w:eastAsia="仿宋"/>
                <w:kern w:val="0"/>
                <w:szCs w:val="24"/>
              </w:rPr>
            </w:pPr>
            <w:r>
              <w:rPr>
                <w:rFonts w:eastAsia="仿宋"/>
                <w:kern w:val="0"/>
                <w:szCs w:val="24"/>
              </w:rPr>
              <w:t>套</w:t>
            </w:r>
          </w:p>
        </w:tc>
        <w:tc>
          <w:tcPr>
            <w:tcW w:w="2213" w:type="dxa"/>
            <w:gridSpan w:val="2"/>
            <w:vAlign w:val="center"/>
          </w:tcPr>
          <w:p w14:paraId="5588AF28">
            <w:pPr>
              <w:widowControl/>
              <w:spacing w:line="360" w:lineRule="auto"/>
              <w:jc w:val="center"/>
              <w:rPr>
                <w:rFonts w:eastAsia="仿宋"/>
                <w:kern w:val="0"/>
                <w:szCs w:val="24"/>
              </w:rPr>
            </w:pPr>
            <w:r>
              <w:rPr>
                <w:rFonts w:eastAsia="仿宋"/>
                <w:kern w:val="0"/>
                <w:szCs w:val="24"/>
              </w:rPr>
              <w:t>42</w:t>
            </w:r>
          </w:p>
        </w:tc>
      </w:tr>
      <w:tr w14:paraId="0FD63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Merge w:val="continue"/>
            <w:vAlign w:val="center"/>
          </w:tcPr>
          <w:p w14:paraId="619BC0B8">
            <w:pPr>
              <w:widowControl/>
              <w:spacing w:line="360" w:lineRule="auto"/>
              <w:jc w:val="center"/>
              <w:rPr>
                <w:rFonts w:eastAsia="仿宋"/>
                <w:b/>
                <w:bCs/>
                <w:kern w:val="0"/>
                <w:sz w:val="28"/>
                <w:szCs w:val="28"/>
              </w:rPr>
            </w:pPr>
          </w:p>
        </w:tc>
        <w:tc>
          <w:tcPr>
            <w:tcW w:w="2577" w:type="dxa"/>
            <w:vAlign w:val="center"/>
          </w:tcPr>
          <w:p w14:paraId="2F3D4F73">
            <w:pPr>
              <w:widowControl/>
              <w:jc w:val="center"/>
              <w:rPr>
                <w:rFonts w:eastAsia="仿宋"/>
                <w:kern w:val="0"/>
                <w:szCs w:val="24"/>
              </w:rPr>
            </w:pPr>
            <w:r>
              <w:rPr>
                <w:rFonts w:eastAsia="仿宋"/>
                <w:kern w:val="0"/>
                <w:szCs w:val="24"/>
                <w:lang w:bidi="ar"/>
              </w:rPr>
              <w:t>无级调光软</w:t>
            </w:r>
            <w:r>
              <w:rPr>
                <w:rFonts w:eastAsia="仿宋"/>
                <w:kern w:val="0"/>
                <w:szCs w:val="24"/>
              </w:rPr>
              <w:t>件</w:t>
            </w:r>
          </w:p>
        </w:tc>
        <w:tc>
          <w:tcPr>
            <w:tcW w:w="1467" w:type="dxa"/>
            <w:vAlign w:val="center"/>
          </w:tcPr>
          <w:p w14:paraId="5E1DCB3D">
            <w:pPr>
              <w:widowControl/>
              <w:spacing w:line="360" w:lineRule="auto"/>
              <w:jc w:val="center"/>
              <w:rPr>
                <w:rFonts w:eastAsia="仿宋"/>
                <w:kern w:val="0"/>
                <w:szCs w:val="24"/>
              </w:rPr>
            </w:pPr>
            <w:r>
              <w:rPr>
                <w:rFonts w:eastAsia="仿宋"/>
                <w:kern w:val="0"/>
                <w:szCs w:val="24"/>
              </w:rPr>
              <w:t>套</w:t>
            </w:r>
          </w:p>
        </w:tc>
        <w:tc>
          <w:tcPr>
            <w:tcW w:w="2213" w:type="dxa"/>
            <w:gridSpan w:val="2"/>
            <w:vAlign w:val="center"/>
          </w:tcPr>
          <w:p w14:paraId="380AC28B">
            <w:pPr>
              <w:widowControl/>
              <w:spacing w:line="360" w:lineRule="auto"/>
              <w:jc w:val="center"/>
              <w:rPr>
                <w:rFonts w:eastAsia="仿宋"/>
                <w:kern w:val="0"/>
                <w:szCs w:val="24"/>
              </w:rPr>
            </w:pPr>
            <w:r>
              <w:rPr>
                <w:rFonts w:eastAsia="仿宋"/>
                <w:kern w:val="0"/>
                <w:szCs w:val="24"/>
              </w:rPr>
              <w:t>4</w:t>
            </w:r>
          </w:p>
        </w:tc>
      </w:tr>
      <w:bookmarkEnd w:id="0"/>
    </w:tbl>
    <w:p w14:paraId="2A0B5BE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DB8EF">
    <w:pPr>
      <w:autoSpaceDE w:val="0"/>
      <w:autoSpaceDN w:val="0"/>
      <w:adjustRightInd w:val="0"/>
      <w:spacing w:line="200" w:lineRule="exact"/>
      <w:jc w:val="left"/>
      <w:rPr>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09245" cy="215265"/>
              <wp:effectExtent l="0" t="0" r="0" b="3810"/>
              <wp:wrapNone/>
              <wp:docPr id="1067947648"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09245" cy="215265"/>
                      </a:xfrm>
                      <a:prstGeom prst="rect">
                        <a:avLst/>
                      </a:prstGeom>
                      <a:noFill/>
                      <a:ln>
                        <a:noFill/>
                      </a:ln>
                    </wps:spPr>
                    <wps:txbx>
                      <w:txbxContent>
                        <w:p w14:paraId="05A84516">
                          <w:pPr>
                            <w:pStyle w:val="12"/>
                          </w:pPr>
                          <w:r>
                            <w:fldChar w:fldCharType="begin"/>
                          </w:r>
                          <w:r>
                            <w:instrText xml:space="preserve"> PAGE  \* MERGEFORMAT </w:instrText>
                          </w:r>
                          <w:r>
                            <w:fldChar w:fldCharType="separate"/>
                          </w:r>
                          <w:r>
                            <w:t>23</w:t>
                          </w:r>
                          <w:r>
                            <w:fldChar w:fldCharType="end"/>
                          </w: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top:0pt;height:16.95pt;width:24.35pt;mso-position-horizontal:center;mso-position-horizontal-relative:margin;z-index:251660288;mso-width-relative:page;mso-height-relative:page;" filled="f" stroked="f" coordsize="21600,21600" o:gfxdata="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mx8rTUAAAAAwEAAA8AAAAAAAAA&#10;AQAgAAAAIgAAAGRycy9kb3ducmV2LnhtbFBLAQIUABQAAAAIAIdO4kCIHkQ2FQIAAA0EAAAOAAAA&#10;AAAAAAEAIAAAACMBAABkcnMvZTJvRG9jLnhtbFBLBQYAAAAABgAGAFkBAACqBQAAAAA=&#10;">
              <v:fill on="f" focussize="0,0"/>
              <v:stroke on="f"/>
              <v:imagedata o:title=""/>
              <o:lock v:ext="edit" aspectratio="f"/>
              <v:textbox inset="0mm,0mm,0mm,0mm">
                <w:txbxContent>
                  <w:p w14:paraId="05A84516">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AAB6">
    <w:pPr>
      <w:spacing w:line="222" w:lineRule="auto"/>
      <w:jc w:val="center"/>
      <w:rPr>
        <w:rFonts w:hint="eastAsia" w:ascii="仿宋" w:hAnsi="仿宋" w:cs="仿宋"/>
        <w:sz w:val="18"/>
        <w:szCs w:val="18"/>
      </w:rPr>
    </w:pPr>
    <w:r>
      <w:rPr>
        <w:sz w:val="18"/>
        <w:szCs w:val="18"/>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684530</wp:posOffset>
              </wp:positionV>
              <wp:extent cx="5796280" cy="9525"/>
              <wp:effectExtent l="0" t="0" r="0" b="1270"/>
              <wp:wrapNone/>
              <wp:docPr id="1888953563" name="任意多边形: 形状 4"/>
              <wp:cNvGraphicFramePr/>
              <a:graphic xmlns:a="http://schemas.openxmlformats.org/drawingml/2006/main">
                <a:graphicData uri="http://schemas.microsoft.com/office/word/2010/wordprocessingShape">
                  <wps:wsp>
                    <wps:cNvSpPr>
                      <a:spLocks noChangeArrowheads="1"/>
                    </wps:cNvSpPr>
                    <wps:spPr bwMode="auto">
                      <a:xfrm>
                        <a:off x="0" y="0"/>
                        <a:ext cx="5796280" cy="9525"/>
                      </a:xfrm>
                      <a:custGeom>
                        <a:avLst/>
                        <a:gdLst>
                          <a:gd name="T0" fmla="*/ 0 w 9127"/>
                          <a:gd name="T1" fmla="*/ 0 h 15"/>
                          <a:gd name="T2" fmla="*/ 9127 w 9127"/>
                          <a:gd name="T3" fmla="*/ 0 h 15"/>
                          <a:gd name="T4" fmla="*/ 9127 w 9127"/>
                          <a:gd name="T5" fmla="*/ 14 h 15"/>
                          <a:gd name="T6" fmla="*/ 0 w 9127"/>
                          <a:gd name="T7" fmla="*/ 14 h 15"/>
                          <a:gd name="T8" fmla="*/ 0 w 9127"/>
                          <a:gd name="T9" fmla="*/ 0 h 15"/>
                        </a:gdLst>
                        <a:ahLst/>
                        <a:cxnLst>
                          <a:cxn ang="0">
                            <a:pos x="T0" y="T1"/>
                          </a:cxn>
                          <a:cxn ang="0">
                            <a:pos x="T2" y="T3"/>
                          </a:cxn>
                          <a:cxn ang="0">
                            <a:pos x="T4" y="T5"/>
                          </a:cxn>
                          <a:cxn ang="0">
                            <a:pos x="T6" y="T7"/>
                          </a:cxn>
                          <a:cxn ang="0">
                            <a:pos x="T8" y="T9"/>
                          </a:cxn>
                        </a:cxnLst>
                        <a:rect l="0" t="0" r="r" b="b"/>
                        <a:pathLst>
                          <a:path w="9127" h="15">
                            <a:moveTo>
                              <a:pt x="0" y="0"/>
                            </a:moveTo>
                            <a:lnTo>
                              <a:pt x="9127" y="0"/>
                            </a:lnTo>
                            <a:lnTo>
                              <a:pt x="9127"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任意多边形: 形状 4" o:spid="_x0000_s1026" o:spt="100" style="position:absolute;left:0pt;margin-left:70.9pt;margin-top:53.9pt;height:0.75pt;width:456.4pt;mso-position-horizontal-relative:page;mso-position-vertical-relative:page;z-index:251659264;mso-width-relative:page;mso-height-relative:page;" fillcolor="#000000" filled="t" stroked="f" coordsize="9127,15" o:allowincell="f" o:gfxdata="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J+qV8vXAAAADAEAAA8AAAAA&#10;AAAAAQAgAAAAIgAAAGRycy9kb3ducmV2LnhtbFBLAQIUABQAAAAIAIdO4kDs1RVUMgMAAM4HAAAO&#10;AAAAAAAAAAEAIAAAACYBAABkcnMvZTJvRG9jLnhtbFBLBQYAAAAABgAGAFkBAADKBgAAAAA=&#10;" path="m0,0l9127,0,9127,14,0,14,0,0xe">
              <v:path o:connectlocs="0,0;5796280,0;5796280,8890;0,8890;0,0" o:connectangles="0,0,0,0,0"/>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11"/>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A"/>
    <w:rsid w:val="000F395C"/>
    <w:rsid w:val="00232BA8"/>
    <w:rsid w:val="002E0596"/>
    <w:rsid w:val="004335CE"/>
    <w:rsid w:val="00831741"/>
    <w:rsid w:val="00AE1EDE"/>
    <w:rsid w:val="00B30A52"/>
    <w:rsid w:val="00B74B38"/>
    <w:rsid w:val="00D0367A"/>
    <w:rsid w:val="00D169CA"/>
    <w:rsid w:val="00DE7440"/>
    <w:rsid w:val="00EA77D7"/>
    <w:rsid w:val="00EB2979"/>
    <w:rsid w:val="00F3577B"/>
    <w:rsid w:val="00F503E9"/>
    <w:rsid w:val="5C20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w:basedOn w:val="1"/>
    <w:next w:val="1"/>
    <w:link w:val="18"/>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12">
    <w:name w:val="footer"/>
    <w:basedOn w:val="1"/>
    <w:link w:val="38"/>
    <w:unhideWhenUsed/>
    <w:uiPriority w:val="99"/>
    <w:pPr>
      <w:tabs>
        <w:tab w:val="center" w:pos="4153"/>
        <w:tab w:val="right" w:pos="8306"/>
      </w:tabs>
      <w:snapToGrid w:val="0"/>
      <w:jc w:val="left"/>
    </w:pPr>
    <w:rPr>
      <w:sz w:val="18"/>
      <w:szCs w:val="18"/>
    </w:rPr>
  </w:style>
  <w:style w:type="paragraph" w:styleId="13">
    <w:name w:val="header"/>
    <w:basedOn w:val="1"/>
    <w:link w:val="37"/>
    <w:unhideWhenUsed/>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sz w:val="56"/>
      <w:szCs w:val="56"/>
    </w:rPr>
  </w:style>
  <w:style w:type="character" w:customStyle="1" w:styleId="18">
    <w:name w:val="正文文本 字符"/>
    <w:basedOn w:val="17"/>
    <w:link w:val="11"/>
    <w:qFormat/>
    <w:uiPriority w:val="99"/>
  </w:style>
  <w:style w:type="character" w:customStyle="1" w:styleId="19">
    <w:name w:val="标题 1 字符"/>
    <w:basedOn w:val="17"/>
    <w:link w:val="2"/>
    <w:uiPriority w:val="9"/>
    <w:rPr>
      <w:rFonts w:asciiTheme="majorHAnsi" w:hAnsiTheme="majorHAnsi" w:eastAsiaTheme="majorEastAsia" w:cstheme="majorBidi"/>
      <w:color w:val="2F5597" w:themeColor="accent1" w:themeShade="BF"/>
      <w:kern w:val="28"/>
      <w:sz w:val="48"/>
      <w:szCs w:val="48"/>
    </w:rPr>
  </w:style>
  <w:style w:type="character" w:customStyle="1" w:styleId="20">
    <w:name w:val="标题 2 字符"/>
    <w:basedOn w:val="17"/>
    <w:link w:val="3"/>
    <w:semiHidden/>
    <w:uiPriority w:val="9"/>
    <w:rPr>
      <w:rFonts w:asciiTheme="majorHAnsi" w:hAnsiTheme="majorHAnsi" w:eastAsiaTheme="majorEastAsia" w:cstheme="majorBidi"/>
      <w:color w:val="2F5597" w:themeColor="accent1" w:themeShade="BF"/>
      <w:kern w:val="28"/>
      <w:sz w:val="40"/>
      <w:szCs w:val="40"/>
    </w:rPr>
  </w:style>
  <w:style w:type="character" w:customStyle="1" w:styleId="21">
    <w:name w:val="标题 3 字符"/>
    <w:basedOn w:val="17"/>
    <w:link w:val="4"/>
    <w:semiHidden/>
    <w:uiPriority w:val="9"/>
    <w:rPr>
      <w:rFonts w:asciiTheme="majorHAnsi" w:hAnsiTheme="majorHAnsi" w:eastAsiaTheme="majorEastAsia" w:cstheme="majorBidi"/>
      <w:color w:val="2F5597" w:themeColor="accent1" w:themeShade="BF"/>
      <w:kern w:val="28"/>
      <w:sz w:val="32"/>
      <w:szCs w:val="32"/>
    </w:rPr>
  </w:style>
  <w:style w:type="character" w:customStyle="1" w:styleId="22">
    <w:name w:val="标题 4 字符"/>
    <w:basedOn w:val="17"/>
    <w:link w:val="5"/>
    <w:semiHidden/>
    <w:qFormat/>
    <w:uiPriority w:val="9"/>
    <w:rPr>
      <w:rFonts w:asciiTheme="minorHAnsi" w:hAnsiTheme="minorHAnsi" w:eastAsiaTheme="minorEastAsia" w:cstheme="majorBidi"/>
      <w:color w:val="2F5597" w:themeColor="accent1" w:themeShade="BF"/>
      <w:kern w:val="28"/>
      <w:sz w:val="28"/>
      <w:szCs w:val="28"/>
    </w:rPr>
  </w:style>
  <w:style w:type="character" w:customStyle="1" w:styleId="23">
    <w:name w:val="标题 5 字符"/>
    <w:basedOn w:val="17"/>
    <w:link w:val="6"/>
    <w:semiHidden/>
    <w:uiPriority w:val="9"/>
    <w:rPr>
      <w:rFonts w:asciiTheme="minorHAnsi" w:hAnsiTheme="minorHAnsi" w:eastAsiaTheme="minorEastAsia" w:cstheme="majorBidi"/>
      <w:color w:val="2F5597" w:themeColor="accent1" w:themeShade="BF"/>
      <w:kern w:val="28"/>
      <w:szCs w:val="24"/>
    </w:rPr>
  </w:style>
  <w:style w:type="character" w:customStyle="1" w:styleId="24">
    <w:name w:val="标题 6 字符"/>
    <w:basedOn w:val="17"/>
    <w:link w:val="7"/>
    <w:semiHidden/>
    <w:uiPriority w:val="9"/>
    <w:rPr>
      <w:rFonts w:asciiTheme="minorHAnsi" w:hAnsiTheme="minorHAnsi" w:eastAsiaTheme="minorEastAsia" w:cstheme="majorBidi"/>
      <w:b/>
      <w:bCs/>
      <w:color w:val="2F5597" w:themeColor="accent1" w:themeShade="BF"/>
      <w:kern w:val="28"/>
      <w:szCs w:val="20"/>
    </w:rPr>
  </w:style>
  <w:style w:type="character" w:customStyle="1" w:styleId="25">
    <w:name w:val="标题 7 字符"/>
    <w:basedOn w:val="17"/>
    <w:link w:val="8"/>
    <w:semiHidden/>
    <w:uiPriority w:val="9"/>
    <w:rPr>
      <w:rFonts w:asciiTheme="minorHAnsi" w:hAnsiTheme="minorHAnsi" w:eastAsiaTheme="minorEastAsia" w:cstheme="majorBidi"/>
      <w:b/>
      <w:bCs/>
      <w:color w:val="595959" w:themeColor="text1" w:themeTint="A6"/>
      <w:kern w:val="28"/>
      <w:szCs w:val="20"/>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asciiTheme="minorHAnsi" w:hAnsiTheme="minorHAnsi" w:eastAsiaTheme="minorEastAsia" w:cstheme="majorBidi"/>
      <w:color w:val="595959" w:themeColor="text1" w:themeTint="A6"/>
      <w:kern w:val="28"/>
      <w:szCs w:val="20"/>
      <w14:textFill>
        <w14:solidFill>
          <w14:schemeClr w14:val="tx1">
            <w14:lumMod w14:val="65000"/>
            <w14:lumOff w14:val="35000"/>
          </w14:schemeClr>
        </w14:solidFill>
      </w14:textFill>
    </w:rPr>
  </w:style>
  <w:style w:type="character" w:customStyle="1" w:styleId="27">
    <w:name w:val="标题 9 字符"/>
    <w:basedOn w:val="17"/>
    <w:link w:val="10"/>
    <w:semiHidden/>
    <w:uiPriority w:val="9"/>
    <w:rPr>
      <w:rFonts w:asciiTheme="minorHAnsi" w:hAnsiTheme="minorHAnsi" w:eastAsiaTheme="majorEastAsia" w:cstheme="majorBidi"/>
      <w:color w:val="595959" w:themeColor="text1" w:themeTint="A6"/>
      <w:kern w:val="28"/>
      <w:szCs w:val="20"/>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uiPriority w:val="11"/>
    <w:rPr>
      <w:rFonts w:asciiTheme="majorHAnsi" w:hAnsiTheme="majorHAnsi" w:eastAsiaTheme="majorEastAsia" w:cstheme="majorBidi"/>
      <w:color w:val="595959" w:themeColor="text1" w:themeTint="A6"/>
      <w:spacing w:val="15"/>
      <w:kern w:val="28"/>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uiPriority w:val="29"/>
    <w:rPr>
      <w:rFonts w:cs="Times New Roman"/>
      <w:i/>
      <w:iCs/>
      <w:color w:val="404040" w:themeColor="text1" w:themeTint="BF"/>
      <w:kern w:val="28"/>
      <w:szCs w:val="20"/>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uiPriority w:val="30"/>
    <w:rPr>
      <w:rFonts w:cs="Times New Roman"/>
      <w:i/>
      <w:iCs/>
      <w:color w:val="2F5597" w:themeColor="accent1" w:themeShade="BF"/>
      <w:kern w:val="28"/>
      <w:szCs w:val="20"/>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眉 字符"/>
    <w:basedOn w:val="17"/>
    <w:link w:val="13"/>
    <w:uiPriority w:val="99"/>
    <w:rPr>
      <w:rFonts w:cs="Times New Roman"/>
      <w:kern w:val="28"/>
      <w:sz w:val="18"/>
      <w:szCs w:val="18"/>
    </w:rPr>
  </w:style>
  <w:style w:type="character" w:customStyle="1" w:styleId="38">
    <w:name w:val="页脚 字符"/>
    <w:basedOn w:val="17"/>
    <w:link w:val="12"/>
    <w:uiPriority w:val="99"/>
    <w:rPr>
      <w:rFonts w:cs="Times New Roman"/>
      <w:kern w:val="28"/>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5684</Words>
  <Characters>6274</Characters>
  <Lines>47</Lines>
  <Paragraphs>13</Paragraphs>
  <TotalTime>2</TotalTime>
  <ScaleCrop>false</ScaleCrop>
  <LinksUpToDate>false</LinksUpToDate>
  <CharactersWithSpaces>6367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2025-03-11T17:21:00Z</dcterms:created>
  <dc:creator>nan hao</dc:creator>
  <cp:lastModifiedBy>李娜</cp:lastModifiedBy>
  <cp:lastPrinted>2025-03-12T11:04:00Z</cp:lastPrinted>
  <dcterms:modified xsi:type="dcterms:W3CDTF">2025-03-14T03:30:25Z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2052-12.1.0.20305</vt:lpwstr>
  </property>
  <property fmtid="{D5CDD505-2E9C-101B-9397-08002B2CF9AE}" pid="4" name="ICV">
    <vt:lpwstr>374297CF277048A595F49A153403BF1E_12</vt:lpwstr>
  </property>
</Properties>
</file>