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61F929">
      <w:pPr>
        <w:rPr>
          <w:rFonts w:hint="eastAsia" w:ascii="宋体" w:hAnsi="宋体" w:cs="宋体"/>
          <w:b/>
          <w:color w:val="auto"/>
          <w:sz w:val="28"/>
          <w:szCs w:val="28"/>
          <w:highlight w:val="none"/>
        </w:rPr>
      </w:pPr>
      <w:bookmarkStart w:id="19" w:name="_GoBack"/>
      <w:bookmarkEnd w:id="19"/>
      <w:r>
        <w:rPr>
          <w:rFonts w:hint="eastAsia" w:ascii="宋体" w:hAnsi="宋体" w:cs="宋体"/>
          <w:b/>
          <w:color w:val="auto"/>
          <w:sz w:val="28"/>
          <w:szCs w:val="28"/>
          <w:highlight w:val="none"/>
        </w:rPr>
        <w:t>附件1：资格审查条件</w:t>
      </w:r>
    </w:p>
    <w:p w14:paraId="19639AD3">
      <w:pPr>
        <w:pStyle w:val="14"/>
        <w:rPr>
          <w:rFonts w:hint="eastAsia"/>
          <w:color w:val="auto"/>
          <w:highlight w:val="none"/>
        </w:rPr>
      </w:pPr>
    </w:p>
    <w:p w14:paraId="39ACEFFC">
      <w:pPr>
        <w:adjustRightInd w:val="0"/>
        <w:snapToGrid w:val="0"/>
        <w:spacing w:line="360" w:lineRule="auto"/>
        <w:jc w:val="center"/>
        <w:rPr>
          <w:rFonts w:ascii="宋体" w:hAnsi="宋体"/>
          <w:b/>
          <w:bCs/>
          <w:snapToGrid w:val="0"/>
          <w:color w:val="auto"/>
          <w:kern w:val="0"/>
          <w:sz w:val="24"/>
          <w:szCs w:val="24"/>
          <w:highlight w:val="none"/>
        </w:rPr>
      </w:pPr>
    </w:p>
    <w:p w14:paraId="2F220F38">
      <w:pPr>
        <w:adjustRightInd w:val="0"/>
        <w:snapToGrid w:val="0"/>
        <w:spacing w:line="360" w:lineRule="auto"/>
        <w:jc w:val="center"/>
        <w:rPr>
          <w:rFonts w:ascii="宋体" w:hAnsi="宋体"/>
          <w:b/>
          <w:bCs/>
          <w:snapToGrid w:val="0"/>
          <w:color w:val="auto"/>
          <w:kern w:val="0"/>
          <w:sz w:val="24"/>
          <w:szCs w:val="24"/>
          <w:highlight w:val="none"/>
        </w:rPr>
      </w:pPr>
    </w:p>
    <w:p w14:paraId="27962F0B">
      <w:pPr>
        <w:adjustRightInd w:val="0"/>
        <w:snapToGrid w:val="0"/>
        <w:spacing w:line="360" w:lineRule="auto"/>
        <w:jc w:val="center"/>
        <w:rPr>
          <w:rFonts w:ascii="宋体" w:hAnsi="宋体"/>
          <w:b/>
          <w:bCs/>
          <w:snapToGrid w:val="0"/>
          <w:color w:val="auto"/>
          <w:kern w:val="0"/>
          <w:sz w:val="24"/>
          <w:szCs w:val="24"/>
          <w:highlight w:val="none"/>
        </w:rPr>
      </w:pPr>
      <w:r>
        <w:rPr>
          <w:rFonts w:ascii="宋体" w:hAnsi="宋体"/>
          <w:b/>
          <w:bCs/>
          <w:snapToGrid w:val="0"/>
          <w:color w:val="auto"/>
          <w:kern w:val="0"/>
          <w:sz w:val="24"/>
          <w:szCs w:val="24"/>
          <w:highlight w:val="none"/>
        </w:rPr>
        <w:t>附录1  资格审查条件（资质最低要求）</w:t>
      </w:r>
    </w:p>
    <w:tbl>
      <w:tblPr>
        <w:tblStyle w:val="11"/>
        <w:tblW w:w="5000"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1820"/>
        <w:gridCol w:w="6702"/>
      </w:tblGrid>
      <w:tr w14:paraId="7BCB82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7" w:hRule="atLeast"/>
          <w:jc w:val="center"/>
        </w:trPr>
        <w:tc>
          <w:tcPr>
            <w:tcW w:w="1613" w:type="dxa"/>
            <w:tcBorders>
              <w:top w:val="single" w:color="000000" w:sz="2" w:space="0"/>
              <w:left w:val="single" w:color="auto" w:sz="4" w:space="0"/>
              <w:bottom w:val="single" w:color="000000" w:sz="4" w:space="0"/>
              <w:right w:val="single" w:color="000000" w:sz="2" w:space="0"/>
            </w:tcBorders>
            <w:noWrap w:val="0"/>
            <w:vAlign w:val="center"/>
          </w:tcPr>
          <w:p w14:paraId="4E6D284E">
            <w:pPr>
              <w:adjustRightInd w:val="0"/>
              <w:snapToGrid w:val="0"/>
              <w:spacing w:line="240" w:lineRule="auto"/>
              <w:jc w:val="center"/>
              <w:textAlignment w:val="baseline"/>
              <w:rPr>
                <w:rStyle w:val="15"/>
                <w:rFonts w:ascii="宋体" w:hAnsi="宋体"/>
                <w:b w:val="0"/>
                <w:bCs w:val="0"/>
                <w:snapToGrid w:val="0"/>
                <w:color w:val="auto"/>
                <w:kern w:val="0"/>
                <w:sz w:val="24"/>
                <w:szCs w:val="24"/>
                <w:highlight w:val="none"/>
              </w:rPr>
            </w:pPr>
            <w:r>
              <w:rPr>
                <w:rFonts w:hint="eastAsia" w:ascii="宋体" w:hAnsi="宋体" w:cs="宋体"/>
                <w:b w:val="0"/>
                <w:bCs w:val="0"/>
                <w:color w:val="auto"/>
                <w:sz w:val="24"/>
                <w:szCs w:val="24"/>
                <w:highlight w:val="none"/>
              </w:rPr>
              <w:t>投标人身份</w:t>
            </w:r>
          </w:p>
        </w:tc>
        <w:tc>
          <w:tcPr>
            <w:tcW w:w="5940" w:type="dxa"/>
            <w:tcBorders>
              <w:top w:val="single" w:color="000000" w:sz="2" w:space="0"/>
              <w:left w:val="single" w:color="auto" w:sz="4" w:space="0"/>
              <w:bottom w:val="single" w:color="000000" w:sz="4" w:space="0"/>
              <w:right w:val="single" w:color="000000" w:sz="2" w:space="0"/>
            </w:tcBorders>
            <w:noWrap w:val="0"/>
            <w:vAlign w:val="center"/>
          </w:tcPr>
          <w:p w14:paraId="71D46251">
            <w:pPr>
              <w:adjustRightInd w:val="0"/>
              <w:snapToGrid w:val="0"/>
              <w:spacing w:line="240" w:lineRule="auto"/>
              <w:jc w:val="center"/>
              <w:textAlignment w:val="baseline"/>
              <w:rPr>
                <w:rStyle w:val="15"/>
                <w:rFonts w:ascii="宋体" w:hAnsi="宋体"/>
                <w:b w:val="0"/>
                <w:bCs w:val="0"/>
                <w:snapToGrid w:val="0"/>
                <w:color w:val="auto"/>
                <w:kern w:val="0"/>
                <w:sz w:val="24"/>
                <w:szCs w:val="24"/>
                <w:highlight w:val="none"/>
              </w:rPr>
            </w:pPr>
            <w:r>
              <w:rPr>
                <w:rStyle w:val="15"/>
                <w:rFonts w:ascii="宋体" w:hAnsi="宋体"/>
                <w:b w:val="0"/>
                <w:bCs w:val="0"/>
                <w:snapToGrid w:val="0"/>
                <w:color w:val="auto"/>
                <w:kern w:val="0"/>
                <w:sz w:val="24"/>
                <w:szCs w:val="24"/>
                <w:highlight w:val="none"/>
              </w:rPr>
              <w:t>资质要求</w:t>
            </w:r>
          </w:p>
        </w:tc>
      </w:tr>
      <w:tr w14:paraId="1D9830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134" w:hRule="atLeast"/>
          <w:jc w:val="center"/>
        </w:trPr>
        <w:tc>
          <w:tcPr>
            <w:tcW w:w="1613" w:type="dxa"/>
            <w:tcBorders>
              <w:top w:val="single" w:color="000000" w:sz="2" w:space="0"/>
              <w:left w:val="single" w:color="auto" w:sz="4" w:space="0"/>
              <w:bottom w:val="single" w:color="000000" w:sz="2" w:space="0"/>
              <w:right w:val="single" w:color="000000" w:sz="2" w:space="0"/>
            </w:tcBorders>
            <w:noWrap w:val="0"/>
            <w:vAlign w:val="center"/>
          </w:tcPr>
          <w:p w14:paraId="453D9D44">
            <w:pPr>
              <w:pStyle w:val="17"/>
              <w:adjustRightInd w:val="0"/>
              <w:snapToGrid w:val="0"/>
              <w:spacing w:line="240" w:lineRule="auto"/>
              <w:rPr>
                <w:rStyle w:val="15"/>
                <w:rFonts w:hAnsi="宋体"/>
                <w:bCs w:val="0"/>
                <w:snapToGrid w:val="0"/>
                <w:color w:val="auto"/>
                <w:sz w:val="24"/>
                <w:szCs w:val="24"/>
                <w:highlight w:val="none"/>
              </w:rPr>
            </w:pPr>
            <w:r>
              <w:rPr>
                <w:rFonts w:hint="eastAsia" w:hAnsi="宋体" w:cs="宋体"/>
                <w:color w:val="auto"/>
                <w:sz w:val="24"/>
                <w:szCs w:val="24"/>
                <w:highlight w:val="none"/>
              </w:rPr>
              <w:t>制造商</w:t>
            </w:r>
          </w:p>
        </w:tc>
        <w:tc>
          <w:tcPr>
            <w:tcW w:w="5940" w:type="dxa"/>
            <w:tcBorders>
              <w:top w:val="single" w:color="000000" w:sz="2" w:space="0"/>
              <w:left w:val="single" w:color="auto" w:sz="4" w:space="0"/>
              <w:bottom w:val="single" w:color="000000" w:sz="2" w:space="0"/>
              <w:right w:val="single" w:color="000000" w:sz="2" w:space="0"/>
            </w:tcBorders>
            <w:noWrap w:val="0"/>
            <w:vAlign w:val="center"/>
          </w:tcPr>
          <w:p w14:paraId="43048103">
            <w:pPr>
              <w:pStyle w:val="17"/>
              <w:adjustRightInd w:val="0"/>
              <w:snapToGrid w:val="0"/>
              <w:spacing w:line="240" w:lineRule="auto"/>
              <w:jc w:val="both"/>
              <w:rPr>
                <w:rStyle w:val="15"/>
                <w:rFonts w:hint="eastAsia" w:hAnsi="宋体"/>
                <w:bCs w:val="0"/>
                <w:snapToGrid w:val="0"/>
                <w:color w:val="auto"/>
                <w:sz w:val="24"/>
                <w:szCs w:val="24"/>
                <w:highlight w:val="none"/>
              </w:rPr>
            </w:pPr>
            <w:r>
              <w:rPr>
                <w:rFonts w:hint="eastAsia" w:hAnsi="宋体"/>
                <w:color w:val="auto"/>
                <w:sz w:val="24"/>
                <w:szCs w:val="24"/>
                <w:highlight w:val="none"/>
              </w:rPr>
              <w:t>投标人应为在中华人民共和国境内合法注册、具有独立法人资格、</w:t>
            </w:r>
            <w:r>
              <w:rPr>
                <w:rFonts w:hint="eastAsia" w:hAnsi="宋体"/>
                <w:iCs/>
                <w:color w:val="auto"/>
                <w:sz w:val="24"/>
                <w:szCs w:val="24"/>
                <w:highlight w:val="none"/>
              </w:rPr>
              <w:t>持有有效的营业执照的制造商。</w:t>
            </w:r>
          </w:p>
        </w:tc>
      </w:tr>
      <w:tr w14:paraId="79DFE7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134" w:hRule="atLeast"/>
          <w:jc w:val="center"/>
        </w:trPr>
        <w:tc>
          <w:tcPr>
            <w:tcW w:w="1613" w:type="dxa"/>
            <w:tcBorders>
              <w:top w:val="single" w:color="000000" w:sz="2" w:space="0"/>
              <w:left w:val="single" w:color="auto" w:sz="4" w:space="0"/>
              <w:bottom w:val="single" w:color="000000" w:sz="2" w:space="0"/>
              <w:right w:val="single" w:color="000000" w:sz="2" w:space="0"/>
            </w:tcBorders>
            <w:noWrap w:val="0"/>
            <w:vAlign w:val="center"/>
          </w:tcPr>
          <w:p w14:paraId="649F127C">
            <w:pPr>
              <w:pStyle w:val="17"/>
              <w:adjustRightInd w:val="0"/>
              <w:snapToGrid w:val="0"/>
              <w:spacing w:line="240" w:lineRule="auto"/>
              <w:rPr>
                <w:rStyle w:val="15"/>
                <w:rFonts w:hAnsi="宋体"/>
                <w:bCs w:val="0"/>
                <w:snapToGrid w:val="0"/>
                <w:color w:val="auto"/>
                <w:sz w:val="24"/>
                <w:szCs w:val="24"/>
                <w:highlight w:val="none"/>
              </w:rPr>
            </w:pPr>
            <w:r>
              <w:rPr>
                <w:rFonts w:hint="eastAsia" w:hAnsi="宋体" w:cs="宋体"/>
                <w:color w:val="auto"/>
                <w:sz w:val="24"/>
                <w:szCs w:val="24"/>
                <w:highlight w:val="none"/>
              </w:rPr>
              <w:t>代理商</w:t>
            </w:r>
          </w:p>
        </w:tc>
        <w:tc>
          <w:tcPr>
            <w:tcW w:w="5940" w:type="dxa"/>
            <w:tcBorders>
              <w:top w:val="single" w:color="000000" w:sz="2" w:space="0"/>
              <w:left w:val="single" w:color="auto" w:sz="4" w:space="0"/>
              <w:bottom w:val="single" w:color="000000" w:sz="2" w:space="0"/>
              <w:right w:val="single" w:color="000000" w:sz="2" w:space="0"/>
            </w:tcBorders>
            <w:noWrap w:val="0"/>
            <w:vAlign w:val="center"/>
          </w:tcPr>
          <w:p w14:paraId="54ABEE84">
            <w:pPr>
              <w:pStyle w:val="17"/>
              <w:adjustRightInd w:val="0"/>
              <w:snapToGrid w:val="0"/>
              <w:spacing w:line="240" w:lineRule="auto"/>
              <w:jc w:val="both"/>
              <w:rPr>
                <w:rStyle w:val="15"/>
                <w:rFonts w:hAnsi="宋体"/>
                <w:bCs w:val="0"/>
                <w:snapToGrid w:val="0"/>
                <w:color w:val="auto"/>
                <w:sz w:val="24"/>
                <w:szCs w:val="24"/>
                <w:highlight w:val="none"/>
              </w:rPr>
            </w:pPr>
            <w:r>
              <w:rPr>
                <w:rFonts w:hint="eastAsia" w:hAnsi="宋体"/>
                <w:color w:val="auto"/>
                <w:sz w:val="24"/>
                <w:szCs w:val="24"/>
                <w:highlight w:val="none"/>
              </w:rPr>
              <w:t>投标人应为在中华人民共和国境内合法注册、具有法人资格、</w:t>
            </w:r>
            <w:r>
              <w:rPr>
                <w:rFonts w:hint="eastAsia" w:hAnsi="宋体"/>
                <w:iCs/>
                <w:color w:val="auto"/>
                <w:sz w:val="24"/>
                <w:szCs w:val="24"/>
                <w:highlight w:val="none"/>
              </w:rPr>
              <w:t>持有有效的营业执照</w:t>
            </w:r>
            <w:r>
              <w:rPr>
                <w:rFonts w:hint="eastAsia" w:hAnsi="宋体"/>
                <w:iCs/>
                <w:color w:val="auto"/>
                <w:sz w:val="24"/>
                <w:szCs w:val="24"/>
                <w:highlight w:val="none"/>
                <w:lang w:val="en-US" w:eastAsia="zh-CN"/>
              </w:rPr>
              <w:t>的</w:t>
            </w:r>
            <w:r>
              <w:rPr>
                <w:rFonts w:hint="eastAsia" w:hAnsi="宋体"/>
                <w:color w:val="auto"/>
                <w:sz w:val="24"/>
                <w:szCs w:val="24"/>
                <w:highlight w:val="none"/>
              </w:rPr>
              <w:t>代理商，且具有制造商出具的针对本招标项目所投设备的唯一授权书。</w:t>
            </w:r>
          </w:p>
        </w:tc>
      </w:tr>
    </w:tbl>
    <w:p w14:paraId="22EFD1F4">
      <w:pPr>
        <w:pStyle w:val="4"/>
        <w:spacing w:line="240" w:lineRule="auto"/>
        <w:ind w:left="0" w:leftChars="0" w:firstLine="0" w:firstLineChars="0"/>
        <w:jc w:val="center"/>
        <w:rPr>
          <w:rFonts w:hint="eastAsia"/>
          <w:color w:val="auto"/>
          <w:sz w:val="24"/>
          <w:szCs w:val="24"/>
          <w:highlight w:val="none"/>
        </w:rPr>
      </w:pPr>
    </w:p>
    <w:p w14:paraId="440DCFD6">
      <w:pPr>
        <w:spacing w:line="240" w:lineRule="auto"/>
        <w:jc w:val="center"/>
        <w:rPr>
          <w:rFonts w:ascii="宋体" w:hAnsi="宋体"/>
          <w:b/>
          <w:bCs/>
          <w:snapToGrid w:val="0"/>
          <w:color w:val="auto"/>
          <w:kern w:val="0"/>
          <w:sz w:val="24"/>
          <w:szCs w:val="24"/>
          <w:highlight w:val="none"/>
        </w:rPr>
      </w:pPr>
    </w:p>
    <w:p w14:paraId="2312B167">
      <w:pPr>
        <w:spacing w:line="240" w:lineRule="auto"/>
        <w:jc w:val="center"/>
        <w:rPr>
          <w:rFonts w:ascii="宋体" w:hAnsi="宋体"/>
          <w:b/>
          <w:bCs/>
          <w:snapToGrid w:val="0"/>
          <w:color w:val="auto"/>
          <w:kern w:val="0"/>
          <w:sz w:val="24"/>
          <w:szCs w:val="24"/>
          <w:highlight w:val="none"/>
        </w:rPr>
      </w:pPr>
    </w:p>
    <w:p w14:paraId="01050738">
      <w:pPr>
        <w:spacing w:line="240" w:lineRule="auto"/>
        <w:jc w:val="center"/>
        <w:rPr>
          <w:rFonts w:hint="eastAsia" w:ascii="宋体" w:hAnsi="宋体"/>
          <w:color w:val="auto"/>
          <w:sz w:val="24"/>
          <w:szCs w:val="24"/>
          <w:highlight w:val="none"/>
        </w:rPr>
      </w:pPr>
      <w:r>
        <w:rPr>
          <w:rFonts w:ascii="宋体" w:hAnsi="宋体"/>
          <w:b/>
          <w:bCs/>
          <w:snapToGrid w:val="0"/>
          <w:color w:val="auto"/>
          <w:kern w:val="0"/>
          <w:sz w:val="24"/>
          <w:szCs w:val="24"/>
          <w:highlight w:val="none"/>
        </w:rPr>
        <w:t>附录2  资格审查条件（业绩最低要求）</w:t>
      </w:r>
    </w:p>
    <w:tbl>
      <w:tblPr>
        <w:tblStyle w:val="11"/>
        <w:tblW w:w="5000"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8522"/>
      </w:tblGrid>
      <w:tr w14:paraId="367A6E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5000" w:type="pct"/>
            <w:tcBorders>
              <w:top w:val="single" w:color="000000" w:sz="2" w:space="0"/>
              <w:left w:val="single" w:color="auto" w:sz="4" w:space="0"/>
              <w:bottom w:val="single" w:color="000000" w:sz="4" w:space="0"/>
              <w:right w:val="single" w:color="000000" w:sz="2" w:space="0"/>
            </w:tcBorders>
            <w:noWrap w:val="0"/>
            <w:vAlign w:val="center"/>
          </w:tcPr>
          <w:p w14:paraId="5692F734">
            <w:pPr>
              <w:adjustRightInd w:val="0"/>
              <w:snapToGrid w:val="0"/>
              <w:spacing w:line="240" w:lineRule="auto"/>
              <w:jc w:val="center"/>
              <w:textAlignment w:val="baseline"/>
              <w:rPr>
                <w:rStyle w:val="15"/>
                <w:rFonts w:ascii="宋体" w:hAnsi="宋体"/>
                <w:snapToGrid w:val="0"/>
                <w:color w:val="auto"/>
                <w:kern w:val="0"/>
                <w:sz w:val="24"/>
                <w:szCs w:val="24"/>
                <w:highlight w:val="none"/>
              </w:rPr>
            </w:pPr>
            <w:r>
              <w:rPr>
                <w:rStyle w:val="15"/>
                <w:rFonts w:ascii="宋体" w:hAnsi="宋体"/>
                <w:snapToGrid w:val="0"/>
                <w:color w:val="auto"/>
                <w:kern w:val="0"/>
                <w:sz w:val="24"/>
                <w:szCs w:val="24"/>
                <w:highlight w:val="none"/>
              </w:rPr>
              <w:t>业绩要求</w:t>
            </w:r>
          </w:p>
        </w:tc>
      </w:tr>
      <w:tr w14:paraId="6BA989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230" w:hRule="atLeast"/>
          <w:jc w:val="center"/>
        </w:trPr>
        <w:tc>
          <w:tcPr>
            <w:tcW w:w="5000" w:type="pct"/>
            <w:tcBorders>
              <w:top w:val="single" w:color="000000" w:sz="2" w:space="0"/>
              <w:left w:val="single" w:color="auto" w:sz="4" w:space="0"/>
              <w:bottom w:val="single" w:color="000000" w:sz="2" w:space="0"/>
              <w:right w:val="single" w:color="000000" w:sz="2" w:space="0"/>
            </w:tcBorders>
            <w:noWrap w:val="0"/>
            <w:vAlign w:val="center"/>
          </w:tcPr>
          <w:p w14:paraId="47E41693">
            <w:pPr>
              <w:adjustRightInd w:val="0"/>
              <w:snapToGrid w:val="0"/>
              <w:spacing w:line="240" w:lineRule="auto"/>
              <w:ind w:firstLine="480" w:firstLineChars="200"/>
              <w:jc w:val="center"/>
              <w:rPr>
                <w:rStyle w:val="15"/>
                <w:rFonts w:hint="eastAsia" w:hAnsi="宋体"/>
                <w:bCs w:val="0"/>
                <w:snapToGrid w:val="0"/>
                <w:color w:val="auto"/>
                <w:sz w:val="24"/>
                <w:szCs w:val="24"/>
                <w:highlight w:val="none"/>
              </w:rPr>
            </w:pPr>
            <w:r>
              <w:rPr>
                <w:rStyle w:val="15"/>
                <w:rFonts w:hint="eastAsia" w:hAnsi="宋体"/>
                <w:bCs w:val="0"/>
                <w:snapToGrid w:val="0"/>
                <w:color w:val="auto"/>
                <w:sz w:val="24"/>
                <w:szCs w:val="24"/>
                <w:highlight w:val="none"/>
              </w:rPr>
              <w:t>近</w:t>
            </w:r>
            <w:r>
              <w:rPr>
                <w:rStyle w:val="15"/>
                <w:rFonts w:hAnsi="宋体"/>
                <w:bCs w:val="0"/>
                <w:snapToGrid w:val="0"/>
                <w:color w:val="auto"/>
                <w:sz w:val="24"/>
                <w:szCs w:val="24"/>
                <w:highlight w:val="none"/>
              </w:rPr>
              <w:t>5</w:t>
            </w:r>
            <w:r>
              <w:rPr>
                <w:rStyle w:val="15"/>
                <w:rFonts w:hint="eastAsia" w:hAnsi="宋体"/>
                <w:bCs w:val="0"/>
                <w:snapToGrid w:val="0"/>
                <w:color w:val="auto"/>
                <w:sz w:val="24"/>
                <w:szCs w:val="24"/>
                <w:highlight w:val="none"/>
              </w:rPr>
              <w:t>年内（20</w:t>
            </w:r>
            <w:r>
              <w:rPr>
                <w:rStyle w:val="15"/>
                <w:rFonts w:hint="eastAsia" w:hAnsi="宋体"/>
                <w:bCs w:val="0"/>
                <w:snapToGrid w:val="0"/>
                <w:color w:val="auto"/>
                <w:sz w:val="24"/>
                <w:szCs w:val="24"/>
                <w:highlight w:val="none"/>
                <w:lang w:val="en-US" w:eastAsia="zh-CN"/>
              </w:rPr>
              <w:t>20</w:t>
            </w:r>
            <w:r>
              <w:rPr>
                <w:rStyle w:val="15"/>
                <w:rFonts w:hint="eastAsia" w:hAnsi="宋体"/>
                <w:bCs w:val="0"/>
                <w:snapToGrid w:val="0"/>
                <w:color w:val="auto"/>
                <w:sz w:val="24"/>
                <w:szCs w:val="24"/>
                <w:highlight w:val="none"/>
              </w:rPr>
              <w:t>年</w:t>
            </w:r>
            <w:r>
              <w:rPr>
                <w:rStyle w:val="15"/>
                <w:rFonts w:hint="eastAsia" w:hAnsi="宋体"/>
                <w:bCs w:val="0"/>
                <w:snapToGrid w:val="0"/>
                <w:color w:val="auto"/>
                <w:sz w:val="24"/>
                <w:szCs w:val="24"/>
                <w:highlight w:val="none"/>
                <w:lang w:val="en-US" w:eastAsia="zh-CN"/>
              </w:rPr>
              <w:t>2</w:t>
            </w:r>
            <w:r>
              <w:rPr>
                <w:rStyle w:val="15"/>
                <w:rFonts w:hint="eastAsia" w:hAnsi="宋体"/>
                <w:bCs w:val="0"/>
                <w:snapToGrid w:val="0"/>
                <w:color w:val="auto"/>
                <w:sz w:val="24"/>
                <w:szCs w:val="24"/>
                <w:highlight w:val="none"/>
              </w:rPr>
              <w:t>月1日至今，以合同签订时间为准）至少</w:t>
            </w:r>
            <w:r>
              <w:rPr>
                <w:rStyle w:val="15"/>
                <w:rFonts w:hint="eastAsia" w:hAnsi="宋体"/>
                <w:bCs w:val="0"/>
                <w:snapToGrid w:val="0"/>
                <w:color w:val="auto"/>
                <w:sz w:val="24"/>
                <w:szCs w:val="24"/>
                <w:highlight w:val="none"/>
                <w:lang w:val="en-US" w:eastAsia="zh-CN"/>
              </w:rPr>
              <w:t>须同时具有1套800型水泥稳定土拌合设备的供货业绩和1套HZS180型水泥混凝土拌合设备的供货业绩</w:t>
            </w:r>
            <w:r>
              <w:rPr>
                <w:rStyle w:val="15"/>
                <w:rFonts w:hint="eastAsia" w:hAnsi="宋体"/>
                <w:bCs w:val="0"/>
                <w:snapToGrid w:val="0"/>
                <w:color w:val="auto"/>
                <w:sz w:val="24"/>
                <w:szCs w:val="24"/>
                <w:highlight w:val="none"/>
              </w:rPr>
              <w:t>。</w:t>
            </w:r>
          </w:p>
          <w:p w14:paraId="67EDDE6A">
            <w:pPr>
              <w:adjustRightInd w:val="0"/>
              <w:snapToGrid w:val="0"/>
              <w:spacing w:line="240" w:lineRule="auto"/>
              <w:jc w:val="center"/>
              <w:rPr>
                <w:rStyle w:val="15"/>
                <w:rFonts w:hint="eastAsia" w:hAnsi="宋体" w:eastAsia="宋体"/>
                <w:bCs w:val="0"/>
                <w:snapToGrid w:val="0"/>
                <w:color w:val="auto"/>
                <w:sz w:val="24"/>
                <w:szCs w:val="24"/>
                <w:highlight w:val="none"/>
                <w:lang w:eastAsia="zh-CN"/>
              </w:rPr>
            </w:pPr>
            <w:r>
              <w:rPr>
                <w:rFonts w:hint="eastAsia" w:ascii="宋体" w:hAnsi="宋体"/>
                <w:snapToGrid w:val="0"/>
                <w:color w:val="auto"/>
                <w:kern w:val="0"/>
                <w:sz w:val="24"/>
                <w:szCs w:val="24"/>
                <w:highlight w:val="none"/>
              </w:rPr>
              <w:t>注：代理商和制造商的业绩可互用，以上业绩不包含制造商和代理商签订的合同。</w:t>
            </w:r>
          </w:p>
        </w:tc>
      </w:tr>
    </w:tbl>
    <w:p w14:paraId="3C117C30">
      <w:pPr>
        <w:adjustRightInd w:val="0"/>
        <w:snapToGrid w:val="0"/>
        <w:spacing w:line="360" w:lineRule="auto"/>
        <w:jc w:val="center"/>
        <w:rPr>
          <w:rFonts w:ascii="宋体" w:hAnsi="宋体"/>
          <w:b/>
          <w:bCs/>
          <w:snapToGrid w:val="0"/>
          <w:color w:val="auto"/>
          <w:kern w:val="0"/>
          <w:sz w:val="24"/>
          <w:szCs w:val="24"/>
          <w:highlight w:val="none"/>
        </w:rPr>
      </w:pPr>
    </w:p>
    <w:p w14:paraId="5758ADE0">
      <w:pPr>
        <w:adjustRightInd w:val="0"/>
        <w:snapToGrid w:val="0"/>
        <w:spacing w:line="360" w:lineRule="auto"/>
        <w:jc w:val="center"/>
        <w:rPr>
          <w:rFonts w:ascii="宋体" w:hAnsi="宋体"/>
          <w:b/>
          <w:bCs/>
          <w:snapToGrid w:val="0"/>
          <w:color w:val="auto"/>
          <w:kern w:val="0"/>
          <w:sz w:val="24"/>
          <w:szCs w:val="24"/>
          <w:highlight w:val="none"/>
        </w:rPr>
      </w:pPr>
    </w:p>
    <w:p w14:paraId="62E5D905">
      <w:pPr>
        <w:adjustRightInd w:val="0"/>
        <w:snapToGrid w:val="0"/>
        <w:spacing w:line="360" w:lineRule="auto"/>
        <w:jc w:val="center"/>
        <w:rPr>
          <w:rFonts w:ascii="宋体" w:hAnsi="宋体"/>
          <w:b/>
          <w:bCs/>
          <w:snapToGrid w:val="0"/>
          <w:color w:val="auto"/>
          <w:kern w:val="0"/>
          <w:sz w:val="24"/>
          <w:szCs w:val="24"/>
          <w:highlight w:val="none"/>
        </w:rPr>
      </w:pPr>
      <w:r>
        <w:rPr>
          <w:rFonts w:ascii="宋体" w:hAnsi="宋体"/>
          <w:b/>
          <w:bCs/>
          <w:snapToGrid w:val="0"/>
          <w:color w:val="auto"/>
          <w:kern w:val="0"/>
          <w:sz w:val="24"/>
          <w:szCs w:val="24"/>
          <w:highlight w:val="none"/>
        </w:rPr>
        <w:t>附录3  资格审查条件（信誉最低要求）</w:t>
      </w:r>
    </w:p>
    <w:tbl>
      <w:tblPr>
        <w:tblStyle w:val="11"/>
        <w:tblW w:w="5000"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8522"/>
      </w:tblGrid>
      <w:tr w14:paraId="5EC5F4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7541" w:type="dxa"/>
            <w:tcBorders>
              <w:top w:val="single" w:color="000000" w:sz="2" w:space="0"/>
              <w:left w:val="single" w:color="auto" w:sz="4" w:space="0"/>
              <w:bottom w:val="single" w:color="000000" w:sz="4" w:space="0"/>
              <w:right w:val="single" w:color="000000" w:sz="2" w:space="0"/>
            </w:tcBorders>
            <w:noWrap w:val="0"/>
            <w:vAlign w:val="center"/>
          </w:tcPr>
          <w:p w14:paraId="24C35864">
            <w:pPr>
              <w:adjustRightInd w:val="0"/>
              <w:snapToGrid w:val="0"/>
              <w:spacing w:line="240" w:lineRule="auto"/>
              <w:jc w:val="center"/>
              <w:textAlignment w:val="baseline"/>
              <w:rPr>
                <w:rStyle w:val="15"/>
                <w:rFonts w:ascii="宋体" w:hAnsi="宋体"/>
                <w:snapToGrid w:val="0"/>
                <w:color w:val="auto"/>
                <w:kern w:val="0"/>
                <w:sz w:val="24"/>
                <w:szCs w:val="24"/>
                <w:highlight w:val="none"/>
              </w:rPr>
            </w:pPr>
            <w:r>
              <w:rPr>
                <w:rStyle w:val="15"/>
                <w:rFonts w:ascii="宋体" w:hAnsi="宋体"/>
                <w:snapToGrid w:val="0"/>
                <w:color w:val="auto"/>
                <w:kern w:val="0"/>
                <w:sz w:val="24"/>
                <w:szCs w:val="24"/>
                <w:highlight w:val="none"/>
              </w:rPr>
              <w:t>信誉要求</w:t>
            </w:r>
          </w:p>
        </w:tc>
      </w:tr>
      <w:tr w14:paraId="004262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134" w:hRule="atLeast"/>
          <w:jc w:val="center"/>
        </w:trPr>
        <w:tc>
          <w:tcPr>
            <w:tcW w:w="7541" w:type="dxa"/>
            <w:tcBorders>
              <w:top w:val="single" w:color="000000" w:sz="2" w:space="0"/>
              <w:left w:val="single" w:color="auto" w:sz="4" w:space="0"/>
              <w:right w:val="single" w:color="000000" w:sz="2" w:space="0"/>
            </w:tcBorders>
            <w:noWrap w:val="0"/>
            <w:vAlign w:val="center"/>
          </w:tcPr>
          <w:p w14:paraId="31E71AB0">
            <w:pPr>
              <w:pStyle w:val="13"/>
              <w:spacing w:line="240" w:lineRule="auto"/>
              <w:ind w:firstLineChars="200"/>
              <w:rPr>
                <w:rStyle w:val="15"/>
                <w:rFonts w:ascii="宋体" w:hAnsi="宋体"/>
                <w:snapToGrid w:val="0"/>
                <w:color w:val="auto"/>
                <w:sz w:val="24"/>
                <w:szCs w:val="24"/>
                <w:highlight w:val="none"/>
                <w:lang w:bidi="ar"/>
              </w:rPr>
            </w:pPr>
            <w:r>
              <w:rPr>
                <w:rFonts w:hint="eastAsia" w:ascii="宋体" w:hAnsi="宋体"/>
                <w:snapToGrid w:val="0"/>
                <w:color w:val="auto"/>
                <w:sz w:val="24"/>
                <w:szCs w:val="24"/>
                <w:highlight w:val="none"/>
                <w:lang w:bidi="ar"/>
              </w:rPr>
              <w:t>投标人在近1年内（202</w:t>
            </w:r>
            <w:r>
              <w:rPr>
                <w:rFonts w:hint="eastAsia" w:ascii="宋体" w:hAnsi="宋体"/>
                <w:snapToGrid w:val="0"/>
                <w:color w:val="auto"/>
                <w:sz w:val="24"/>
                <w:szCs w:val="24"/>
                <w:highlight w:val="none"/>
                <w:lang w:val="en-US" w:eastAsia="zh-CN" w:bidi="ar"/>
              </w:rPr>
              <w:t>4</w:t>
            </w:r>
            <w:r>
              <w:rPr>
                <w:rFonts w:hint="eastAsia" w:ascii="宋体" w:hAnsi="宋体"/>
                <w:snapToGrid w:val="0"/>
                <w:color w:val="auto"/>
                <w:sz w:val="24"/>
                <w:szCs w:val="24"/>
                <w:highlight w:val="none"/>
                <w:lang w:bidi="ar"/>
              </w:rPr>
              <w:t>年</w:t>
            </w:r>
            <w:r>
              <w:rPr>
                <w:rFonts w:hint="eastAsia" w:ascii="宋体" w:hAnsi="宋体"/>
                <w:snapToGrid w:val="0"/>
                <w:color w:val="auto"/>
                <w:sz w:val="24"/>
                <w:szCs w:val="24"/>
                <w:highlight w:val="none"/>
                <w:lang w:val="en-US" w:eastAsia="zh-CN" w:bidi="ar"/>
              </w:rPr>
              <w:t>2</w:t>
            </w:r>
            <w:r>
              <w:rPr>
                <w:rFonts w:hint="eastAsia" w:ascii="宋体" w:hAnsi="宋体"/>
                <w:snapToGrid w:val="0"/>
                <w:color w:val="auto"/>
                <w:sz w:val="24"/>
                <w:szCs w:val="24"/>
                <w:highlight w:val="none"/>
                <w:lang w:bidi="ar"/>
              </w:rPr>
              <w:t>月1日至今）不曾在水泥拌合设备供货合同中违约而被驱逐或因投标人自身的原因而使水泥拌合设备供货合同被解除。</w:t>
            </w:r>
          </w:p>
        </w:tc>
      </w:tr>
    </w:tbl>
    <w:p w14:paraId="0D5E5E6D">
      <w:pPr>
        <w:pStyle w:val="2"/>
        <w:spacing w:before="120" w:line="360" w:lineRule="auto"/>
        <w:rPr>
          <w:rFonts w:hint="eastAsia" w:ascii="宋体" w:hAnsi="宋体" w:eastAsia="宋体"/>
          <w:snapToGrid w:val="0"/>
          <w:color w:val="auto"/>
          <w:kern w:val="0"/>
          <w:sz w:val="28"/>
          <w:szCs w:val="28"/>
          <w:highlight w:val="none"/>
          <w:lang w:eastAsia="zh-CN"/>
        </w:rPr>
      </w:pPr>
      <w:r>
        <w:rPr>
          <w:rFonts w:ascii="宋体" w:hAnsi="宋体"/>
          <w:color w:val="auto"/>
          <w:w w:val="99"/>
          <w:sz w:val="28"/>
          <w:szCs w:val="28"/>
          <w:highlight w:val="none"/>
        </w:rPr>
        <w:br w:type="page"/>
      </w:r>
      <w:bookmarkStart w:id="0" w:name="_Toc136511007"/>
      <w:bookmarkStart w:id="1" w:name="_Toc147943860"/>
      <w:bookmarkStart w:id="2" w:name="_Toc10475"/>
      <w:bookmarkStart w:id="3" w:name="_Toc16918"/>
      <w:r>
        <w:rPr>
          <w:rFonts w:ascii="宋体" w:hAnsi="宋体"/>
          <w:snapToGrid w:val="0"/>
          <w:color w:val="auto"/>
          <w:kern w:val="0"/>
          <w:sz w:val="28"/>
          <w:szCs w:val="28"/>
          <w:highlight w:val="none"/>
        </w:rPr>
        <w:t>附件2：</w:t>
      </w:r>
      <w:bookmarkEnd w:id="0"/>
      <w:bookmarkEnd w:id="1"/>
      <w:r>
        <w:rPr>
          <w:rFonts w:hint="eastAsia" w:ascii="宋体" w:hAnsi="宋体"/>
          <w:snapToGrid w:val="0"/>
          <w:color w:val="auto"/>
          <w:kern w:val="0"/>
          <w:sz w:val="28"/>
          <w:szCs w:val="28"/>
          <w:highlight w:val="none"/>
        </w:rPr>
        <w:t>评标办法</w:t>
      </w:r>
      <w:bookmarkEnd w:id="2"/>
      <w:bookmarkEnd w:id="3"/>
    </w:p>
    <w:p w14:paraId="6EFE227B">
      <w:pPr>
        <w:adjustRightInd w:val="0"/>
        <w:snapToGrid w:val="0"/>
        <w:spacing w:line="360" w:lineRule="auto"/>
        <w:jc w:val="center"/>
        <w:textAlignment w:val="baseline"/>
        <w:rPr>
          <w:rFonts w:ascii="宋体" w:hAnsi="宋体"/>
          <w:b/>
          <w:bCs/>
          <w:snapToGrid w:val="0"/>
          <w:color w:val="auto"/>
          <w:kern w:val="0"/>
          <w:sz w:val="24"/>
          <w:highlight w:val="none"/>
        </w:rPr>
      </w:pPr>
      <w:bookmarkStart w:id="4" w:name="_Toc134792341"/>
      <w:bookmarkStart w:id="5" w:name="_Toc134890444"/>
      <w:bookmarkStart w:id="6" w:name="_Toc134792409"/>
      <w:bookmarkStart w:id="7" w:name="_Toc509660966"/>
      <w:bookmarkStart w:id="8" w:name="_Toc509659998"/>
      <w:bookmarkStart w:id="9" w:name="_Toc531949857"/>
      <w:bookmarkStart w:id="10" w:name="_Toc450319202"/>
      <w:bookmarkStart w:id="11" w:name="_Toc134792892"/>
      <w:bookmarkStart w:id="12" w:name="_Toc134890522"/>
      <w:bookmarkStart w:id="13" w:name="_Toc502992691"/>
      <w:bookmarkStart w:id="14" w:name="_Toc459307890"/>
      <w:bookmarkStart w:id="15" w:name="_Toc444271617"/>
      <w:bookmarkStart w:id="16" w:name="_Toc445222503"/>
      <w:bookmarkStart w:id="17" w:name="_Toc445382083"/>
      <w:bookmarkStart w:id="18" w:name="_Toc444088432"/>
      <w:r>
        <w:rPr>
          <w:rFonts w:ascii="宋体" w:hAnsi="宋体"/>
          <w:b/>
          <w:bCs/>
          <w:snapToGrid w:val="0"/>
          <w:color w:val="auto"/>
          <w:kern w:val="0"/>
          <w:sz w:val="24"/>
          <w:highlight w:val="none"/>
        </w:rPr>
        <w:t>评标办法（技术评分最低标价法）</w:t>
      </w:r>
      <w:bookmarkEnd w:id="4"/>
      <w:bookmarkEnd w:id="5"/>
      <w:bookmarkEnd w:id="6"/>
      <w:bookmarkEnd w:id="7"/>
      <w:bookmarkEnd w:id="8"/>
      <w:bookmarkEnd w:id="9"/>
      <w:bookmarkEnd w:id="10"/>
      <w:bookmarkEnd w:id="11"/>
      <w:bookmarkEnd w:id="12"/>
      <w:bookmarkEnd w:id="13"/>
      <w:bookmarkEnd w:id="14"/>
    </w:p>
    <w:bookmarkEnd w:id="15"/>
    <w:bookmarkEnd w:id="16"/>
    <w:bookmarkEnd w:id="17"/>
    <w:bookmarkEnd w:id="18"/>
    <w:p w14:paraId="65C47028">
      <w:pPr>
        <w:adjustRightInd w:val="0"/>
        <w:snapToGrid w:val="0"/>
        <w:spacing w:line="360" w:lineRule="auto"/>
        <w:jc w:val="center"/>
        <w:textAlignment w:val="baseline"/>
        <w:rPr>
          <w:rFonts w:ascii="宋体" w:hAnsi="宋体"/>
          <w:b/>
          <w:bCs/>
          <w:snapToGrid w:val="0"/>
          <w:color w:val="auto"/>
          <w:kern w:val="0"/>
          <w:sz w:val="24"/>
          <w:highlight w:val="none"/>
        </w:rPr>
      </w:pPr>
      <w:r>
        <w:rPr>
          <w:rFonts w:hint="eastAsia" w:ascii="宋体" w:hAnsi="宋体"/>
          <w:b/>
          <w:bCs/>
          <w:snapToGrid w:val="0"/>
          <w:color w:val="auto"/>
          <w:kern w:val="0"/>
          <w:sz w:val="24"/>
          <w:highlight w:val="none"/>
        </w:rPr>
        <w:t>评标办法</w:t>
      </w:r>
      <w:r>
        <w:rPr>
          <w:rFonts w:ascii="宋体" w:hAnsi="宋体"/>
          <w:b/>
          <w:bCs/>
          <w:snapToGrid w:val="0"/>
          <w:color w:val="auto"/>
          <w:kern w:val="0"/>
          <w:sz w:val="24"/>
          <w:highlight w:val="none"/>
        </w:rPr>
        <w:t>前附表</w:t>
      </w:r>
    </w:p>
    <w:tbl>
      <w:tblPr>
        <w:tblStyle w:val="11"/>
        <w:tblW w:w="9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43"/>
        <w:gridCol w:w="1317"/>
        <w:gridCol w:w="7197"/>
      </w:tblGrid>
      <w:tr w14:paraId="19D7A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19" w:hRule="atLeast"/>
          <w:tblHeader/>
          <w:jc w:val="center"/>
        </w:trPr>
        <w:tc>
          <w:tcPr>
            <w:tcW w:w="2460" w:type="dxa"/>
            <w:gridSpan w:val="2"/>
            <w:noWrap w:val="0"/>
            <w:vAlign w:val="center"/>
          </w:tcPr>
          <w:p w14:paraId="0C63BD4F">
            <w:pPr>
              <w:adjustRightInd w:val="0"/>
              <w:snapToGrid w:val="0"/>
              <w:spacing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7197" w:type="dxa"/>
            <w:noWrap w:val="0"/>
            <w:vAlign w:val="center"/>
          </w:tcPr>
          <w:p w14:paraId="61F2D9D2">
            <w:pPr>
              <w:adjustRightInd w:val="0"/>
              <w:snapToGrid w:val="0"/>
              <w:spacing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评审因素与标准</w:t>
            </w:r>
          </w:p>
        </w:tc>
      </w:tr>
      <w:tr w14:paraId="6E620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677" w:hRule="atLeast"/>
          <w:jc w:val="center"/>
        </w:trPr>
        <w:tc>
          <w:tcPr>
            <w:tcW w:w="1143" w:type="dxa"/>
            <w:noWrap w:val="0"/>
            <w:vAlign w:val="center"/>
          </w:tcPr>
          <w:p w14:paraId="4A66E8DE">
            <w:pPr>
              <w:snapToGrid w:val="0"/>
              <w:spacing w:line="240" w:lineRule="auto"/>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1</w:t>
            </w:r>
          </w:p>
        </w:tc>
        <w:tc>
          <w:tcPr>
            <w:tcW w:w="1317" w:type="dxa"/>
            <w:noWrap w:val="0"/>
            <w:vAlign w:val="center"/>
          </w:tcPr>
          <w:p w14:paraId="2E75C0C1">
            <w:pPr>
              <w:snapToGrid w:val="0"/>
              <w:spacing w:line="240" w:lineRule="auto"/>
              <w:jc w:val="center"/>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评标办法</w:t>
            </w:r>
          </w:p>
        </w:tc>
        <w:tc>
          <w:tcPr>
            <w:tcW w:w="7197" w:type="dxa"/>
            <w:noWrap w:val="0"/>
            <w:vAlign w:val="center"/>
          </w:tcPr>
          <w:p w14:paraId="284D1500">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本次评标采用技术评分最低标价法，双信封形式。</w:t>
            </w:r>
          </w:p>
          <w:p w14:paraId="14B082E7">
            <w:pPr>
              <w:snapToGrid w:val="0"/>
              <w:spacing w:line="24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pacing w:val="-1"/>
                <w:sz w:val="24"/>
                <w:szCs w:val="24"/>
                <w:highlight w:val="none"/>
              </w:rPr>
              <w:t>评标委员会对满足招标文件实质性要求的投标文件</w:t>
            </w:r>
            <w:r>
              <w:rPr>
                <w:rFonts w:hint="eastAsia" w:ascii="宋体" w:hAnsi="宋体" w:eastAsia="宋体" w:cs="宋体"/>
                <w:color w:val="auto"/>
                <w:sz w:val="24"/>
                <w:szCs w:val="24"/>
                <w:highlight w:val="none"/>
              </w:rPr>
              <w:t>第一个信封，按照本章第2.2款规定的评分标准进行打分</w:t>
            </w:r>
            <w:r>
              <w:rPr>
                <w:rFonts w:hint="eastAsia" w:ascii="宋体" w:hAnsi="宋体" w:cs="宋体"/>
                <w:color w:val="auto"/>
                <w:sz w:val="24"/>
                <w:szCs w:val="24"/>
                <w:highlight w:val="none"/>
                <w:lang w:eastAsia="zh-CN"/>
              </w:rPr>
              <w:t>。</w:t>
            </w:r>
          </w:p>
          <w:p w14:paraId="0DC920A1">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综合得分</w:t>
            </w:r>
            <w:r>
              <w:rPr>
                <w:rFonts w:hint="eastAsia" w:ascii="宋体" w:hAnsi="宋体" w:eastAsia="宋体" w:cs="宋体"/>
                <w:color w:val="auto"/>
                <w:sz w:val="24"/>
                <w:szCs w:val="24"/>
                <w:highlight w:val="none"/>
              </w:rPr>
              <w:t>相等时，评标委员会依次按照以下优先顺序</w:t>
            </w:r>
            <w:r>
              <w:rPr>
                <w:rFonts w:hint="eastAsia" w:ascii="宋体" w:hAnsi="宋体" w:eastAsia="宋体" w:cs="宋体"/>
                <w:color w:val="auto"/>
                <w:sz w:val="24"/>
                <w:szCs w:val="24"/>
                <w:highlight w:val="none"/>
                <w:lang w:val="en-US" w:eastAsia="zh-CN"/>
              </w:rPr>
              <w:t>进行排序</w:t>
            </w:r>
            <w:r>
              <w:rPr>
                <w:rFonts w:hint="eastAsia" w:ascii="宋体" w:hAnsi="宋体" w:eastAsia="宋体" w:cs="宋体"/>
                <w:color w:val="auto"/>
                <w:sz w:val="24"/>
                <w:szCs w:val="24"/>
                <w:highlight w:val="none"/>
              </w:rPr>
              <w:t>：</w:t>
            </w:r>
          </w:p>
          <w:p w14:paraId="2B5D477F">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（1）第一个信封技术</w:t>
            </w:r>
            <w:r>
              <w:rPr>
                <w:rFonts w:hint="eastAsia" w:ascii="宋体" w:hAnsi="宋体" w:eastAsia="宋体" w:cs="宋体"/>
                <w:color w:val="auto"/>
                <w:sz w:val="24"/>
                <w:szCs w:val="24"/>
                <w:highlight w:val="none"/>
                <w:lang w:val="en-US" w:eastAsia="zh-CN"/>
              </w:rPr>
              <w:t>部分</w:t>
            </w:r>
            <w:r>
              <w:rPr>
                <w:rFonts w:hint="eastAsia" w:ascii="宋体" w:hAnsi="宋体" w:eastAsia="宋体" w:cs="宋体"/>
                <w:color w:val="auto"/>
                <w:sz w:val="24"/>
                <w:szCs w:val="24"/>
                <w:highlight w:val="none"/>
              </w:rPr>
              <w:t>得分较高的优先；</w:t>
            </w:r>
          </w:p>
          <w:p w14:paraId="415461CA">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（2）满足资格审查条件（业绩最低要求）要求的业绩</w:t>
            </w:r>
            <w:r>
              <w:rPr>
                <w:rFonts w:hint="eastAsia" w:ascii="宋体" w:hAnsi="宋体" w:cs="宋体"/>
                <w:color w:val="auto"/>
                <w:sz w:val="24"/>
                <w:szCs w:val="24"/>
                <w:highlight w:val="none"/>
                <w:lang w:val="en-US" w:eastAsia="zh-CN"/>
              </w:rPr>
              <w:t>个数多</w:t>
            </w:r>
            <w:r>
              <w:rPr>
                <w:rFonts w:hint="eastAsia" w:ascii="宋体" w:hAnsi="宋体" w:eastAsia="宋体" w:cs="宋体"/>
                <w:color w:val="auto"/>
                <w:sz w:val="24"/>
                <w:szCs w:val="24"/>
                <w:highlight w:val="none"/>
              </w:rPr>
              <w:t>的优先。</w:t>
            </w:r>
          </w:p>
          <w:p w14:paraId="0C413FBD">
            <w:pPr>
              <w:snapToGrid w:val="0"/>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评标委员会开启通过初步评审的前3名投标单位的第二信封，并向招标人推荐1-3名中标候选人。</w:t>
            </w:r>
          </w:p>
          <w:p w14:paraId="6C3DA24D">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第一信封评审得分未进入前3名的投标人，其第二信封不予开封。</w:t>
            </w:r>
          </w:p>
        </w:tc>
      </w:tr>
      <w:tr w14:paraId="0F985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20" w:hRule="atLeast"/>
          <w:jc w:val="center"/>
        </w:trPr>
        <w:tc>
          <w:tcPr>
            <w:tcW w:w="1143" w:type="dxa"/>
            <w:noWrap w:val="0"/>
            <w:vAlign w:val="center"/>
          </w:tcPr>
          <w:p w14:paraId="0129EE1D">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w:t>
            </w:r>
          </w:p>
          <w:p w14:paraId="6736A365">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w:t>
            </w:r>
          </w:p>
        </w:tc>
        <w:tc>
          <w:tcPr>
            <w:tcW w:w="1317" w:type="dxa"/>
            <w:noWrap w:val="0"/>
            <w:vAlign w:val="center"/>
          </w:tcPr>
          <w:p w14:paraId="3321A62A">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形式评审与响应性评审标准</w:t>
            </w:r>
          </w:p>
        </w:tc>
        <w:tc>
          <w:tcPr>
            <w:tcW w:w="7197" w:type="dxa"/>
            <w:noWrap w:val="0"/>
            <w:vAlign w:val="center"/>
          </w:tcPr>
          <w:p w14:paraId="06847FDC">
            <w:pPr>
              <w:snapToGrid w:val="0"/>
              <w:spacing w:line="24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第一个信封（商务文件）评审标准：</w:t>
            </w:r>
          </w:p>
          <w:p w14:paraId="5CCE8DC2">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（1）投标文件按照招标文件规定的格式、内容填写，字迹清晰可辨：</w:t>
            </w:r>
          </w:p>
          <w:p w14:paraId="356ACE58">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a.投标函按照招标文件规定填报了招标人名称、项目名称</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补遗书编号（如有）、交货地点、交货期</w:t>
            </w:r>
            <w:r>
              <w:rPr>
                <w:rFonts w:hint="eastAsia" w:ascii="宋体" w:hAnsi="宋体" w:cs="宋体"/>
                <w:color w:val="auto"/>
                <w:sz w:val="24"/>
                <w:szCs w:val="24"/>
                <w:highlight w:val="none"/>
                <w:lang w:val="en-US" w:eastAsia="zh-CN"/>
              </w:rPr>
              <w:t>和质量标准</w:t>
            </w:r>
            <w:r>
              <w:rPr>
                <w:rFonts w:hint="eastAsia" w:ascii="宋体" w:hAnsi="宋体" w:eastAsia="宋体" w:cs="宋体"/>
                <w:color w:val="auto"/>
                <w:sz w:val="24"/>
                <w:szCs w:val="24"/>
                <w:highlight w:val="none"/>
              </w:rPr>
              <w:t>；</w:t>
            </w:r>
          </w:p>
          <w:p w14:paraId="39AEEC99">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b.投标文件组成齐全完整，内容均按规定填写；</w:t>
            </w:r>
          </w:p>
          <w:p w14:paraId="2C621335">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（2）投标文件上法定代表人或其委托代理人的签字、投标人的单位章盖章齐全，符合招标文件规定：</w:t>
            </w:r>
          </w:p>
          <w:p w14:paraId="4525D239">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（3）投标人按照招标文件的规定提供了投标保证金，满足投标人须知3.4.1规定。</w:t>
            </w:r>
          </w:p>
          <w:p w14:paraId="3F75936D">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（4）投标人法定代表人授权委托代理人签署投标文件的，须提交授权委托书，授权委托书的签字盖章符合招标文件规定。</w:t>
            </w:r>
          </w:p>
          <w:p w14:paraId="67E16511">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（5）投标人法定代表人亲自签署投标文件的，提供了法定代表人身份证明,法定代表人身份证明的签字盖章符合招标文件规定。</w:t>
            </w:r>
          </w:p>
          <w:p w14:paraId="1EE7DAEE">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（6）投标人未以联合体形式投标。</w:t>
            </w:r>
          </w:p>
          <w:p w14:paraId="432BFD58">
            <w:pPr>
              <w:snapToGrid w:val="0"/>
              <w:spacing w:line="240" w:lineRule="auto"/>
              <w:ind w:right="1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（7）投标人未对本项目进行分包。</w:t>
            </w:r>
          </w:p>
          <w:p w14:paraId="1D0501B8">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（8）同一投标人未提交两个以上不同的投标文件。</w:t>
            </w:r>
          </w:p>
          <w:p w14:paraId="6AF6FD7D">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（9）投标文件中未出现有关投标报价的内容。</w:t>
            </w:r>
          </w:p>
          <w:p w14:paraId="75974AC3">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（10）投标文件载明的招标项目完成期限未超过招标文件规定的时限。</w:t>
            </w:r>
          </w:p>
          <w:p w14:paraId="3F16ACC6">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（11）投标文件对招标文件的实质性要求和条件作出响应。</w:t>
            </w:r>
          </w:p>
          <w:p w14:paraId="66F4C219">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（12）投标文件中投标设备的主要技术指标满足招标文件（带</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的条款）的要求。</w:t>
            </w:r>
          </w:p>
          <w:p w14:paraId="4E1E1D5C">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（13）权利义务符合招标文件规定：</w:t>
            </w:r>
          </w:p>
          <w:p w14:paraId="69F48319">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a．投标人应接受招标文件规定的风险划分原则，未提出新的风险划分办法；</w:t>
            </w:r>
          </w:p>
          <w:p w14:paraId="1ACEAD40">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b．投标人未增加发包人的责任范围，或减少投标人义务；</w:t>
            </w:r>
          </w:p>
          <w:p w14:paraId="1D58A522">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c．投标人未提出不同的验收、计量、支付办法；</w:t>
            </w:r>
          </w:p>
          <w:p w14:paraId="2DEFB7CD">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d．投标人对合同纠纷、事故处理办法未提出异议；</w:t>
            </w:r>
          </w:p>
          <w:p w14:paraId="63A19FA3">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e．投标人在投标活动中无欺诈行为；</w:t>
            </w:r>
          </w:p>
          <w:p w14:paraId="4B3189F4">
            <w:pPr>
              <w:snapToGrid w:val="0"/>
              <w:spacing w:line="24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f．投标人未对合同条款有重要保留</w:t>
            </w:r>
            <w:r>
              <w:rPr>
                <w:rFonts w:hint="eastAsia" w:ascii="宋体" w:hAnsi="宋体" w:cs="宋体"/>
                <w:color w:val="auto"/>
                <w:sz w:val="24"/>
                <w:szCs w:val="24"/>
                <w:highlight w:val="none"/>
                <w:lang w:eastAsia="zh-CN"/>
              </w:rPr>
              <w:t>。</w:t>
            </w:r>
          </w:p>
          <w:p w14:paraId="14518285">
            <w:pPr>
              <w:snapToGrid w:val="0"/>
              <w:spacing w:line="24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第二个信封（报价文件）评审标准：</w:t>
            </w:r>
          </w:p>
          <w:p w14:paraId="01BCDAA1">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（1）投标文件按照招标文件规定的格式、内容填写，字迹清晰可辨：</w:t>
            </w:r>
          </w:p>
          <w:p w14:paraId="454962E8">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a.投标函按照招标文件规定填报了招标人名称、项目名称</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补遗书编号（如有）、投标价（包括大写金额和小写金额）；</w:t>
            </w:r>
          </w:p>
          <w:p w14:paraId="545C6702">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b.投标文件组成齐全完整，内容均按规定填写。</w:t>
            </w:r>
          </w:p>
          <w:p w14:paraId="0679942F">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（2）投标文件上法定代表人或委托代理人的签字、投标人的单位章盖章齐全，符合招标文件规定。</w:t>
            </w:r>
          </w:p>
          <w:p w14:paraId="09517EBF">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（3）投标报价未超过招标文件设定的</w:t>
            </w:r>
            <w:r>
              <w:rPr>
                <w:rFonts w:hint="eastAsia" w:ascii="宋体" w:hAnsi="宋体" w:cs="宋体"/>
                <w:color w:val="auto"/>
                <w:sz w:val="24"/>
                <w:szCs w:val="24"/>
                <w:highlight w:val="none"/>
                <w:lang w:val="en-US" w:eastAsia="zh-CN"/>
              </w:rPr>
              <w:t>各个</w:t>
            </w:r>
            <w:r>
              <w:rPr>
                <w:rFonts w:hint="eastAsia" w:ascii="宋体" w:hAnsi="宋体" w:eastAsia="宋体" w:cs="宋体"/>
                <w:color w:val="auto"/>
                <w:sz w:val="24"/>
                <w:szCs w:val="24"/>
                <w:highlight w:val="none"/>
              </w:rPr>
              <w:t>最高限价。</w:t>
            </w:r>
          </w:p>
          <w:p w14:paraId="4C36118B">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（4）投标报价的大写金额能够确定具体数值。</w:t>
            </w:r>
          </w:p>
          <w:p w14:paraId="7E47AA30">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（5）同一投标人未提交两个</w:t>
            </w:r>
            <w:r>
              <w:rPr>
                <w:rFonts w:hint="eastAsia" w:ascii="宋体" w:hAnsi="宋体" w:cs="宋体"/>
                <w:color w:val="auto"/>
                <w:sz w:val="24"/>
                <w:szCs w:val="24"/>
                <w:highlight w:val="none"/>
                <w:lang w:val="en-US" w:eastAsia="zh-CN"/>
              </w:rPr>
              <w:t>及</w:t>
            </w:r>
            <w:r>
              <w:rPr>
                <w:rFonts w:hint="eastAsia" w:ascii="宋体" w:hAnsi="宋体" w:eastAsia="宋体" w:cs="宋体"/>
                <w:color w:val="auto"/>
                <w:sz w:val="24"/>
                <w:szCs w:val="24"/>
                <w:highlight w:val="none"/>
              </w:rPr>
              <w:t>以上不同的投标报价。</w:t>
            </w:r>
          </w:p>
          <w:p w14:paraId="17AE3040">
            <w:pPr>
              <w:snapToGrid w:val="0"/>
              <w:spacing w:line="240" w:lineRule="auto"/>
              <w:rPr>
                <w:rFonts w:hint="default" w:eastAsia="宋体"/>
                <w:color w:val="auto"/>
                <w:highlight w:val="none"/>
                <w:lang w:val="en-US"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cs="宋体"/>
                <w:strike w:val="0"/>
                <w:dstrike w:val="0"/>
                <w:color w:val="auto"/>
                <w:sz w:val="24"/>
                <w:szCs w:val="24"/>
                <w:highlight w:val="none"/>
                <w:lang w:val="en-US" w:eastAsia="zh-CN"/>
              </w:rPr>
              <w:t>投标报价表</w:t>
            </w:r>
            <w:r>
              <w:rPr>
                <w:rFonts w:hint="eastAsia" w:ascii="宋体" w:hAnsi="宋体" w:eastAsia="宋体" w:cs="宋体"/>
                <w:color w:val="auto"/>
                <w:sz w:val="24"/>
                <w:szCs w:val="24"/>
                <w:highlight w:val="none"/>
              </w:rPr>
              <w:t>中</w:t>
            </w:r>
            <w:r>
              <w:rPr>
                <w:rFonts w:hint="eastAsia" w:ascii="宋体" w:hAnsi="宋体" w:cs="宋体"/>
                <w:color w:val="auto"/>
                <w:sz w:val="24"/>
                <w:szCs w:val="24"/>
                <w:highlight w:val="none"/>
                <w:lang w:val="en-US" w:eastAsia="zh-CN"/>
              </w:rPr>
              <w:t>合计</w:t>
            </w:r>
            <w:r>
              <w:rPr>
                <w:rFonts w:hint="eastAsia" w:ascii="宋体" w:hAnsi="宋体" w:eastAsia="宋体" w:cs="宋体"/>
                <w:color w:val="auto"/>
                <w:sz w:val="24"/>
                <w:szCs w:val="24"/>
                <w:highlight w:val="none"/>
              </w:rPr>
              <w:t>金额与投标函大写金额一致。</w:t>
            </w:r>
          </w:p>
        </w:tc>
      </w:tr>
      <w:tr w14:paraId="340C5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986" w:hRule="atLeast"/>
          <w:jc w:val="center"/>
        </w:trPr>
        <w:tc>
          <w:tcPr>
            <w:tcW w:w="1143" w:type="dxa"/>
            <w:noWrap w:val="0"/>
            <w:vAlign w:val="center"/>
          </w:tcPr>
          <w:p w14:paraId="3B6DD918">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w:t>
            </w:r>
          </w:p>
        </w:tc>
        <w:tc>
          <w:tcPr>
            <w:tcW w:w="1317" w:type="dxa"/>
            <w:noWrap w:val="0"/>
            <w:vAlign w:val="center"/>
          </w:tcPr>
          <w:p w14:paraId="6499C93D">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资格评审标准</w:t>
            </w:r>
          </w:p>
        </w:tc>
        <w:tc>
          <w:tcPr>
            <w:tcW w:w="7197" w:type="dxa"/>
            <w:noWrap w:val="0"/>
            <w:vAlign w:val="center"/>
          </w:tcPr>
          <w:p w14:paraId="1E2C76BF">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（1）投标人具备有效的企业营业执照、组织机构代码证（三证合一或五证合一的除外）和基本账户开户许可证（或基本存款账户信息）；</w:t>
            </w:r>
          </w:p>
          <w:p w14:paraId="1A0EC935">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（2）投标人的资质符合招标文件规定；</w:t>
            </w:r>
          </w:p>
          <w:p w14:paraId="4817BA71">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（3）投标人的类似项目业绩符合招标文件规定；</w:t>
            </w:r>
          </w:p>
          <w:p w14:paraId="68A351FC">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（4）投标人的信誉符合招标文件规定；</w:t>
            </w:r>
          </w:p>
          <w:p w14:paraId="206B7BC4">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（5）投标人不存在第二章“投标人须知”第1.4.3项规定的任何一种情形。</w:t>
            </w:r>
          </w:p>
        </w:tc>
      </w:tr>
      <w:tr w14:paraId="38B39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43" w:type="dxa"/>
            <w:noWrap w:val="0"/>
            <w:vAlign w:val="center"/>
          </w:tcPr>
          <w:p w14:paraId="3498532C">
            <w:pPr>
              <w:adjustRightInd w:val="0"/>
              <w:snapToGrid w:val="0"/>
              <w:spacing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1317" w:type="dxa"/>
            <w:noWrap w:val="0"/>
            <w:vAlign w:val="center"/>
          </w:tcPr>
          <w:p w14:paraId="10491459">
            <w:pPr>
              <w:adjustRightInd w:val="0"/>
              <w:snapToGrid w:val="0"/>
              <w:spacing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条款内容</w:t>
            </w:r>
          </w:p>
        </w:tc>
        <w:tc>
          <w:tcPr>
            <w:tcW w:w="7197" w:type="dxa"/>
            <w:noWrap w:val="0"/>
            <w:vAlign w:val="center"/>
          </w:tcPr>
          <w:p w14:paraId="78BA597B">
            <w:pPr>
              <w:adjustRightInd w:val="0"/>
              <w:snapToGrid w:val="0"/>
              <w:spacing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编列内容</w:t>
            </w:r>
          </w:p>
        </w:tc>
      </w:tr>
      <w:tr w14:paraId="7D3DD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42" w:hRule="atLeast"/>
          <w:jc w:val="center"/>
        </w:trPr>
        <w:tc>
          <w:tcPr>
            <w:tcW w:w="1143" w:type="dxa"/>
            <w:noWrap w:val="0"/>
            <w:vAlign w:val="center"/>
          </w:tcPr>
          <w:p w14:paraId="2210E139">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w:t>
            </w:r>
          </w:p>
        </w:tc>
        <w:tc>
          <w:tcPr>
            <w:tcW w:w="1317" w:type="dxa"/>
            <w:noWrap w:val="0"/>
            <w:vAlign w:val="center"/>
          </w:tcPr>
          <w:p w14:paraId="425FDF3D">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第一个信封</w:t>
            </w:r>
            <w:r>
              <w:rPr>
                <w:rFonts w:hint="eastAsia" w:ascii="宋体" w:hAnsi="宋体" w:eastAsia="宋体" w:cs="宋体"/>
                <w:color w:val="auto"/>
                <w:sz w:val="24"/>
                <w:szCs w:val="24"/>
                <w:highlight w:val="none"/>
              </w:rPr>
              <w:t>分值构成</w:t>
            </w:r>
          </w:p>
          <w:p w14:paraId="12304A17">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（总分100分）</w:t>
            </w:r>
          </w:p>
        </w:tc>
        <w:tc>
          <w:tcPr>
            <w:tcW w:w="7197" w:type="dxa"/>
            <w:noWrap w:val="0"/>
            <w:vAlign w:val="center"/>
          </w:tcPr>
          <w:p w14:paraId="2E954D56">
            <w:pPr>
              <w:adjustRightInd w:val="0"/>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商务部分：</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0分</w:t>
            </w:r>
          </w:p>
          <w:p w14:paraId="1CA7B4DA">
            <w:pPr>
              <w:adjustRightInd w:val="0"/>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技术部分：</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0分</w:t>
            </w:r>
          </w:p>
          <w:p w14:paraId="107BEC00">
            <w:pPr>
              <w:adjustRightInd w:val="0"/>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其他评分因素：0分</w:t>
            </w:r>
          </w:p>
        </w:tc>
      </w:tr>
      <w:tr w14:paraId="4828A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noWrap w:val="0"/>
            <w:vAlign w:val="center"/>
          </w:tcPr>
          <w:p w14:paraId="6D73A480">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w:t>
            </w:r>
          </w:p>
        </w:tc>
        <w:tc>
          <w:tcPr>
            <w:tcW w:w="1317" w:type="dxa"/>
            <w:noWrap w:val="0"/>
            <w:vAlign w:val="center"/>
          </w:tcPr>
          <w:p w14:paraId="23B8A5DE">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第二个信封详细评审标准</w:t>
            </w:r>
          </w:p>
        </w:tc>
        <w:tc>
          <w:tcPr>
            <w:tcW w:w="7197" w:type="dxa"/>
            <w:noWrap w:val="0"/>
            <w:vAlign w:val="center"/>
          </w:tcPr>
          <w:p w14:paraId="31C6DA41">
            <w:pPr>
              <w:adjustRightInd w:val="0"/>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评标价计算公式：</w:t>
            </w:r>
          </w:p>
          <w:p w14:paraId="07407BF6">
            <w:pPr>
              <w:adjustRightInd w:val="0"/>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评标价=投标函文字报价。</w:t>
            </w:r>
          </w:p>
        </w:tc>
      </w:tr>
      <w:tr w14:paraId="05E66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noWrap w:val="0"/>
            <w:vAlign w:val="center"/>
          </w:tcPr>
          <w:p w14:paraId="35631033">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3.2.4</w:t>
            </w:r>
          </w:p>
        </w:tc>
        <w:tc>
          <w:tcPr>
            <w:tcW w:w="1317" w:type="dxa"/>
            <w:noWrap w:val="0"/>
            <w:vAlign w:val="center"/>
          </w:tcPr>
          <w:p w14:paraId="46F11C7A">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通过第一个信封详细评审的投标人数量</w:t>
            </w:r>
          </w:p>
        </w:tc>
        <w:tc>
          <w:tcPr>
            <w:tcW w:w="7197" w:type="dxa"/>
            <w:noWrap w:val="0"/>
            <w:vAlign w:val="center"/>
          </w:tcPr>
          <w:p w14:paraId="642717A1">
            <w:pPr>
              <w:adjustRightInd w:val="0"/>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按照投标人的</w:t>
            </w:r>
            <w:r>
              <w:rPr>
                <w:rFonts w:hint="eastAsia" w:ascii="宋体" w:hAnsi="宋体" w:eastAsia="宋体" w:cs="宋体"/>
                <w:color w:val="auto"/>
                <w:sz w:val="24"/>
                <w:szCs w:val="24"/>
                <w:highlight w:val="none"/>
                <w:lang w:val="en-US" w:eastAsia="zh-CN"/>
              </w:rPr>
              <w:t>综合</w:t>
            </w:r>
            <w:r>
              <w:rPr>
                <w:rFonts w:hint="eastAsia" w:ascii="宋体" w:hAnsi="宋体" w:eastAsia="宋体" w:cs="宋体"/>
                <w:color w:val="auto"/>
                <w:sz w:val="24"/>
                <w:szCs w:val="24"/>
                <w:highlight w:val="none"/>
              </w:rPr>
              <w:t>得分由高到低排序，选择前3名通过详细评审</w:t>
            </w:r>
          </w:p>
        </w:tc>
      </w:tr>
      <w:tr w14:paraId="3678E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noWrap w:val="0"/>
            <w:vAlign w:val="center"/>
          </w:tcPr>
          <w:p w14:paraId="17B1E4E1">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3.4.2-3.4.4</w:t>
            </w:r>
          </w:p>
        </w:tc>
        <w:tc>
          <w:tcPr>
            <w:tcW w:w="1317" w:type="dxa"/>
            <w:noWrap w:val="0"/>
            <w:vAlign w:val="center"/>
          </w:tcPr>
          <w:p w14:paraId="74AFD414">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w:t>
            </w:r>
          </w:p>
          <w:p w14:paraId="5367196E">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修正</w:t>
            </w:r>
          </w:p>
        </w:tc>
        <w:tc>
          <w:tcPr>
            <w:tcW w:w="7197" w:type="dxa"/>
            <w:noWrap w:val="0"/>
            <w:vAlign w:val="center"/>
          </w:tcPr>
          <w:p w14:paraId="2803F961">
            <w:pPr>
              <w:spacing w:line="24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3.4.3</w:t>
            </w:r>
            <w:r>
              <w:rPr>
                <w:rFonts w:hint="eastAsia" w:ascii="宋体" w:hAnsi="宋体" w:eastAsia="宋体" w:cs="宋体"/>
                <w:color w:val="auto"/>
                <w:sz w:val="24"/>
                <w:szCs w:val="24"/>
                <w:highlight w:val="none"/>
              </w:rPr>
              <w:t>不适用</w:t>
            </w:r>
          </w:p>
        </w:tc>
      </w:tr>
      <w:tr w14:paraId="7F1E9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noWrap w:val="0"/>
            <w:vAlign w:val="center"/>
          </w:tcPr>
          <w:p w14:paraId="16E3EBAF">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w:t>
            </w:r>
          </w:p>
        </w:tc>
        <w:tc>
          <w:tcPr>
            <w:tcW w:w="1317" w:type="dxa"/>
            <w:noWrap w:val="0"/>
            <w:vAlign w:val="center"/>
          </w:tcPr>
          <w:p w14:paraId="061A5BAB">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信息查询</w:t>
            </w:r>
          </w:p>
        </w:tc>
        <w:tc>
          <w:tcPr>
            <w:tcW w:w="7197" w:type="dxa"/>
            <w:noWrap w:val="0"/>
            <w:vAlign w:val="center"/>
          </w:tcPr>
          <w:p w14:paraId="3C828FC2">
            <w:pPr>
              <w:adjustRightInd w:val="0"/>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修改为：</w:t>
            </w:r>
          </w:p>
          <w:p w14:paraId="4854F9D5">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在评标过程中，评标委员会应对以下信息进行查询：</w:t>
            </w:r>
          </w:p>
          <w:p w14:paraId="1E77D991">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（1）投标人信用情况网页截图内容与在“国家企业信用信息公示系统”中严重违法失信名单（黑名单）信息（不含分公司）或在“信用中国”网站“中失信被执行人、</w:t>
            </w:r>
            <w:r>
              <w:rPr>
                <w:rFonts w:hint="eastAsia" w:ascii="宋体" w:hAnsi="宋体" w:cs="宋体"/>
                <w:color w:val="auto"/>
                <w:sz w:val="24"/>
                <w:szCs w:val="24"/>
                <w:highlight w:val="none"/>
                <w:lang w:eastAsia="zh-CN"/>
              </w:rPr>
              <w:t>经营（活动）异常名录</w:t>
            </w:r>
            <w:r>
              <w:rPr>
                <w:rFonts w:hint="eastAsia" w:ascii="宋体" w:hAnsi="宋体" w:eastAsia="宋体" w:cs="宋体"/>
                <w:color w:val="auto"/>
                <w:sz w:val="24"/>
                <w:szCs w:val="24"/>
                <w:highlight w:val="none"/>
              </w:rPr>
              <w:t>、重大税收违法失信主体、政府采购严重违法失信行为记录名单（均不含分公司）的复核结果一致。</w:t>
            </w:r>
          </w:p>
          <w:p w14:paraId="70CB323F">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如投标人未提供相关网页截图或所附截图与复核结果不一致导致不能满足资格评审要求的，评标委员会应否决其投标。</w:t>
            </w:r>
          </w:p>
          <w:p w14:paraId="3D63D15E">
            <w:pPr>
              <w:autoSpaceDE w:val="0"/>
              <w:autoSpaceDN w:val="0"/>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标委员会在评标时按照投标人提供的验证方式对电子保函或电子保证保险进行验证。如投标人未提供电子保函或电子保证保险的验证方式，或根据提供的验证方式无法核实或经核实与投标文件所附资料不一致的，评标委员会应否决其投标。</w:t>
            </w:r>
          </w:p>
          <w:p w14:paraId="2C4D60A8">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投标人应保证本款所附的全部截图的真实性。</w:t>
            </w:r>
            <w:r>
              <w:rPr>
                <w:rFonts w:hint="eastAsia" w:ascii="宋体" w:hAnsi="宋体" w:eastAsia="宋体" w:cs="宋体"/>
                <w:color w:val="auto"/>
                <w:sz w:val="24"/>
                <w:szCs w:val="24"/>
                <w:highlight w:val="none"/>
              </w:rPr>
              <w:t>投标人应当及时核查并更新政府网站公开的相关信息，并承担由于信息填报不完整或者不准确等原因导致投标可能被否决的后果。相关信息由投标人填报的，其真实性由投标人负责，经查证与事实不符的，视为投标过程中的弄虚作假行为，按相关规定处理。</w:t>
            </w:r>
          </w:p>
        </w:tc>
      </w:tr>
    </w:tbl>
    <w:p w14:paraId="196F5469">
      <w:pPr>
        <w:adjustRightInd w:val="0"/>
        <w:snapToGrid w:val="0"/>
        <w:spacing w:line="360" w:lineRule="auto"/>
        <w:textAlignment w:val="baseline"/>
        <w:rPr>
          <w:rFonts w:ascii="宋体" w:hAnsi="宋体"/>
          <w:b/>
          <w:bCs/>
          <w:snapToGrid w:val="0"/>
          <w:color w:val="auto"/>
          <w:kern w:val="0"/>
          <w:sz w:val="28"/>
          <w:szCs w:val="24"/>
          <w:highlight w:val="none"/>
        </w:rPr>
      </w:pPr>
      <w:r>
        <w:rPr>
          <w:rFonts w:hint="eastAsia" w:ascii="宋体" w:hAnsi="宋体"/>
          <w:b/>
          <w:bCs/>
          <w:snapToGrid w:val="0"/>
          <w:color w:val="auto"/>
          <w:kern w:val="0"/>
          <w:sz w:val="28"/>
          <w:szCs w:val="24"/>
          <w:highlight w:val="none"/>
        </w:rPr>
        <w:br w:type="page"/>
      </w:r>
      <w:r>
        <w:rPr>
          <w:rFonts w:hint="eastAsia" w:ascii="宋体" w:hAnsi="宋体"/>
          <w:b/>
          <w:bCs/>
          <w:snapToGrid w:val="0"/>
          <w:color w:val="auto"/>
          <w:kern w:val="0"/>
          <w:sz w:val="28"/>
          <w:szCs w:val="24"/>
          <w:highlight w:val="none"/>
        </w:rPr>
        <w:t>评分标准</w:t>
      </w:r>
    </w:p>
    <w:tbl>
      <w:tblPr>
        <w:tblStyle w:val="11"/>
        <w:tblpPr w:leftFromText="180" w:rightFromText="180" w:vertAnchor="text" w:tblpXSpec="center" w:tblpY="1"/>
        <w:tblOverlap w:val="never"/>
        <w:tblW w:w="93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186"/>
        <w:gridCol w:w="2216"/>
        <w:gridCol w:w="894"/>
        <w:gridCol w:w="4119"/>
      </w:tblGrid>
      <w:tr w14:paraId="0CCE7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959" w:type="dxa"/>
            <w:noWrap w:val="0"/>
            <w:vAlign w:val="center"/>
          </w:tcPr>
          <w:p w14:paraId="06DD6880">
            <w:pPr>
              <w:pStyle w:val="7"/>
              <w:jc w:val="center"/>
              <w:textAlignment w:val="baseline"/>
              <w:rPr>
                <w:rFonts w:hint="eastAsia" w:hAnsi="宋体" w:cs="宋体"/>
                <w:color w:val="auto"/>
                <w:kern w:val="0"/>
                <w:sz w:val="24"/>
                <w:szCs w:val="24"/>
                <w:highlight w:val="none"/>
              </w:rPr>
            </w:pPr>
            <w:r>
              <w:rPr>
                <w:rFonts w:hint="eastAsia" w:hAnsi="宋体" w:cs="宋体"/>
                <w:color w:val="auto"/>
                <w:sz w:val="24"/>
                <w:szCs w:val="24"/>
                <w:highlight w:val="none"/>
              </w:rPr>
              <w:t>条款号</w:t>
            </w:r>
          </w:p>
        </w:tc>
        <w:tc>
          <w:tcPr>
            <w:tcW w:w="1186" w:type="dxa"/>
            <w:noWrap w:val="0"/>
            <w:vAlign w:val="center"/>
          </w:tcPr>
          <w:p w14:paraId="67B67F27">
            <w:pPr>
              <w:pStyle w:val="7"/>
              <w:jc w:val="center"/>
              <w:textAlignment w:val="baseline"/>
              <w:rPr>
                <w:rFonts w:hAnsi="宋体" w:cs="宋体"/>
                <w:color w:val="auto"/>
                <w:sz w:val="24"/>
                <w:szCs w:val="24"/>
                <w:highlight w:val="none"/>
              </w:rPr>
            </w:pPr>
            <w:r>
              <w:rPr>
                <w:rFonts w:hint="eastAsia" w:hAnsi="宋体" w:cs="宋体"/>
                <w:color w:val="auto"/>
                <w:sz w:val="24"/>
                <w:szCs w:val="24"/>
                <w:highlight w:val="none"/>
              </w:rPr>
              <w:t>评分</w:t>
            </w:r>
          </w:p>
          <w:p w14:paraId="5C4F5707">
            <w:pPr>
              <w:pStyle w:val="7"/>
              <w:jc w:val="center"/>
              <w:textAlignment w:val="baseline"/>
              <w:rPr>
                <w:rFonts w:hint="eastAsia" w:hAnsi="宋体" w:cs="宋体"/>
                <w:color w:val="auto"/>
                <w:sz w:val="24"/>
                <w:szCs w:val="24"/>
                <w:highlight w:val="none"/>
              </w:rPr>
            </w:pPr>
            <w:r>
              <w:rPr>
                <w:rFonts w:hint="eastAsia" w:hAnsi="宋体" w:cs="宋体"/>
                <w:color w:val="auto"/>
                <w:sz w:val="24"/>
                <w:szCs w:val="24"/>
                <w:highlight w:val="none"/>
              </w:rPr>
              <w:t>因素</w:t>
            </w:r>
          </w:p>
        </w:tc>
        <w:tc>
          <w:tcPr>
            <w:tcW w:w="2216" w:type="dxa"/>
            <w:noWrap w:val="0"/>
            <w:vAlign w:val="center"/>
          </w:tcPr>
          <w:p w14:paraId="3A651958">
            <w:pPr>
              <w:adjustRightInd w:val="0"/>
              <w:snapToGrid w:val="0"/>
              <w:jc w:val="center"/>
              <w:rPr>
                <w:rFonts w:ascii="宋体" w:hAnsi="宋体" w:cs="宋体"/>
                <w:color w:val="auto"/>
                <w:sz w:val="24"/>
                <w:szCs w:val="24"/>
                <w:highlight w:val="none"/>
                <w:u w:val="single"/>
              </w:rPr>
            </w:pPr>
            <w:r>
              <w:rPr>
                <w:rFonts w:hint="eastAsia" w:ascii="宋体" w:hAnsi="宋体" w:cs="宋体"/>
                <w:color w:val="auto"/>
                <w:sz w:val="24"/>
                <w:szCs w:val="24"/>
                <w:highlight w:val="none"/>
              </w:rPr>
              <w:t>评分因素</w:t>
            </w:r>
          </w:p>
        </w:tc>
        <w:tc>
          <w:tcPr>
            <w:tcW w:w="894" w:type="dxa"/>
            <w:noWrap w:val="0"/>
            <w:vAlign w:val="center"/>
          </w:tcPr>
          <w:p w14:paraId="450C3D25">
            <w:pPr>
              <w:jc w:val="center"/>
              <w:rPr>
                <w:rFonts w:ascii="宋体" w:hAnsi="宋体" w:cs="宋体"/>
                <w:color w:val="auto"/>
                <w:sz w:val="24"/>
                <w:szCs w:val="24"/>
                <w:highlight w:val="none"/>
              </w:rPr>
            </w:pPr>
            <w:r>
              <w:rPr>
                <w:rFonts w:ascii="宋体" w:hAnsi="宋体" w:cs="宋体"/>
                <w:color w:val="auto"/>
                <w:spacing w:val="-3"/>
                <w:sz w:val="24"/>
                <w:szCs w:val="24"/>
                <w:highlight w:val="none"/>
              </w:rPr>
              <w:t>分</w:t>
            </w:r>
            <w:r>
              <w:rPr>
                <w:rFonts w:ascii="宋体" w:hAnsi="宋体" w:cs="宋体"/>
                <w:color w:val="auto"/>
                <w:spacing w:val="-2"/>
                <w:sz w:val="24"/>
                <w:szCs w:val="24"/>
                <w:highlight w:val="none"/>
              </w:rPr>
              <w:t>值</w:t>
            </w:r>
          </w:p>
        </w:tc>
        <w:tc>
          <w:tcPr>
            <w:tcW w:w="4119" w:type="dxa"/>
            <w:noWrap w:val="0"/>
            <w:vAlign w:val="center"/>
          </w:tcPr>
          <w:p w14:paraId="165B730C">
            <w:pPr>
              <w:jc w:val="center"/>
              <w:rPr>
                <w:rFonts w:ascii="宋体" w:hAnsi="宋体" w:cs="宋体"/>
                <w:color w:val="auto"/>
                <w:spacing w:val="-3"/>
                <w:sz w:val="24"/>
                <w:szCs w:val="24"/>
                <w:highlight w:val="none"/>
              </w:rPr>
            </w:pPr>
            <w:r>
              <w:rPr>
                <w:rFonts w:ascii="宋体" w:hAnsi="宋体" w:cs="宋体"/>
                <w:color w:val="auto"/>
                <w:spacing w:val="-1"/>
                <w:sz w:val="24"/>
                <w:szCs w:val="24"/>
                <w:highlight w:val="none"/>
              </w:rPr>
              <w:t>评分</w:t>
            </w:r>
            <w:r>
              <w:rPr>
                <w:rFonts w:ascii="宋体" w:hAnsi="宋体" w:cs="宋体"/>
                <w:color w:val="auto"/>
                <w:sz w:val="24"/>
                <w:szCs w:val="24"/>
                <w:highlight w:val="none"/>
              </w:rPr>
              <w:t>标准</w:t>
            </w:r>
          </w:p>
        </w:tc>
      </w:tr>
      <w:tr w14:paraId="1B60E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959" w:type="dxa"/>
            <w:vMerge w:val="restart"/>
            <w:noWrap w:val="0"/>
            <w:vAlign w:val="center"/>
          </w:tcPr>
          <w:p w14:paraId="71E4AC21">
            <w:pPr>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2.2.</w:t>
            </w:r>
            <w:r>
              <w:rPr>
                <w:rFonts w:hint="eastAsia" w:ascii="宋体" w:hAnsi="宋体" w:cs="宋体"/>
                <w:color w:val="auto"/>
                <w:kern w:val="0"/>
                <w:sz w:val="24"/>
                <w:szCs w:val="24"/>
                <w:highlight w:val="none"/>
                <w:lang w:val="en-US" w:eastAsia="zh-CN"/>
              </w:rPr>
              <w:t>1</w:t>
            </w:r>
          </w:p>
          <w:p w14:paraId="03D6649E">
            <w:pPr>
              <w:jc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(1)</w:t>
            </w:r>
          </w:p>
        </w:tc>
        <w:tc>
          <w:tcPr>
            <w:tcW w:w="1186" w:type="dxa"/>
            <w:vMerge w:val="restart"/>
            <w:noWrap w:val="0"/>
            <w:vAlign w:val="center"/>
          </w:tcPr>
          <w:p w14:paraId="3D5AB274">
            <w:pPr>
              <w:jc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商务部分</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3</w:t>
            </w:r>
            <w:r>
              <w:rPr>
                <w:rFonts w:ascii="宋体" w:hAnsi="宋体" w:cs="宋体"/>
                <w:color w:val="auto"/>
                <w:sz w:val="24"/>
                <w:szCs w:val="24"/>
                <w:highlight w:val="none"/>
              </w:rPr>
              <w:t>0</w:t>
            </w:r>
            <w:r>
              <w:rPr>
                <w:rFonts w:hint="eastAsia" w:ascii="宋体" w:hAnsi="宋体" w:cs="宋体"/>
                <w:color w:val="auto"/>
                <w:sz w:val="24"/>
                <w:szCs w:val="24"/>
                <w:highlight w:val="none"/>
              </w:rPr>
              <w:t>分）</w:t>
            </w:r>
          </w:p>
        </w:tc>
        <w:tc>
          <w:tcPr>
            <w:tcW w:w="2216" w:type="dxa"/>
            <w:vMerge w:val="restart"/>
            <w:noWrap w:val="0"/>
            <w:vAlign w:val="center"/>
          </w:tcPr>
          <w:p w14:paraId="40FB5071">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业绩</w:t>
            </w:r>
          </w:p>
        </w:tc>
        <w:tc>
          <w:tcPr>
            <w:tcW w:w="894" w:type="dxa"/>
            <w:vMerge w:val="restart"/>
            <w:noWrap w:val="0"/>
            <w:vAlign w:val="center"/>
          </w:tcPr>
          <w:p w14:paraId="67A67C42">
            <w:pPr>
              <w:jc w:val="center"/>
              <w:rPr>
                <w:rFonts w:ascii="宋体" w:hAnsi="宋体" w:cs="宋体"/>
                <w:color w:val="auto"/>
                <w:sz w:val="24"/>
                <w:szCs w:val="24"/>
                <w:highlight w:val="none"/>
              </w:rPr>
            </w:pPr>
            <w:r>
              <w:rPr>
                <w:rFonts w:hint="eastAsia" w:ascii="宋体" w:hAnsi="宋体" w:cs="宋体"/>
                <w:color w:val="auto"/>
                <w:kern w:val="0"/>
                <w:sz w:val="24"/>
                <w:szCs w:val="24"/>
                <w:highlight w:val="none"/>
              </w:rPr>
              <w:t>30分</w:t>
            </w:r>
          </w:p>
        </w:tc>
        <w:tc>
          <w:tcPr>
            <w:tcW w:w="4119" w:type="dxa"/>
            <w:noWrap w:val="0"/>
            <w:vAlign w:val="center"/>
          </w:tcPr>
          <w:p w14:paraId="1D44307F">
            <w:pPr>
              <w:ind w:right="113"/>
              <w:rPr>
                <w:rFonts w:hint="eastAsia" w:ascii="宋体" w:hAnsi="宋体" w:cs="宋体"/>
                <w:color w:val="auto"/>
                <w:sz w:val="24"/>
                <w:szCs w:val="24"/>
                <w:highlight w:val="none"/>
              </w:rPr>
            </w:pPr>
            <w:r>
              <w:rPr>
                <w:rFonts w:hint="eastAsia" w:ascii="宋体" w:hAnsi="宋体" w:cs="宋体"/>
                <w:color w:val="auto"/>
                <w:sz w:val="24"/>
                <w:szCs w:val="24"/>
                <w:highlight w:val="none"/>
              </w:rPr>
              <w:t>满足资格审查条件(业绩最低要求)得18分；</w:t>
            </w:r>
          </w:p>
        </w:tc>
      </w:tr>
      <w:tr w14:paraId="43D35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59" w:type="dxa"/>
            <w:vMerge w:val="continue"/>
            <w:noWrap w:val="0"/>
            <w:vAlign w:val="center"/>
          </w:tcPr>
          <w:p w14:paraId="3131CA5D">
            <w:pPr>
              <w:jc w:val="center"/>
              <w:rPr>
                <w:rFonts w:hint="eastAsia" w:ascii="宋体" w:hAnsi="宋体" w:cs="宋体"/>
                <w:color w:val="auto"/>
                <w:kern w:val="0"/>
                <w:sz w:val="24"/>
                <w:szCs w:val="24"/>
                <w:highlight w:val="none"/>
              </w:rPr>
            </w:pPr>
          </w:p>
        </w:tc>
        <w:tc>
          <w:tcPr>
            <w:tcW w:w="1186" w:type="dxa"/>
            <w:vMerge w:val="continue"/>
            <w:noWrap w:val="0"/>
            <w:vAlign w:val="center"/>
          </w:tcPr>
          <w:p w14:paraId="67D40068">
            <w:pPr>
              <w:jc w:val="center"/>
              <w:rPr>
                <w:rFonts w:hint="eastAsia" w:ascii="宋体" w:hAnsi="宋体" w:cs="宋体"/>
                <w:color w:val="auto"/>
                <w:kern w:val="0"/>
                <w:sz w:val="24"/>
                <w:szCs w:val="24"/>
                <w:highlight w:val="none"/>
              </w:rPr>
            </w:pPr>
          </w:p>
        </w:tc>
        <w:tc>
          <w:tcPr>
            <w:tcW w:w="2216" w:type="dxa"/>
            <w:vMerge w:val="continue"/>
            <w:noWrap w:val="0"/>
            <w:vAlign w:val="center"/>
          </w:tcPr>
          <w:p w14:paraId="6CC326B1">
            <w:pPr>
              <w:adjustRightInd w:val="0"/>
              <w:snapToGrid w:val="0"/>
              <w:jc w:val="center"/>
              <w:rPr>
                <w:rFonts w:hint="eastAsia" w:ascii="宋体" w:hAnsi="宋体" w:eastAsia="宋体" w:cs="宋体"/>
                <w:color w:val="auto"/>
                <w:sz w:val="24"/>
                <w:szCs w:val="24"/>
                <w:highlight w:val="none"/>
              </w:rPr>
            </w:pPr>
          </w:p>
        </w:tc>
        <w:tc>
          <w:tcPr>
            <w:tcW w:w="894" w:type="dxa"/>
            <w:vMerge w:val="continue"/>
            <w:noWrap w:val="0"/>
            <w:vAlign w:val="center"/>
          </w:tcPr>
          <w:p w14:paraId="7A735E45">
            <w:pPr>
              <w:jc w:val="center"/>
              <w:rPr>
                <w:rFonts w:hint="eastAsia" w:ascii="宋体" w:hAnsi="宋体" w:cs="宋体"/>
                <w:color w:val="auto"/>
                <w:kern w:val="0"/>
                <w:sz w:val="24"/>
                <w:szCs w:val="24"/>
                <w:highlight w:val="none"/>
              </w:rPr>
            </w:pPr>
          </w:p>
        </w:tc>
        <w:tc>
          <w:tcPr>
            <w:tcW w:w="4119" w:type="dxa"/>
            <w:noWrap w:val="0"/>
            <w:vAlign w:val="center"/>
          </w:tcPr>
          <w:p w14:paraId="17C3116F">
            <w:pPr>
              <w:snapToGrid w:val="0"/>
              <w:spacing w:line="32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每增加1项满足资格审查条件（业绩最低要求）的供货业绩加</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分，最多加</w:t>
            </w:r>
            <w:r>
              <w:rPr>
                <w:rFonts w:hint="eastAsia" w:ascii="宋体" w:hAnsi="宋体" w:cs="宋体"/>
                <w:color w:val="auto"/>
                <w:sz w:val="24"/>
                <w:szCs w:val="24"/>
                <w:highlight w:val="none"/>
                <w:lang w:val="en-US" w:eastAsia="zh-CN"/>
              </w:rPr>
              <w:t>12</w:t>
            </w:r>
            <w:r>
              <w:rPr>
                <w:rFonts w:hint="eastAsia" w:ascii="宋体" w:hAnsi="宋体" w:cs="宋体"/>
                <w:color w:val="auto"/>
                <w:sz w:val="24"/>
                <w:szCs w:val="24"/>
                <w:highlight w:val="none"/>
              </w:rPr>
              <w:t>分。</w:t>
            </w:r>
          </w:p>
        </w:tc>
      </w:tr>
      <w:tr w14:paraId="7A0EF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9" w:type="dxa"/>
            <w:vMerge w:val="restart"/>
            <w:noWrap w:val="0"/>
            <w:vAlign w:val="center"/>
          </w:tcPr>
          <w:p w14:paraId="7C347ED2">
            <w:pPr>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2.2.</w:t>
            </w:r>
            <w:r>
              <w:rPr>
                <w:rFonts w:hint="eastAsia" w:ascii="宋体" w:hAnsi="宋体" w:cs="宋体"/>
                <w:color w:val="auto"/>
                <w:kern w:val="0"/>
                <w:sz w:val="24"/>
                <w:szCs w:val="24"/>
                <w:highlight w:val="none"/>
                <w:lang w:val="en-US" w:eastAsia="zh-CN"/>
              </w:rPr>
              <w:t>1</w:t>
            </w:r>
          </w:p>
          <w:p w14:paraId="15B052F1">
            <w:pPr>
              <w:jc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(2)</w:t>
            </w:r>
          </w:p>
        </w:tc>
        <w:tc>
          <w:tcPr>
            <w:tcW w:w="1186" w:type="dxa"/>
            <w:vMerge w:val="restart"/>
            <w:noWrap w:val="0"/>
            <w:vAlign w:val="center"/>
          </w:tcPr>
          <w:p w14:paraId="24CD4470">
            <w:pPr>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技术部分</w:t>
            </w:r>
          </w:p>
          <w:p w14:paraId="2F735311">
            <w:pPr>
              <w:pStyle w:val="5"/>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7</w:t>
            </w:r>
            <w:r>
              <w:rPr>
                <w:color w:val="auto"/>
                <w:highlight w:val="none"/>
                <w:lang w:eastAsia="zh-CN"/>
              </w:rPr>
              <w:t>0</w:t>
            </w:r>
            <w:r>
              <w:rPr>
                <w:rFonts w:hint="eastAsia"/>
                <w:color w:val="auto"/>
                <w:highlight w:val="none"/>
                <w:lang w:eastAsia="zh-CN"/>
              </w:rPr>
              <w:t>分）</w:t>
            </w:r>
          </w:p>
        </w:tc>
        <w:tc>
          <w:tcPr>
            <w:tcW w:w="2216" w:type="dxa"/>
            <w:vMerge w:val="restart"/>
            <w:noWrap w:val="0"/>
            <w:vAlign w:val="center"/>
          </w:tcPr>
          <w:p w14:paraId="191B6578">
            <w:pPr>
              <w:adjustRightInd w:val="0"/>
              <w:snapToGrid w:val="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投标设备技术性能指标的响应程度</w:t>
            </w:r>
          </w:p>
        </w:tc>
        <w:tc>
          <w:tcPr>
            <w:tcW w:w="894" w:type="dxa"/>
            <w:vMerge w:val="restart"/>
            <w:noWrap w:val="0"/>
            <w:vAlign w:val="center"/>
          </w:tcPr>
          <w:p w14:paraId="75D63C5F">
            <w:pPr>
              <w:jc w:val="center"/>
              <w:rPr>
                <w:rFonts w:ascii="宋体" w:hAnsi="宋体" w:cs="宋体"/>
                <w:color w:val="auto"/>
                <w:sz w:val="24"/>
                <w:szCs w:val="24"/>
                <w:highlight w:val="none"/>
              </w:rPr>
            </w:pPr>
            <w:r>
              <w:rPr>
                <w:rFonts w:hint="eastAsia" w:ascii="宋体" w:hAnsi="宋体" w:cs="宋体"/>
                <w:color w:val="auto"/>
                <w:kern w:val="0"/>
                <w:sz w:val="24"/>
                <w:szCs w:val="24"/>
                <w:highlight w:val="none"/>
                <w:lang w:val="en-US" w:eastAsia="zh-CN"/>
              </w:rPr>
              <w:t>2</w:t>
            </w:r>
            <w:r>
              <w:rPr>
                <w:rFonts w:ascii="宋体" w:hAnsi="宋体" w:cs="宋体"/>
                <w:color w:val="auto"/>
                <w:kern w:val="0"/>
                <w:sz w:val="24"/>
                <w:szCs w:val="24"/>
                <w:highlight w:val="none"/>
              </w:rPr>
              <w:t>0</w:t>
            </w:r>
            <w:r>
              <w:rPr>
                <w:rFonts w:hint="eastAsia" w:ascii="宋体" w:hAnsi="宋体" w:cs="宋体"/>
                <w:color w:val="auto"/>
                <w:kern w:val="0"/>
                <w:sz w:val="24"/>
                <w:szCs w:val="24"/>
                <w:highlight w:val="none"/>
              </w:rPr>
              <w:t>分</w:t>
            </w:r>
          </w:p>
        </w:tc>
        <w:tc>
          <w:tcPr>
            <w:tcW w:w="4119" w:type="dxa"/>
            <w:noWrap w:val="0"/>
            <w:vAlign w:val="center"/>
          </w:tcPr>
          <w:p w14:paraId="105D3961">
            <w:pPr>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能完全响应招标文件对投标设备技术性能指标要求，得</w:t>
            </w:r>
            <w:r>
              <w:rPr>
                <w:rFonts w:hint="eastAsia" w:ascii="宋体" w:hAnsi="宋体" w:cs="宋体"/>
                <w:color w:val="auto"/>
                <w:sz w:val="24"/>
                <w:szCs w:val="24"/>
                <w:highlight w:val="none"/>
                <w:lang w:val="en-US" w:eastAsia="zh-CN"/>
              </w:rPr>
              <w:t>16</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20</w:t>
            </w:r>
            <w:r>
              <w:rPr>
                <w:rFonts w:hint="eastAsia" w:ascii="宋体" w:hAnsi="宋体" w:cs="宋体"/>
                <w:color w:val="auto"/>
                <w:sz w:val="24"/>
                <w:szCs w:val="24"/>
                <w:highlight w:val="none"/>
              </w:rPr>
              <w:t>分。</w:t>
            </w:r>
          </w:p>
        </w:tc>
      </w:tr>
      <w:tr w14:paraId="24A67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9" w:type="dxa"/>
            <w:vMerge w:val="continue"/>
            <w:noWrap w:val="0"/>
            <w:vAlign w:val="center"/>
          </w:tcPr>
          <w:p w14:paraId="6B5716A7">
            <w:pPr>
              <w:jc w:val="center"/>
              <w:rPr>
                <w:rFonts w:hint="eastAsia" w:ascii="宋体" w:hAnsi="宋体" w:cs="宋体"/>
                <w:color w:val="auto"/>
                <w:kern w:val="0"/>
                <w:sz w:val="24"/>
                <w:szCs w:val="24"/>
                <w:highlight w:val="none"/>
              </w:rPr>
            </w:pPr>
          </w:p>
        </w:tc>
        <w:tc>
          <w:tcPr>
            <w:tcW w:w="1186" w:type="dxa"/>
            <w:vMerge w:val="continue"/>
            <w:noWrap w:val="0"/>
            <w:vAlign w:val="center"/>
          </w:tcPr>
          <w:p w14:paraId="10E5A80A">
            <w:pPr>
              <w:jc w:val="center"/>
              <w:rPr>
                <w:rFonts w:hint="eastAsia" w:ascii="宋体" w:hAnsi="宋体" w:cs="宋体"/>
                <w:color w:val="auto"/>
                <w:kern w:val="0"/>
                <w:sz w:val="24"/>
                <w:szCs w:val="24"/>
                <w:highlight w:val="none"/>
              </w:rPr>
            </w:pPr>
          </w:p>
        </w:tc>
        <w:tc>
          <w:tcPr>
            <w:tcW w:w="2216" w:type="dxa"/>
            <w:vMerge w:val="continue"/>
            <w:noWrap w:val="0"/>
            <w:vAlign w:val="center"/>
          </w:tcPr>
          <w:p w14:paraId="01100BC3">
            <w:pPr>
              <w:adjustRightInd w:val="0"/>
              <w:snapToGrid w:val="0"/>
              <w:jc w:val="center"/>
              <w:rPr>
                <w:rFonts w:hint="eastAsia" w:ascii="宋体" w:hAnsi="宋体" w:eastAsia="宋体" w:cs="宋体"/>
                <w:color w:val="auto"/>
                <w:sz w:val="24"/>
                <w:szCs w:val="24"/>
                <w:highlight w:val="none"/>
              </w:rPr>
            </w:pPr>
          </w:p>
        </w:tc>
        <w:tc>
          <w:tcPr>
            <w:tcW w:w="894" w:type="dxa"/>
            <w:vMerge w:val="continue"/>
            <w:noWrap w:val="0"/>
            <w:vAlign w:val="center"/>
          </w:tcPr>
          <w:p w14:paraId="7A3F51F7">
            <w:pPr>
              <w:jc w:val="center"/>
              <w:rPr>
                <w:rFonts w:ascii="宋体" w:hAnsi="宋体" w:cs="宋体"/>
                <w:color w:val="auto"/>
                <w:kern w:val="0"/>
                <w:sz w:val="24"/>
                <w:szCs w:val="24"/>
                <w:highlight w:val="none"/>
              </w:rPr>
            </w:pPr>
          </w:p>
        </w:tc>
        <w:tc>
          <w:tcPr>
            <w:tcW w:w="4119" w:type="dxa"/>
            <w:noWrap w:val="0"/>
            <w:vAlign w:val="center"/>
          </w:tcPr>
          <w:p w14:paraId="1B90E37B">
            <w:pPr>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能较好的响应招标文件对投标设备技术性能指标要求，得</w:t>
            </w:r>
            <w:r>
              <w:rPr>
                <w:rFonts w:hint="eastAsia" w:ascii="宋体" w:hAnsi="宋体" w:cs="宋体"/>
                <w:color w:val="auto"/>
                <w:sz w:val="24"/>
                <w:szCs w:val="24"/>
                <w:highlight w:val="none"/>
                <w:lang w:val="en-US" w:eastAsia="zh-CN"/>
              </w:rPr>
              <w:t>12</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16</w:t>
            </w:r>
            <w:r>
              <w:rPr>
                <w:rFonts w:hint="eastAsia" w:ascii="宋体" w:hAnsi="宋体" w:cs="宋体"/>
                <w:color w:val="auto"/>
                <w:sz w:val="24"/>
                <w:szCs w:val="24"/>
                <w:highlight w:val="none"/>
              </w:rPr>
              <w:t>分。</w:t>
            </w:r>
          </w:p>
        </w:tc>
      </w:tr>
      <w:tr w14:paraId="0DFA1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9" w:type="dxa"/>
            <w:vMerge w:val="continue"/>
            <w:noWrap w:val="0"/>
            <w:vAlign w:val="center"/>
          </w:tcPr>
          <w:p w14:paraId="5A39AA76">
            <w:pPr>
              <w:jc w:val="center"/>
              <w:rPr>
                <w:rFonts w:hint="eastAsia" w:ascii="宋体" w:hAnsi="宋体" w:cs="宋体"/>
                <w:color w:val="auto"/>
                <w:kern w:val="0"/>
                <w:sz w:val="24"/>
                <w:szCs w:val="24"/>
                <w:highlight w:val="none"/>
              </w:rPr>
            </w:pPr>
          </w:p>
        </w:tc>
        <w:tc>
          <w:tcPr>
            <w:tcW w:w="1186" w:type="dxa"/>
            <w:vMerge w:val="continue"/>
            <w:noWrap w:val="0"/>
            <w:vAlign w:val="center"/>
          </w:tcPr>
          <w:p w14:paraId="01D0D84E">
            <w:pPr>
              <w:jc w:val="center"/>
              <w:rPr>
                <w:rFonts w:hint="eastAsia" w:ascii="宋体" w:hAnsi="宋体" w:cs="宋体"/>
                <w:color w:val="auto"/>
                <w:kern w:val="0"/>
                <w:sz w:val="24"/>
                <w:szCs w:val="24"/>
                <w:highlight w:val="none"/>
              </w:rPr>
            </w:pPr>
          </w:p>
        </w:tc>
        <w:tc>
          <w:tcPr>
            <w:tcW w:w="2216" w:type="dxa"/>
            <w:vMerge w:val="continue"/>
            <w:noWrap w:val="0"/>
            <w:vAlign w:val="center"/>
          </w:tcPr>
          <w:p w14:paraId="409A8DCF">
            <w:pPr>
              <w:adjustRightInd w:val="0"/>
              <w:snapToGrid w:val="0"/>
              <w:jc w:val="center"/>
              <w:rPr>
                <w:rFonts w:hint="eastAsia" w:ascii="宋体" w:hAnsi="宋体" w:eastAsia="宋体" w:cs="宋体"/>
                <w:color w:val="auto"/>
                <w:sz w:val="24"/>
                <w:szCs w:val="24"/>
                <w:highlight w:val="none"/>
              </w:rPr>
            </w:pPr>
          </w:p>
        </w:tc>
        <w:tc>
          <w:tcPr>
            <w:tcW w:w="894" w:type="dxa"/>
            <w:vMerge w:val="continue"/>
            <w:noWrap w:val="0"/>
            <w:vAlign w:val="center"/>
          </w:tcPr>
          <w:p w14:paraId="47F95603">
            <w:pPr>
              <w:jc w:val="center"/>
              <w:rPr>
                <w:rFonts w:ascii="宋体" w:hAnsi="宋体" w:cs="宋体"/>
                <w:color w:val="auto"/>
                <w:kern w:val="0"/>
                <w:sz w:val="24"/>
                <w:szCs w:val="24"/>
                <w:highlight w:val="none"/>
              </w:rPr>
            </w:pPr>
          </w:p>
        </w:tc>
        <w:tc>
          <w:tcPr>
            <w:tcW w:w="4119" w:type="dxa"/>
            <w:noWrap w:val="0"/>
            <w:vAlign w:val="center"/>
          </w:tcPr>
          <w:p w14:paraId="5243018F">
            <w:pPr>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能响应招标文件对投标设备技术性能指标要求，得</w:t>
            </w:r>
            <w:r>
              <w:rPr>
                <w:rFonts w:hint="eastAsia" w:ascii="宋体" w:hAnsi="宋体" w:cs="宋体"/>
                <w:color w:val="auto"/>
                <w:sz w:val="24"/>
                <w:szCs w:val="24"/>
                <w:highlight w:val="none"/>
                <w:lang w:val="en-US" w:eastAsia="zh-CN"/>
              </w:rPr>
              <w:t>12</w:t>
            </w:r>
            <w:r>
              <w:rPr>
                <w:rFonts w:hint="eastAsia" w:ascii="宋体" w:hAnsi="宋体" w:cs="宋体"/>
                <w:color w:val="auto"/>
                <w:sz w:val="24"/>
                <w:szCs w:val="24"/>
                <w:highlight w:val="none"/>
              </w:rPr>
              <w:t>分。</w:t>
            </w:r>
          </w:p>
        </w:tc>
      </w:tr>
      <w:tr w14:paraId="3B2D2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959" w:type="dxa"/>
            <w:vMerge w:val="continue"/>
            <w:noWrap w:val="0"/>
            <w:vAlign w:val="center"/>
          </w:tcPr>
          <w:p w14:paraId="550FC127">
            <w:pPr>
              <w:jc w:val="center"/>
              <w:rPr>
                <w:rFonts w:hint="eastAsia" w:ascii="宋体" w:hAnsi="宋体" w:cs="宋体"/>
                <w:color w:val="auto"/>
                <w:kern w:val="0"/>
                <w:sz w:val="24"/>
                <w:szCs w:val="24"/>
                <w:highlight w:val="none"/>
              </w:rPr>
            </w:pPr>
          </w:p>
        </w:tc>
        <w:tc>
          <w:tcPr>
            <w:tcW w:w="1186" w:type="dxa"/>
            <w:vMerge w:val="continue"/>
            <w:noWrap w:val="0"/>
            <w:vAlign w:val="center"/>
          </w:tcPr>
          <w:p w14:paraId="144041B6">
            <w:pPr>
              <w:jc w:val="center"/>
              <w:rPr>
                <w:rFonts w:hint="eastAsia" w:ascii="宋体" w:hAnsi="宋体" w:cs="宋体"/>
                <w:color w:val="auto"/>
                <w:kern w:val="0"/>
                <w:sz w:val="24"/>
                <w:szCs w:val="24"/>
                <w:highlight w:val="none"/>
              </w:rPr>
            </w:pPr>
          </w:p>
        </w:tc>
        <w:tc>
          <w:tcPr>
            <w:tcW w:w="2216" w:type="dxa"/>
            <w:vMerge w:val="restart"/>
            <w:noWrap w:val="0"/>
            <w:vAlign w:val="center"/>
          </w:tcPr>
          <w:p w14:paraId="03A49868">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对投标设备整体</w:t>
            </w:r>
          </w:p>
          <w:p w14:paraId="43A86475">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评价</w:t>
            </w:r>
          </w:p>
        </w:tc>
        <w:tc>
          <w:tcPr>
            <w:tcW w:w="894" w:type="dxa"/>
            <w:vMerge w:val="restart"/>
            <w:noWrap w:val="0"/>
            <w:vAlign w:val="center"/>
          </w:tcPr>
          <w:p w14:paraId="2E25541C">
            <w:pPr>
              <w:jc w:val="center"/>
              <w:rPr>
                <w:rFonts w:hint="eastAsia" w:ascii="宋体" w:hAnsi="宋体" w:cs="宋体"/>
                <w:color w:val="auto"/>
                <w:kern w:val="0"/>
                <w:sz w:val="24"/>
                <w:szCs w:val="24"/>
                <w:highlight w:val="none"/>
                <w:u w:val="single"/>
              </w:rPr>
            </w:pPr>
            <w:r>
              <w:rPr>
                <w:rFonts w:ascii="宋体" w:hAnsi="宋体" w:cs="宋体"/>
                <w:color w:val="auto"/>
                <w:kern w:val="0"/>
                <w:sz w:val="24"/>
                <w:szCs w:val="24"/>
                <w:highlight w:val="none"/>
              </w:rPr>
              <w:t>20</w:t>
            </w:r>
            <w:r>
              <w:rPr>
                <w:rFonts w:hint="eastAsia" w:ascii="宋体" w:hAnsi="宋体" w:cs="宋体"/>
                <w:color w:val="auto"/>
                <w:kern w:val="0"/>
                <w:sz w:val="24"/>
                <w:szCs w:val="24"/>
                <w:highlight w:val="none"/>
              </w:rPr>
              <w:t>分</w:t>
            </w:r>
          </w:p>
        </w:tc>
        <w:tc>
          <w:tcPr>
            <w:tcW w:w="4119" w:type="dxa"/>
            <w:noWrap w:val="0"/>
            <w:vAlign w:val="center"/>
          </w:tcPr>
          <w:p w14:paraId="4670C748">
            <w:pPr>
              <w:ind w:right="113" w:rightChars="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完全满足招标文件要求，设备整体性能优越，得16-</w:t>
            </w:r>
            <w:r>
              <w:rPr>
                <w:rFonts w:ascii="宋体" w:hAnsi="宋体" w:cs="宋体"/>
                <w:color w:val="auto"/>
                <w:sz w:val="24"/>
                <w:szCs w:val="24"/>
                <w:highlight w:val="none"/>
              </w:rPr>
              <w:t>20</w:t>
            </w:r>
            <w:r>
              <w:rPr>
                <w:rFonts w:hint="eastAsia" w:ascii="宋体" w:hAnsi="宋体" w:cs="宋体"/>
                <w:color w:val="auto"/>
                <w:sz w:val="24"/>
                <w:szCs w:val="24"/>
                <w:highlight w:val="none"/>
              </w:rPr>
              <w:t>分。</w:t>
            </w:r>
          </w:p>
        </w:tc>
      </w:tr>
      <w:tr w14:paraId="5F29A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959" w:type="dxa"/>
            <w:vMerge w:val="continue"/>
            <w:noWrap w:val="0"/>
            <w:vAlign w:val="center"/>
          </w:tcPr>
          <w:p w14:paraId="06C59A66">
            <w:pPr>
              <w:jc w:val="center"/>
              <w:rPr>
                <w:rFonts w:hint="eastAsia" w:ascii="宋体" w:hAnsi="宋体" w:cs="宋体"/>
                <w:color w:val="auto"/>
                <w:kern w:val="0"/>
                <w:sz w:val="24"/>
                <w:szCs w:val="24"/>
                <w:highlight w:val="none"/>
              </w:rPr>
            </w:pPr>
          </w:p>
        </w:tc>
        <w:tc>
          <w:tcPr>
            <w:tcW w:w="1186" w:type="dxa"/>
            <w:vMerge w:val="continue"/>
            <w:noWrap w:val="0"/>
            <w:vAlign w:val="center"/>
          </w:tcPr>
          <w:p w14:paraId="5CF55EB7">
            <w:pPr>
              <w:jc w:val="center"/>
              <w:rPr>
                <w:rFonts w:hint="eastAsia" w:ascii="宋体" w:hAnsi="宋体" w:cs="宋体"/>
                <w:color w:val="auto"/>
                <w:kern w:val="0"/>
                <w:sz w:val="24"/>
                <w:szCs w:val="24"/>
                <w:highlight w:val="none"/>
              </w:rPr>
            </w:pPr>
          </w:p>
        </w:tc>
        <w:tc>
          <w:tcPr>
            <w:tcW w:w="2216" w:type="dxa"/>
            <w:vMerge w:val="continue"/>
            <w:noWrap w:val="0"/>
            <w:vAlign w:val="center"/>
          </w:tcPr>
          <w:p w14:paraId="428710BA">
            <w:pPr>
              <w:jc w:val="center"/>
              <w:rPr>
                <w:rFonts w:hint="eastAsia" w:ascii="宋体" w:hAnsi="宋体" w:cs="宋体"/>
                <w:color w:val="auto"/>
                <w:sz w:val="24"/>
                <w:szCs w:val="24"/>
                <w:highlight w:val="none"/>
              </w:rPr>
            </w:pPr>
          </w:p>
        </w:tc>
        <w:tc>
          <w:tcPr>
            <w:tcW w:w="894" w:type="dxa"/>
            <w:vMerge w:val="continue"/>
            <w:noWrap w:val="0"/>
            <w:vAlign w:val="center"/>
          </w:tcPr>
          <w:p w14:paraId="54494ACA">
            <w:pPr>
              <w:jc w:val="center"/>
              <w:rPr>
                <w:rFonts w:ascii="宋体" w:hAnsi="宋体" w:cs="宋体"/>
                <w:color w:val="auto"/>
                <w:kern w:val="0"/>
                <w:sz w:val="24"/>
                <w:szCs w:val="24"/>
                <w:highlight w:val="none"/>
                <w:u w:val="single"/>
              </w:rPr>
            </w:pPr>
          </w:p>
        </w:tc>
        <w:tc>
          <w:tcPr>
            <w:tcW w:w="4119" w:type="dxa"/>
            <w:noWrap w:val="0"/>
            <w:vAlign w:val="center"/>
          </w:tcPr>
          <w:p w14:paraId="25E1FFAA">
            <w:pPr>
              <w:ind w:right="113" w:rightChars="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较好满足招标文件要求，设备整体性能较好，得</w:t>
            </w:r>
            <w:r>
              <w:rPr>
                <w:rFonts w:ascii="宋体" w:hAnsi="宋体" w:cs="宋体"/>
                <w:color w:val="auto"/>
                <w:sz w:val="24"/>
                <w:szCs w:val="24"/>
                <w:highlight w:val="none"/>
              </w:rPr>
              <w:t>12</w:t>
            </w:r>
            <w:r>
              <w:rPr>
                <w:rFonts w:hint="eastAsia" w:ascii="宋体" w:hAnsi="宋体" w:cs="宋体"/>
                <w:color w:val="auto"/>
                <w:sz w:val="24"/>
                <w:szCs w:val="24"/>
                <w:highlight w:val="none"/>
              </w:rPr>
              <w:t>-</w:t>
            </w:r>
            <w:r>
              <w:rPr>
                <w:rFonts w:ascii="宋体" w:hAnsi="宋体" w:cs="宋体"/>
                <w:color w:val="auto"/>
                <w:sz w:val="24"/>
                <w:szCs w:val="24"/>
                <w:highlight w:val="none"/>
              </w:rPr>
              <w:t>16</w:t>
            </w:r>
            <w:r>
              <w:rPr>
                <w:rFonts w:hint="eastAsia" w:ascii="宋体" w:hAnsi="宋体" w:cs="宋体"/>
                <w:color w:val="auto"/>
                <w:sz w:val="24"/>
                <w:szCs w:val="24"/>
                <w:highlight w:val="none"/>
              </w:rPr>
              <w:t>分。</w:t>
            </w:r>
          </w:p>
        </w:tc>
      </w:tr>
      <w:tr w14:paraId="6F975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959" w:type="dxa"/>
            <w:vMerge w:val="continue"/>
            <w:noWrap w:val="0"/>
            <w:vAlign w:val="center"/>
          </w:tcPr>
          <w:p w14:paraId="2BE6FA92">
            <w:pPr>
              <w:jc w:val="center"/>
              <w:rPr>
                <w:rFonts w:hint="eastAsia" w:ascii="宋体" w:hAnsi="宋体" w:cs="宋体"/>
                <w:color w:val="auto"/>
                <w:kern w:val="0"/>
                <w:sz w:val="24"/>
                <w:szCs w:val="24"/>
                <w:highlight w:val="none"/>
              </w:rPr>
            </w:pPr>
          </w:p>
        </w:tc>
        <w:tc>
          <w:tcPr>
            <w:tcW w:w="1186" w:type="dxa"/>
            <w:vMerge w:val="continue"/>
            <w:noWrap w:val="0"/>
            <w:vAlign w:val="center"/>
          </w:tcPr>
          <w:p w14:paraId="50622FE8">
            <w:pPr>
              <w:jc w:val="center"/>
              <w:rPr>
                <w:rFonts w:hint="eastAsia" w:ascii="宋体" w:hAnsi="宋体" w:cs="宋体"/>
                <w:color w:val="auto"/>
                <w:kern w:val="0"/>
                <w:sz w:val="24"/>
                <w:szCs w:val="24"/>
                <w:highlight w:val="none"/>
              </w:rPr>
            </w:pPr>
          </w:p>
        </w:tc>
        <w:tc>
          <w:tcPr>
            <w:tcW w:w="2216" w:type="dxa"/>
            <w:vMerge w:val="continue"/>
            <w:noWrap w:val="0"/>
            <w:vAlign w:val="center"/>
          </w:tcPr>
          <w:p w14:paraId="1986D7C5">
            <w:pPr>
              <w:jc w:val="center"/>
              <w:rPr>
                <w:rFonts w:hint="eastAsia" w:ascii="宋体" w:hAnsi="宋体" w:cs="宋体"/>
                <w:color w:val="auto"/>
                <w:sz w:val="24"/>
                <w:szCs w:val="24"/>
                <w:highlight w:val="none"/>
              </w:rPr>
            </w:pPr>
          </w:p>
        </w:tc>
        <w:tc>
          <w:tcPr>
            <w:tcW w:w="894" w:type="dxa"/>
            <w:vMerge w:val="continue"/>
            <w:noWrap w:val="0"/>
            <w:vAlign w:val="center"/>
          </w:tcPr>
          <w:p w14:paraId="0C22EEE9">
            <w:pPr>
              <w:jc w:val="center"/>
              <w:rPr>
                <w:rFonts w:ascii="宋体" w:hAnsi="宋体" w:cs="宋体"/>
                <w:color w:val="auto"/>
                <w:kern w:val="0"/>
                <w:sz w:val="24"/>
                <w:szCs w:val="24"/>
                <w:highlight w:val="none"/>
                <w:u w:val="single"/>
              </w:rPr>
            </w:pPr>
          </w:p>
        </w:tc>
        <w:tc>
          <w:tcPr>
            <w:tcW w:w="4119" w:type="dxa"/>
            <w:noWrap w:val="0"/>
            <w:vAlign w:val="center"/>
          </w:tcPr>
          <w:p w14:paraId="5BD0AD57">
            <w:pPr>
              <w:ind w:right="113" w:rightChars="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基本</w:t>
            </w:r>
            <w:r>
              <w:rPr>
                <w:rFonts w:hint="eastAsia" w:ascii="宋体" w:hAnsi="宋体" w:cs="宋体"/>
                <w:color w:val="auto"/>
                <w:sz w:val="24"/>
                <w:szCs w:val="24"/>
                <w:highlight w:val="none"/>
              </w:rPr>
              <w:t>满足招标文件要求，设备整体性能一般，得</w:t>
            </w:r>
            <w:r>
              <w:rPr>
                <w:rFonts w:ascii="宋体" w:hAnsi="宋体" w:cs="宋体"/>
                <w:color w:val="auto"/>
                <w:sz w:val="24"/>
                <w:szCs w:val="24"/>
                <w:highlight w:val="none"/>
              </w:rPr>
              <w:t>12</w:t>
            </w:r>
            <w:r>
              <w:rPr>
                <w:rFonts w:hint="eastAsia" w:ascii="宋体" w:hAnsi="宋体" w:cs="宋体"/>
                <w:color w:val="auto"/>
                <w:sz w:val="24"/>
                <w:szCs w:val="24"/>
                <w:highlight w:val="none"/>
              </w:rPr>
              <w:t>分</w:t>
            </w:r>
            <w:r>
              <w:rPr>
                <w:rFonts w:hint="eastAsia" w:ascii="宋体" w:hAnsi="宋体" w:cs="宋体"/>
                <w:color w:val="auto"/>
                <w:sz w:val="24"/>
                <w:szCs w:val="24"/>
                <w:highlight w:val="none"/>
                <w:lang w:eastAsia="zh-CN"/>
              </w:rPr>
              <w:t>。</w:t>
            </w:r>
          </w:p>
        </w:tc>
      </w:tr>
      <w:tr w14:paraId="27891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959" w:type="dxa"/>
            <w:vMerge w:val="continue"/>
            <w:noWrap w:val="0"/>
            <w:vAlign w:val="center"/>
          </w:tcPr>
          <w:p w14:paraId="789CF3C4">
            <w:pPr>
              <w:jc w:val="center"/>
              <w:rPr>
                <w:rFonts w:hint="eastAsia" w:ascii="宋体" w:hAnsi="宋体" w:cs="宋体"/>
                <w:color w:val="auto"/>
                <w:kern w:val="0"/>
                <w:sz w:val="24"/>
                <w:szCs w:val="24"/>
                <w:highlight w:val="none"/>
              </w:rPr>
            </w:pPr>
          </w:p>
        </w:tc>
        <w:tc>
          <w:tcPr>
            <w:tcW w:w="1186" w:type="dxa"/>
            <w:vMerge w:val="continue"/>
            <w:noWrap w:val="0"/>
            <w:vAlign w:val="center"/>
          </w:tcPr>
          <w:p w14:paraId="4BA45C7D">
            <w:pPr>
              <w:jc w:val="center"/>
              <w:rPr>
                <w:rFonts w:hint="eastAsia" w:ascii="宋体" w:hAnsi="宋体" w:cs="宋体"/>
                <w:color w:val="auto"/>
                <w:kern w:val="0"/>
                <w:sz w:val="24"/>
                <w:szCs w:val="24"/>
                <w:highlight w:val="none"/>
              </w:rPr>
            </w:pPr>
          </w:p>
        </w:tc>
        <w:tc>
          <w:tcPr>
            <w:tcW w:w="2216" w:type="dxa"/>
            <w:vMerge w:val="restart"/>
            <w:noWrap w:val="0"/>
            <w:vAlign w:val="center"/>
          </w:tcPr>
          <w:p w14:paraId="09840C4E">
            <w:pPr>
              <w:ind w:right="11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投标设备生产和供货方案的评价</w:t>
            </w:r>
          </w:p>
        </w:tc>
        <w:tc>
          <w:tcPr>
            <w:tcW w:w="894" w:type="dxa"/>
            <w:vMerge w:val="restart"/>
            <w:noWrap w:val="0"/>
            <w:vAlign w:val="center"/>
          </w:tcPr>
          <w:p w14:paraId="0018FC0E">
            <w:pPr>
              <w:ind w:right="113"/>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0分</w:t>
            </w:r>
          </w:p>
        </w:tc>
        <w:tc>
          <w:tcPr>
            <w:tcW w:w="4119" w:type="dxa"/>
            <w:noWrap w:val="0"/>
            <w:vAlign w:val="top"/>
          </w:tcPr>
          <w:p w14:paraId="026B0F56">
            <w:pPr>
              <w:ind w:right="113"/>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投标人提供的供货方案切实可行、供货能力强、交货进度有保障、能够保质保量的完成供货，针对供货过程中的特殊情况有预案，得</w:t>
            </w:r>
            <w:r>
              <w:rPr>
                <w:rFonts w:hint="eastAsia" w:ascii="宋体" w:hAnsi="宋体" w:cs="宋体"/>
                <w:color w:val="auto"/>
                <w:sz w:val="24"/>
                <w:szCs w:val="24"/>
                <w:highlight w:val="none"/>
              </w:rPr>
              <w:t>16-</w:t>
            </w:r>
            <w:r>
              <w:rPr>
                <w:rFonts w:ascii="宋体" w:hAnsi="宋体" w:cs="宋体"/>
                <w:color w:val="auto"/>
                <w:sz w:val="24"/>
                <w:szCs w:val="24"/>
                <w:highlight w:val="none"/>
              </w:rPr>
              <w:t>20</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p>
        </w:tc>
      </w:tr>
      <w:tr w14:paraId="29D26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959" w:type="dxa"/>
            <w:vMerge w:val="continue"/>
            <w:noWrap w:val="0"/>
            <w:vAlign w:val="center"/>
          </w:tcPr>
          <w:p w14:paraId="6967D0A8">
            <w:pPr>
              <w:jc w:val="center"/>
              <w:rPr>
                <w:rFonts w:hint="eastAsia" w:ascii="宋体" w:hAnsi="宋体" w:cs="宋体"/>
                <w:color w:val="auto"/>
                <w:kern w:val="0"/>
                <w:sz w:val="24"/>
                <w:szCs w:val="24"/>
                <w:highlight w:val="none"/>
              </w:rPr>
            </w:pPr>
          </w:p>
        </w:tc>
        <w:tc>
          <w:tcPr>
            <w:tcW w:w="1186" w:type="dxa"/>
            <w:vMerge w:val="continue"/>
            <w:noWrap w:val="0"/>
            <w:vAlign w:val="center"/>
          </w:tcPr>
          <w:p w14:paraId="57545BFB">
            <w:pPr>
              <w:jc w:val="center"/>
              <w:rPr>
                <w:rFonts w:hint="eastAsia" w:ascii="宋体" w:hAnsi="宋体" w:cs="宋体"/>
                <w:color w:val="auto"/>
                <w:kern w:val="0"/>
                <w:sz w:val="24"/>
                <w:szCs w:val="24"/>
                <w:highlight w:val="none"/>
              </w:rPr>
            </w:pPr>
          </w:p>
        </w:tc>
        <w:tc>
          <w:tcPr>
            <w:tcW w:w="2216" w:type="dxa"/>
            <w:vMerge w:val="continue"/>
            <w:noWrap w:val="0"/>
            <w:vAlign w:val="center"/>
          </w:tcPr>
          <w:p w14:paraId="1CDACAF9">
            <w:pPr>
              <w:ind w:right="113"/>
              <w:jc w:val="left"/>
              <w:rPr>
                <w:rFonts w:hint="eastAsia" w:ascii="宋体" w:hAnsi="宋体" w:eastAsia="宋体" w:cs="宋体"/>
                <w:color w:val="auto"/>
                <w:sz w:val="24"/>
                <w:szCs w:val="24"/>
                <w:highlight w:val="none"/>
              </w:rPr>
            </w:pPr>
          </w:p>
        </w:tc>
        <w:tc>
          <w:tcPr>
            <w:tcW w:w="894" w:type="dxa"/>
            <w:vMerge w:val="continue"/>
            <w:noWrap w:val="0"/>
            <w:vAlign w:val="center"/>
          </w:tcPr>
          <w:p w14:paraId="354D11A1">
            <w:pPr>
              <w:ind w:right="113"/>
              <w:jc w:val="left"/>
              <w:rPr>
                <w:rFonts w:hint="eastAsia" w:ascii="宋体" w:hAnsi="宋体" w:eastAsia="宋体" w:cs="宋体"/>
                <w:color w:val="auto"/>
                <w:sz w:val="24"/>
                <w:szCs w:val="24"/>
                <w:highlight w:val="none"/>
              </w:rPr>
            </w:pPr>
          </w:p>
        </w:tc>
        <w:tc>
          <w:tcPr>
            <w:tcW w:w="4119" w:type="dxa"/>
            <w:noWrap w:val="0"/>
            <w:vAlign w:val="center"/>
          </w:tcPr>
          <w:p w14:paraId="7734B031">
            <w:pPr>
              <w:ind w:right="113"/>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投标人提供的供货方案可行、供货能力较强、交货进度满足招标文件要求，得</w:t>
            </w:r>
            <w:r>
              <w:rPr>
                <w:rFonts w:ascii="宋体" w:hAnsi="宋体" w:cs="宋体"/>
                <w:color w:val="auto"/>
                <w:sz w:val="24"/>
                <w:szCs w:val="24"/>
                <w:highlight w:val="none"/>
              </w:rPr>
              <w:t>12</w:t>
            </w:r>
            <w:r>
              <w:rPr>
                <w:rFonts w:hint="eastAsia" w:ascii="宋体" w:hAnsi="宋体" w:cs="宋体"/>
                <w:color w:val="auto"/>
                <w:sz w:val="24"/>
                <w:szCs w:val="24"/>
                <w:highlight w:val="none"/>
              </w:rPr>
              <w:t>-</w:t>
            </w:r>
            <w:r>
              <w:rPr>
                <w:rFonts w:ascii="宋体" w:hAnsi="宋体" w:cs="宋体"/>
                <w:color w:val="auto"/>
                <w:sz w:val="24"/>
                <w:szCs w:val="24"/>
                <w:highlight w:val="none"/>
              </w:rPr>
              <w:t>16</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p>
        </w:tc>
      </w:tr>
      <w:tr w14:paraId="2C71C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959" w:type="dxa"/>
            <w:vMerge w:val="continue"/>
            <w:noWrap w:val="0"/>
            <w:vAlign w:val="center"/>
          </w:tcPr>
          <w:p w14:paraId="7C1C212E">
            <w:pPr>
              <w:jc w:val="center"/>
              <w:rPr>
                <w:rFonts w:hint="eastAsia" w:ascii="宋体" w:hAnsi="宋体" w:cs="宋体"/>
                <w:color w:val="auto"/>
                <w:kern w:val="0"/>
                <w:sz w:val="24"/>
                <w:szCs w:val="24"/>
                <w:highlight w:val="none"/>
              </w:rPr>
            </w:pPr>
          </w:p>
        </w:tc>
        <w:tc>
          <w:tcPr>
            <w:tcW w:w="1186" w:type="dxa"/>
            <w:vMerge w:val="continue"/>
            <w:noWrap w:val="0"/>
            <w:vAlign w:val="center"/>
          </w:tcPr>
          <w:p w14:paraId="56026F54">
            <w:pPr>
              <w:jc w:val="center"/>
              <w:rPr>
                <w:rFonts w:hint="eastAsia" w:ascii="宋体" w:hAnsi="宋体" w:cs="宋体"/>
                <w:color w:val="auto"/>
                <w:kern w:val="0"/>
                <w:sz w:val="24"/>
                <w:szCs w:val="24"/>
                <w:highlight w:val="none"/>
              </w:rPr>
            </w:pPr>
          </w:p>
        </w:tc>
        <w:tc>
          <w:tcPr>
            <w:tcW w:w="2216" w:type="dxa"/>
            <w:vMerge w:val="continue"/>
            <w:noWrap w:val="0"/>
            <w:vAlign w:val="center"/>
          </w:tcPr>
          <w:p w14:paraId="5BDB2049">
            <w:pPr>
              <w:ind w:right="113"/>
              <w:jc w:val="left"/>
              <w:rPr>
                <w:rFonts w:hint="eastAsia" w:ascii="宋体" w:hAnsi="宋体" w:eastAsia="宋体" w:cs="宋体"/>
                <w:color w:val="auto"/>
                <w:sz w:val="24"/>
                <w:szCs w:val="24"/>
                <w:highlight w:val="none"/>
              </w:rPr>
            </w:pPr>
          </w:p>
        </w:tc>
        <w:tc>
          <w:tcPr>
            <w:tcW w:w="894" w:type="dxa"/>
            <w:vMerge w:val="continue"/>
            <w:noWrap w:val="0"/>
            <w:vAlign w:val="center"/>
          </w:tcPr>
          <w:p w14:paraId="1C4FF885">
            <w:pPr>
              <w:ind w:right="113"/>
              <w:jc w:val="left"/>
              <w:rPr>
                <w:rFonts w:hint="eastAsia" w:ascii="宋体" w:hAnsi="宋体" w:eastAsia="宋体" w:cs="宋体"/>
                <w:color w:val="auto"/>
                <w:sz w:val="24"/>
                <w:szCs w:val="24"/>
                <w:highlight w:val="none"/>
              </w:rPr>
            </w:pPr>
          </w:p>
        </w:tc>
        <w:tc>
          <w:tcPr>
            <w:tcW w:w="4119" w:type="dxa"/>
            <w:noWrap w:val="0"/>
            <w:vAlign w:val="center"/>
          </w:tcPr>
          <w:p w14:paraId="538D1CDD">
            <w:pPr>
              <w:ind w:right="113"/>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投标人提供的供货方案一般、供货能力一般、交货进度基本满足招标文件要求，得</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分。</w:t>
            </w:r>
          </w:p>
        </w:tc>
      </w:tr>
      <w:tr w14:paraId="60578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59" w:type="dxa"/>
            <w:vMerge w:val="continue"/>
            <w:noWrap w:val="0"/>
            <w:vAlign w:val="center"/>
          </w:tcPr>
          <w:p w14:paraId="16AF6A0F">
            <w:pPr>
              <w:jc w:val="center"/>
              <w:rPr>
                <w:rFonts w:hint="eastAsia" w:ascii="宋体" w:hAnsi="宋体" w:cs="宋体"/>
                <w:color w:val="auto"/>
                <w:kern w:val="0"/>
                <w:sz w:val="24"/>
                <w:szCs w:val="24"/>
                <w:highlight w:val="none"/>
              </w:rPr>
            </w:pPr>
          </w:p>
        </w:tc>
        <w:tc>
          <w:tcPr>
            <w:tcW w:w="1186" w:type="dxa"/>
            <w:vMerge w:val="continue"/>
            <w:noWrap w:val="0"/>
            <w:vAlign w:val="center"/>
          </w:tcPr>
          <w:p w14:paraId="25905584">
            <w:pPr>
              <w:jc w:val="center"/>
              <w:rPr>
                <w:rFonts w:hint="eastAsia" w:ascii="宋体" w:hAnsi="宋体" w:cs="宋体"/>
                <w:color w:val="auto"/>
                <w:kern w:val="0"/>
                <w:sz w:val="24"/>
                <w:szCs w:val="24"/>
                <w:highlight w:val="none"/>
              </w:rPr>
            </w:pPr>
          </w:p>
        </w:tc>
        <w:tc>
          <w:tcPr>
            <w:tcW w:w="2216" w:type="dxa"/>
            <w:vMerge w:val="restart"/>
            <w:noWrap w:val="0"/>
            <w:vAlign w:val="center"/>
          </w:tcPr>
          <w:p w14:paraId="5757EBA0">
            <w:pPr>
              <w:ind w:right="11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对投标人技术服务和质保期服务能力的评价</w:t>
            </w:r>
          </w:p>
        </w:tc>
        <w:tc>
          <w:tcPr>
            <w:tcW w:w="894" w:type="dxa"/>
            <w:vMerge w:val="restart"/>
            <w:noWrap w:val="0"/>
            <w:vAlign w:val="center"/>
          </w:tcPr>
          <w:p w14:paraId="7F2EA7E9">
            <w:pPr>
              <w:ind w:right="113"/>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10分</w:t>
            </w:r>
          </w:p>
        </w:tc>
        <w:tc>
          <w:tcPr>
            <w:tcW w:w="4119" w:type="dxa"/>
            <w:noWrap w:val="0"/>
            <w:vAlign w:val="center"/>
          </w:tcPr>
          <w:p w14:paraId="2D4B076B">
            <w:pPr>
              <w:ind w:right="113"/>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维护保障实施能力强，能够提供有效、稳定、可靠的维修、保养服务，售后服务体系完善且能够很好的服务招标人，得8-10分</w:t>
            </w:r>
            <w:r>
              <w:rPr>
                <w:rFonts w:hint="eastAsia" w:ascii="宋体" w:hAnsi="宋体" w:eastAsia="宋体" w:cs="宋体"/>
                <w:color w:val="auto"/>
                <w:sz w:val="24"/>
                <w:szCs w:val="24"/>
                <w:highlight w:val="none"/>
                <w:lang w:eastAsia="zh-CN"/>
              </w:rPr>
              <w:t>。</w:t>
            </w:r>
          </w:p>
        </w:tc>
      </w:tr>
      <w:tr w14:paraId="29A37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959" w:type="dxa"/>
            <w:vMerge w:val="continue"/>
            <w:noWrap w:val="0"/>
            <w:vAlign w:val="center"/>
          </w:tcPr>
          <w:p w14:paraId="3545A1C0">
            <w:pPr>
              <w:jc w:val="center"/>
              <w:rPr>
                <w:rFonts w:hint="eastAsia" w:ascii="宋体" w:hAnsi="宋体" w:cs="宋体"/>
                <w:color w:val="auto"/>
                <w:kern w:val="0"/>
                <w:sz w:val="24"/>
                <w:szCs w:val="24"/>
                <w:highlight w:val="none"/>
              </w:rPr>
            </w:pPr>
          </w:p>
        </w:tc>
        <w:tc>
          <w:tcPr>
            <w:tcW w:w="1186" w:type="dxa"/>
            <w:vMerge w:val="continue"/>
            <w:noWrap w:val="0"/>
            <w:vAlign w:val="center"/>
          </w:tcPr>
          <w:p w14:paraId="7D7AB75D">
            <w:pPr>
              <w:jc w:val="center"/>
              <w:rPr>
                <w:rFonts w:hint="eastAsia" w:ascii="宋体" w:hAnsi="宋体" w:cs="宋体"/>
                <w:color w:val="auto"/>
                <w:kern w:val="0"/>
                <w:sz w:val="24"/>
                <w:szCs w:val="24"/>
                <w:highlight w:val="none"/>
              </w:rPr>
            </w:pPr>
          </w:p>
        </w:tc>
        <w:tc>
          <w:tcPr>
            <w:tcW w:w="2216" w:type="dxa"/>
            <w:vMerge w:val="continue"/>
            <w:noWrap w:val="0"/>
            <w:vAlign w:val="center"/>
          </w:tcPr>
          <w:p w14:paraId="7626F4F3">
            <w:pPr>
              <w:ind w:right="113"/>
              <w:jc w:val="left"/>
              <w:rPr>
                <w:rFonts w:hint="eastAsia" w:ascii="宋体" w:hAnsi="宋体" w:eastAsia="宋体" w:cs="宋体"/>
                <w:color w:val="auto"/>
                <w:sz w:val="24"/>
                <w:szCs w:val="24"/>
                <w:highlight w:val="none"/>
              </w:rPr>
            </w:pPr>
          </w:p>
        </w:tc>
        <w:tc>
          <w:tcPr>
            <w:tcW w:w="894" w:type="dxa"/>
            <w:vMerge w:val="continue"/>
            <w:noWrap w:val="0"/>
            <w:vAlign w:val="center"/>
          </w:tcPr>
          <w:p w14:paraId="3B388B25">
            <w:pPr>
              <w:ind w:right="113"/>
              <w:jc w:val="left"/>
              <w:rPr>
                <w:rFonts w:hint="eastAsia" w:ascii="宋体" w:hAnsi="宋体" w:eastAsia="宋体" w:cs="宋体"/>
                <w:color w:val="auto"/>
                <w:sz w:val="24"/>
                <w:szCs w:val="24"/>
                <w:highlight w:val="none"/>
              </w:rPr>
            </w:pPr>
          </w:p>
        </w:tc>
        <w:tc>
          <w:tcPr>
            <w:tcW w:w="4119" w:type="dxa"/>
            <w:noWrap w:val="0"/>
            <w:vAlign w:val="center"/>
          </w:tcPr>
          <w:p w14:paraId="50E966E6">
            <w:pPr>
              <w:ind w:right="113"/>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维护保障实施能力较强，能够提供比较有效、稳定、可靠的维修、保养服务，售后服务体系较完善，能较好的服务招标人，得6-8分</w:t>
            </w:r>
            <w:r>
              <w:rPr>
                <w:rFonts w:hint="eastAsia" w:ascii="宋体" w:hAnsi="宋体" w:eastAsia="宋体" w:cs="宋体"/>
                <w:color w:val="auto"/>
                <w:sz w:val="24"/>
                <w:szCs w:val="24"/>
                <w:highlight w:val="none"/>
                <w:lang w:eastAsia="zh-CN"/>
              </w:rPr>
              <w:t>。</w:t>
            </w:r>
          </w:p>
        </w:tc>
      </w:tr>
      <w:tr w14:paraId="7BACB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59" w:type="dxa"/>
            <w:vMerge w:val="continue"/>
            <w:noWrap w:val="0"/>
            <w:vAlign w:val="center"/>
          </w:tcPr>
          <w:p w14:paraId="1315399C">
            <w:pPr>
              <w:jc w:val="center"/>
              <w:rPr>
                <w:rFonts w:hint="eastAsia" w:ascii="宋体" w:hAnsi="宋体" w:cs="宋体"/>
                <w:color w:val="auto"/>
                <w:kern w:val="0"/>
                <w:sz w:val="24"/>
                <w:szCs w:val="24"/>
                <w:highlight w:val="none"/>
              </w:rPr>
            </w:pPr>
          </w:p>
        </w:tc>
        <w:tc>
          <w:tcPr>
            <w:tcW w:w="1186" w:type="dxa"/>
            <w:vMerge w:val="continue"/>
            <w:noWrap w:val="0"/>
            <w:vAlign w:val="center"/>
          </w:tcPr>
          <w:p w14:paraId="02139DE1">
            <w:pPr>
              <w:jc w:val="center"/>
              <w:rPr>
                <w:rFonts w:hint="eastAsia" w:ascii="宋体" w:hAnsi="宋体" w:cs="宋体"/>
                <w:color w:val="auto"/>
                <w:kern w:val="0"/>
                <w:sz w:val="24"/>
                <w:szCs w:val="24"/>
                <w:highlight w:val="none"/>
              </w:rPr>
            </w:pPr>
          </w:p>
        </w:tc>
        <w:tc>
          <w:tcPr>
            <w:tcW w:w="2216" w:type="dxa"/>
            <w:vMerge w:val="continue"/>
            <w:noWrap w:val="0"/>
            <w:vAlign w:val="center"/>
          </w:tcPr>
          <w:p w14:paraId="7661F536">
            <w:pPr>
              <w:ind w:right="113"/>
              <w:jc w:val="left"/>
              <w:rPr>
                <w:rFonts w:hint="eastAsia" w:ascii="宋体" w:hAnsi="宋体" w:eastAsia="宋体" w:cs="宋体"/>
                <w:color w:val="auto"/>
                <w:sz w:val="24"/>
                <w:szCs w:val="24"/>
                <w:highlight w:val="none"/>
              </w:rPr>
            </w:pPr>
          </w:p>
        </w:tc>
        <w:tc>
          <w:tcPr>
            <w:tcW w:w="894" w:type="dxa"/>
            <w:vMerge w:val="continue"/>
            <w:noWrap w:val="0"/>
            <w:vAlign w:val="center"/>
          </w:tcPr>
          <w:p w14:paraId="0479FDC4">
            <w:pPr>
              <w:ind w:right="113"/>
              <w:jc w:val="left"/>
              <w:rPr>
                <w:rFonts w:hint="eastAsia" w:ascii="宋体" w:hAnsi="宋体" w:eastAsia="宋体" w:cs="宋体"/>
                <w:color w:val="auto"/>
                <w:sz w:val="24"/>
                <w:szCs w:val="24"/>
                <w:highlight w:val="none"/>
              </w:rPr>
            </w:pPr>
          </w:p>
        </w:tc>
        <w:tc>
          <w:tcPr>
            <w:tcW w:w="4119" w:type="dxa"/>
            <w:noWrap w:val="0"/>
            <w:vAlign w:val="center"/>
          </w:tcPr>
          <w:p w14:paraId="19711161">
            <w:pPr>
              <w:ind w:right="113"/>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维护保障实施能力一般，能够提供基本的维修、保养服务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得6分</w:t>
            </w:r>
          </w:p>
        </w:tc>
      </w:tr>
      <w:tr w14:paraId="08079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959" w:type="dxa"/>
            <w:tcBorders>
              <w:bottom w:val="single" w:color="auto" w:sz="4" w:space="0"/>
            </w:tcBorders>
            <w:noWrap w:val="0"/>
            <w:vAlign w:val="center"/>
          </w:tcPr>
          <w:p w14:paraId="6CACC853">
            <w:pPr>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2.2.</w:t>
            </w:r>
            <w:r>
              <w:rPr>
                <w:rFonts w:hint="eastAsia" w:ascii="宋体" w:hAnsi="宋体" w:cs="宋体"/>
                <w:color w:val="auto"/>
                <w:kern w:val="0"/>
                <w:sz w:val="24"/>
                <w:szCs w:val="24"/>
                <w:highlight w:val="none"/>
                <w:lang w:val="en-US" w:eastAsia="zh-CN"/>
              </w:rPr>
              <w:t>1</w:t>
            </w:r>
          </w:p>
          <w:p w14:paraId="65DCA605">
            <w:pPr>
              <w:jc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(3)</w:t>
            </w:r>
          </w:p>
        </w:tc>
        <w:tc>
          <w:tcPr>
            <w:tcW w:w="1186" w:type="dxa"/>
            <w:tcBorders>
              <w:bottom w:val="single" w:color="auto" w:sz="4" w:space="0"/>
            </w:tcBorders>
            <w:noWrap w:val="0"/>
            <w:vAlign w:val="center"/>
          </w:tcPr>
          <w:p w14:paraId="50E61056">
            <w:pPr>
              <w:ind w:left="144" w:hanging="144" w:hangingChars="60"/>
              <w:jc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其他</w:t>
            </w:r>
            <w:r>
              <w:rPr>
                <w:rFonts w:hint="eastAsia" w:ascii="宋体" w:hAnsi="宋体" w:cs="宋体"/>
                <w:color w:val="auto"/>
                <w:kern w:val="0"/>
                <w:sz w:val="24"/>
                <w:szCs w:val="24"/>
                <w:highlight w:val="none"/>
                <w:lang w:val="en-US" w:eastAsia="zh-CN"/>
              </w:rPr>
              <w:t>评分</w:t>
            </w:r>
            <w:r>
              <w:rPr>
                <w:rFonts w:hint="eastAsia" w:ascii="宋体" w:hAnsi="宋体" w:cs="宋体"/>
                <w:color w:val="auto"/>
                <w:kern w:val="0"/>
                <w:sz w:val="24"/>
                <w:szCs w:val="24"/>
                <w:highlight w:val="none"/>
              </w:rPr>
              <w:t>因素</w:t>
            </w:r>
          </w:p>
        </w:tc>
        <w:tc>
          <w:tcPr>
            <w:tcW w:w="7229" w:type="dxa"/>
            <w:gridSpan w:val="3"/>
            <w:tcBorders>
              <w:bottom w:val="single" w:color="auto" w:sz="4" w:space="0"/>
            </w:tcBorders>
            <w:noWrap w:val="0"/>
            <w:vAlign w:val="center"/>
          </w:tcPr>
          <w:p w14:paraId="720F304D">
            <w:pPr>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无</w:t>
            </w:r>
          </w:p>
        </w:tc>
      </w:tr>
    </w:tbl>
    <w:p w14:paraId="4BFBD247">
      <w:pPr>
        <w:pStyle w:val="7"/>
        <w:adjustRightInd w:val="0"/>
        <w:snapToGrid w:val="0"/>
        <w:spacing w:line="360" w:lineRule="auto"/>
        <w:jc w:val="left"/>
        <w:textAlignment w:val="baseline"/>
        <w:rPr>
          <w:rFonts w:hAnsi="宋体"/>
          <w:snapToGrid w:val="0"/>
          <w:color w:val="auto"/>
          <w:kern w:val="0"/>
          <w:sz w:val="24"/>
          <w:szCs w:val="24"/>
          <w:highlight w:val="none"/>
        </w:rPr>
      </w:pPr>
      <w:r>
        <w:rPr>
          <w:rFonts w:hAnsi="宋体"/>
          <w:snapToGrid w:val="0"/>
          <w:color w:val="auto"/>
          <w:kern w:val="0"/>
          <w:sz w:val="24"/>
          <w:szCs w:val="24"/>
          <w:highlight w:val="none"/>
        </w:rPr>
        <w:t>注：</w:t>
      </w:r>
    </w:p>
    <w:p w14:paraId="46ED200A">
      <w:pPr>
        <w:pStyle w:val="7"/>
        <w:adjustRightInd w:val="0"/>
        <w:snapToGrid w:val="0"/>
        <w:spacing w:line="360" w:lineRule="auto"/>
        <w:jc w:val="left"/>
        <w:textAlignment w:val="baseline"/>
        <w:rPr>
          <w:rFonts w:hAnsi="宋体"/>
          <w:snapToGrid w:val="0"/>
          <w:color w:val="auto"/>
          <w:kern w:val="0"/>
          <w:sz w:val="24"/>
          <w:szCs w:val="24"/>
          <w:highlight w:val="none"/>
        </w:rPr>
      </w:pPr>
      <w:r>
        <w:rPr>
          <w:rFonts w:hAnsi="宋体"/>
          <w:snapToGrid w:val="0"/>
          <w:color w:val="auto"/>
          <w:kern w:val="0"/>
          <w:sz w:val="24"/>
          <w:szCs w:val="24"/>
          <w:highlight w:val="none"/>
        </w:rPr>
        <w:t>1、评委打分保留1位小数</w:t>
      </w:r>
      <w:r>
        <w:rPr>
          <w:rFonts w:hint="eastAsia" w:hAnsi="宋体"/>
          <w:snapToGrid w:val="0"/>
          <w:color w:val="auto"/>
          <w:kern w:val="0"/>
          <w:sz w:val="24"/>
          <w:szCs w:val="24"/>
          <w:highlight w:val="none"/>
        </w:rPr>
        <w:t>，各评分因素得分应以评标委员会各成员的打分平均值确定，保留两位小数，第三位四舍五入。</w:t>
      </w:r>
    </w:p>
    <w:p w14:paraId="380143B1">
      <w:r>
        <w:rPr>
          <w:rFonts w:hAnsi="宋体"/>
          <w:snapToGrid w:val="0"/>
          <w:color w:val="auto"/>
          <w:kern w:val="0"/>
          <w:sz w:val="24"/>
          <w:szCs w:val="24"/>
          <w:highlight w:val="none"/>
        </w:rPr>
        <w:t>2、</w:t>
      </w:r>
      <w:r>
        <w:rPr>
          <w:rFonts w:hint="eastAsia" w:hAnsi="宋体"/>
          <w:snapToGrid w:val="0"/>
          <w:color w:val="auto"/>
          <w:kern w:val="0"/>
          <w:sz w:val="24"/>
          <w:szCs w:val="24"/>
          <w:highlight w:val="none"/>
        </w:rPr>
        <w:t>技术部分评分因素缺项则该项得0分。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354481"/>
    <w:multiLevelType w:val="singleLevel"/>
    <w:tmpl w:val="7B354481"/>
    <w:lvl w:ilvl="0" w:tentative="0">
      <w:start w:val="1"/>
      <w:numFmt w:val="decimal"/>
      <w:pStyle w:val="8"/>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591F97"/>
    <w:rsid w:val="3F2A5D03"/>
    <w:rsid w:val="4D2E49CB"/>
    <w:rsid w:val="50591F97"/>
    <w:rsid w:val="6A955019"/>
    <w:rsid w:val="799546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nhideWhenUsed="0"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3"/>
    <w:basedOn w:val="1"/>
    <w:next w:val="1"/>
    <w:qFormat/>
    <w:uiPriority w:val="9"/>
    <w:pPr>
      <w:keepNext/>
      <w:keepLines/>
      <w:spacing w:before="50" w:beforeLines="50" w:line="415" w:lineRule="auto"/>
      <w:outlineLvl w:val="2"/>
    </w:pPr>
    <w:rPr>
      <w:b/>
      <w:bCs/>
      <w:sz w:val="32"/>
      <w:szCs w:val="32"/>
    </w:rPr>
  </w:style>
  <w:style w:type="paragraph" w:styleId="3">
    <w:name w:val="heading 6"/>
    <w:basedOn w:val="1"/>
    <w:next w:val="1"/>
    <w:qFormat/>
    <w:uiPriority w:val="9"/>
    <w:pPr>
      <w:keepNext/>
      <w:keepLines/>
      <w:spacing w:before="240" w:after="64" w:line="320" w:lineRule="auto"/>
      <w:outlineLvl w:val="5"/>
    </w:pPr>
    <w:rPr>
      <w:rFonts w:ascii="等线 Light" w:hAnsi="等线 Light" w:eastAsia="等线 Light" w:cs="Times New Roman"/>
      <w:b/>
      <w:bCs/>
      <w:sz w:val="24"/>
      <w:szCs w:val="24"/>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toa heading"/>
    <w:basedOn w:val="1"/>
    <w:next w:val="1"/>
    <w:unhideWhenUsed/>
    <w:qFormat/>
    <w:uiPriority w:val="99"/>
    <w:pPr>
      <w:spacing w:before="120"/>
      <w:ind w:firstLine="560" w:firstLineChars="200"/>
    </w:pPr>
    <w:rPr>
      <w:rFonts w:ascii="Cambria" w:hAnsi="Cambria"/>
      <w:szCs w:val="24"/>
    </w:rPr>
  </w:style>
  <w:style w:type="paragraph" w:styleId="5">
    <w:name w:val="Body Text"/>
    <w:basedOn w:val="1"/>
    <w:qFormat/>
    <w:uiPriority w:val="1"/>
    <w:pPr>
      <w:ind w:left="100"/>
      <w:jc w:val="left"/>
    </w:pPr>
    <w:rPr>
      <w:rFonts w:ascii="宋体" w:hAnsi="宋体" w:cs="Times New Roman"/>
      <w:kern w:val="0"/>
      <w:szCs w:val="21"/>
      <w:lang w:eastAsia="en-US"/>
    </w:rPr>
  </w:style>
  <w:style w:type="paragraph" w:styleId="6">
    <w:name w:val="Body Text Indent"/>
    <w:basedOn w:val="1"/>
    <w:unhideWhenUsed/>
    <w:qFormat/>
    <w:uiPriority w:val="99"/>
    <w:pPr>
      <w:spacing w:after="120"/>
      <w:ind w:left="420" w:leftChars="200"/>
    </w:pPr>
  </w:style>
  <w:style w:type="paragraph" w:styleId="7">
    <w:name w:val="Plain Text"/>
    <w:basedOn w:val="1"/>
    <w:next w:val="8"/>
    <w:qFormat/>
    <w:uiPriority w:val="0"/>
    <w:rPr>
      <w:rFonts w:ascii="宋体" w:hAnsi="Courier New"/>
      <w:szCs w:val="20"/>
    </w:rPr>
  </w:style>
  <w:style w:type="paragraph" w:styleId="8">
    <w:name w:val="List Number 5"/>
    <w:basedOn w:val="1"/>
    <w:uiPriority w:val="0"/>
    <w:pPr>
      <w:numPr>
        <w:ilvl w:val="0"/>
        <w:numId w:val="1"/>
      </w:numPr>
    </w:pPr>
  </w:style>
  <w:style w:type="paragraph" w:styleId="9">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0">
    <w:name w:val="Body Text First Indent 2"/>
    <w:basedOn w:val="6"/>
    <w:unhideWhenUsed/>
    <w:qFormat/>
    <w:uiPriority w:val="99"/>
    <w:pPr>
      <w:tabs>
        <w:tab w:val="left" w:pos="5580"/>
      </w:tabs>
      <w:ind w:left="420" w:leftChars="200" w:firstLine="420"/>
    </w:pPr>
    <w:rPr>
      <w:rFonts w:ascii="Times New Roman" w:hAnsi="Times New Roman"/>
      <w:sz w:val="21"/>
    </w:rPr>
  </w:style>
  <w:style w:type="paragraph" w:customStyle="1" w:styleId="13">
    <w:name w:val="1正文"/>
    <w:basedOn w:val="1"/>
    <w:autoRedefine/>
    <w:qFormat/>
    <w:uiPriority w:val="0"/>
    <w:pPr>
      <w:ind w:firstLine="480"/>
    </w:pPr>
    <w:rPr>
      <w:rFonts w:cs="宋体"/>
      <w:szCs w:val="24"/>
    </w:rPr>
  </w:style>
  <w:style w:type="paragraph" w:customStyle="1" w:styleId="14">
    <w:name w:val="大标题"/>
    <w:basedOn w:val="1"/>
    <w:next w:val="10"/>
    <w:autoRedefine/>
    <w:qFormat/>
    <w:uiPriority w:val="0"/>
    <w:pPr>
      <w:jc w:val="center"/>
    </w:pPr>
    <w:rPr>
      <w:rFonts w:ascii="Arial" w:hAnsi="Arial"/>
      <w:b/>
      <w:sz w:val="28"/>
    </w:rPr>
  </w:style>
  <w:style w:type="character" w:customStyle="1" w:styleId="15">
    <w:name w:val="NormalCharacter"/>
    <w:link w:val="16"/>
    <w:autoRedefine/>
    <w:qFormat/>
    <w:uiPriority w:val="0"/>
    <w:rPr>
      <w:kern w:val="0"/>
      <w:sz w:val="20"/>
      <w:szCs w:val="20"/>
    </w:rPr>
  </w:style>
  <w:style w:type="paragraph" w:customStyle="1" w:styleId="16">
    <w:name w:val="UserStyle_24"/>
    <w:basedOn w:val="1"/>
    <w:link w:val="15"/>
    <w:autoRedefine/>
    <w:qFormat/>
    <w:uiPriority w:val="0"/>
    <w:pPr>
      <w:widowControl/>
      <w:spacing w:line="360" w:lineRule="auto"/>
      <w:ind w:firstLine="200" w:firstLineChars="200"/>
      <w:jc w:val="left"/>
    </w:pPr>
    <w:rPr>
      <w:kern w:val="0"/>
      <w:sz w:val="20"/>
      <w:szCs w:val="20"/>
    </w:rPr>
  </w:style>
  <w:style w:type="paragraph" w:customStyle="1" w:styleId="17">
    <w:name w:val="UserStyle_340"/>
    <w:basedOn w:val="1"/>
    <w:autoRedefine/>
    <w:qFormat/>
    <w:uiPriority w:val="0"/>
    <w:pPr>
      <w:widowControl/>
      <w:spacing w:line="340" w:lineRule="exact"/>
      <w:jc w:val="center"/>
    </w:pPr>
    <w:rPr>
      <w:rFonts w:ascii="宋体" w:hAnsi="Calibri"/>
      <w:bCs/>
      <w:color w:val="000000"/>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4351</Words>
  <Characters>4764</Characters>
  <Lines>0</Lines>
  <Paragraphs>0</Paragraphs>
  <TotalTime>0</TotalTime>
  <ScaleCrop>false</ScaleCrop>
  <LinksUpToDate>false</LinksUpToDate>
  <CharactersWithSpaces>4861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2025-03-12T07:48:00Z</dcterms:created>
  <dc:creator>宿子轩</dc:creator>
  <cp:lastModifiedBy>李娜</cp:lastModifiedBy>
  <dcterms:modified xsi:type="dcterms:W3CDTF">2025-03-14T00:40:03Z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193A347362E144B08160CAF0A4811764_11</vt:lpwstr>
  </property>
  <property fmtid="{D5CDD505-2E9C-101B-9397-08002B2CF9AE}" pid="4" name="KSOTemplateDocerSaveRecord">
    <vt:lpwstr>eyJoZGlkIjoiOWYyZDYxNTJjZmI2NmVkYTMyOWVjMGFiZjEzZGM5NjgiLCJ1c2VySWQiOiIxNTI1NDExOTAzIn0=</vt:lpwstr>
  </property>
</Properties>
</file>