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847DC">
      <w:pPr>
        <w:wordWrap w:val="0"/>
        <w:spacing w:before="156" w:beforeLines="50" w:after="156" w:afterLines="50" w:line="440" w:lineRule="exact"/>
        <w:jc w:val="left"/>
        <w:rPr>
          <w:rFonts w:hint="eastAsia" w:ascii="宋体" w:hAnsi="宋体" w:cs="宋体"/>
          <w:b/>
          <w:bCs/>
          <w:kern w:val="0"/>
          <w:sz w:val="28"/>
          <w:szCs w:val="28"/>
        </w:rPr>
      </w:pPr>
      <w:bookmarkStart w:id="4" w:name="_GoBack"/>
      <w:bookmarkEnd w:id="4"/>
      <w:bookmarkStart w:id="0" w:name="_Toc507171703"/>
      <w:bookmarkStart w:id="1" w:name="_Toc443580454"/>
      <w:bookmarkStart w:id="2" w:name="_Toc439617906"/>
      <w:r>
        <w:rPr>
          <w:rFonts w:hint="eastAsia" w:ascii="宋体" w:hAnsi="宋体" w:cs="宋体"/>
          <w:b/>
          <w:bCs/>
          <w:kern w:val="0"/>
          <w:sz w:val="28"/>
          <w:szCs w:val="28"/>
        </w:rPr>
        <w:t>附件1：资格审查条件</w:t>
      </w:r>
      <w:bookmarkEnd w:id="0"/>
      <w:bookmarkEnd w:id="1"/>
      <w:bookmarkEnd w:id="2"/>
    </w:p>
    <w:p w14:paraId="7F37083E">
      <w:pPr>
        <w:pStyle w:val="4"/>
        <w:wordWrap w:val="0"/>
        <w:jc w:val="center"/>
        <w:rPr>
          <w:rFonts w:hint="eastAsia" w:ascii="宋体" w:hAnsi="宋体" w:eastAsia="宋体" w:cs="宋体"/>
          <w:b/>
          <w:color w:val="auto"/>
          <w:sz w:val="24"/>
          <w:szCs w:val="24"/>
          <w14:ligatures w14:val="none"/>
        </w:rPr>
      </w:pPr>
      <w:r>
        <w:rPr>
          <w:rFonts w:hint="eastAsia" w:ascii="宋体" w:hAnsi="宋体" w:eastAsia="宋体" w:cs="宋体"/>
          <w:b/>
          <w:color w:val="auto"/>
          <w:sz w:val="24"/>
          <w:szCs w:val="24"/>
          <w14:ligatures w14:val="none"/>
        </w:rPr>
        <w:t>附录1 资格审查条件（资质最低条件）</w:t>
      </w:r>
    </w:p>
    <w:tbl>
      <w:tblPr>
        <w:tblStyle w:val="1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401"/>
      </w:tblGrid>
      <w:tr w14:paraId="3BA8A3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9401" w:type="dxa"/>
            <w:vAlign w:val="center"/>
          </w:tcPr>
          <w:p w14:paraId="7D442E14">
            <w:pPr>
              <w:wordWrap w:val="0"/>
              <w:jc w:val="center"/>
              <w:rPr>
                <w:rFonts w:hint="eastAsia" w:ascii="宋体" w:hAnsi="宋体" w:cs="宋体"/>
                <w:szCs w:val="21"/>
              </w:rPr>
            </w:pPr>
            <w:r>
              <w:rPr>
                <w:rFonts w:hint="eastAsia" w:ascii="宋体" w:hAnsi="宋体" w:cs="宋体"/>
                <w:b/>
                <w:szCs w:val="21"/>
              </w:rPr>
              <w:t>资质要求</w:t>
            </w:r>
          </w:p>
        </w:tc>
      </w:tr>
      <w:tr w14:paraId="50491F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3" w:hRule="atLeast"/>
          <w:jc w:val="center"/>
        </w:trPr>
        <w:tc>
          <w:tcPr>
            <w:tcW w:w="9401" w:type="dxa"/>
            <w:vAlign w:val="center"/>
          </w:tcPr>
          <w:p w14:paraId="4F8EEDA3">
            <w:pPr>
              <w:wordWrap w:val="0"/>
              <w:ind w:firstLine="420" w:firstLineChars="200"/>
              <w:rPr>
                <w:rFonts w:ascii="宋体" w:hAnsi="宋体" w:cs="宋体"/>
                <w:szCs w:val="21"/>
              </w:rPr>
            </w:pPr>
            <w:r>
              <w:rPr>
                <w:rFonts w:hint="eastAsia" w:ascii="宋体" w:hAnsi="宋体" w:cs="宋体"/>
                <w:szCs w:val="21"/>
              </w:rPr>
              <w:t>（1）具有独立法人资格的企事业单位，具有有效的企业营业执照或事业单位法人证书</w:t>
            </w:r>
          </w:p>
          <w:p w14:paraId="393F666C">
            <w:pPr>
              <w:wordWrap w:val="0"/>
              <w:ind w:firstLine="420" w:firstLineChars="200"/>
              <w:rPr>
                <w:rFonts w:hint="eastAsia" w:ascii="宋体" w:hAnsi="宋体" w:cs="宋体"/>
                <w:szCs w:val="21"/>
              </w:rPr>
            </w:pPr>
            <w:r>
              <w:rPr>
                <w:rFonts w:hint="eastAsia" w:ascii="宋体" w:hAnsi="宋体" w:cs="宋体"/>
                <w:szCs w:val="21"/>
              </w:rPr>
              <w:t>（2）以联合体形式投标的，联合体各成员均须满足第（1）项的资格条件。</w:t>
            </w:r>
          </w:p>
        </w:tc>
      </w:tr>
    </w:tbl>
    <w:p w14:paraId="20547693">
      <w:pPr>
        <w:wordWrap w:val="0"/>
        <w:rPr>
          <w:rFonts w:hint="eastAsia" w:ascii="宋体" w:hAnsi="宋体" w:cs="宋体"/>
          <w:b/>
          <w:sz w:val="24"/>
        </w:rPr>
      </w:pPr>
    </w:p>
    <w:p w14:paraId="6355AD1B">
      <w:pPr>
        <w:wordWrap w:val="0"/>
        <w:jc w:val="center"/>
        <w:rPr>
          <w:rFonts w:hint="eastAsia" w:ascii="宋体" w:hAnsi="宋体" w:cs="宋体"/>
          <w:b/>
          <w:sz w:val="24"/>
        </w:rPr>
      </w:pPr>
    </w:p>
    <w:p w14:paraId="68DEDE7D">
      <w:pPr>
        <w:wordWrap w:val="0"/>
        <w:jc w:val="center"/>
        <w:rPr>
          <w:rFonts w:hint="eastAsia" w:ascii="宋体" w:hAnsi="宋体" w:cs="宋体"/>
          <w:b/>
          <w:sz w:val="24"/>
        </w:rPr>
      </w:pPr>
    </w:p>
    <w:p w14:paraId="490A6103">
      <w:pPr>
        <w:wordWrap w:val="0"/>
        <w:jc w:val="center"/>
        <w:rPr>
          <w:rFonts w:hint="eastAsia" w:ascii="宋体" w:hAnsi="宋体" w:cs="宋体"/>
          <w:b/>
          <w:sz w:val="24"/>
        </w:rPr>
      </w:pPr>
      <w:r>
        <w:rPr>
          <w:rFonts w:hint="eastAsia" w:ascii="宋体" w:hAnsi="宋体" w:cs="宋体"/>
          <w:b/>
          <w:sz w:val="24"/>
        </w:rPr>
        <w:t>附录2 资格审查条件（业绩最低条件）</w:t>
      </w:r>
    </w:p>
    <w:tbl>
      <w:tblPr>
        <w:tblStyle w:val="17"/>
        <w:tblW w:w="940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401"/>
      </w:tblGrid>
      <w:tr w14:paraId="4BFBCB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9401" w:type="dxa"/>
            <w:vAlign w:val="center"/>
          </w:tcPr>
          <w:p w14:paraId="2E3896BE">
            <w:pPr>
              <w:wordWrap w:val="0"/>
              <w:jc w:val="center"/>
              <w:rPr>
                <w:rFonts w:hint="eastAsia" w:ascii="宋体" w:hAnsi="宋体" w:cs="宋体"/>
                <w:szCs w:val="21"/>
              </w:rPr>
            </w:pPr>
            <w:r>
              <w:rPr>
                <w:rFonts w:hint="eastAsia" w:ascii="宋体" w:hAnsi="宋体" w:cs="宋体"/>
                <w:b/>
                <w:szCs w:val="21"/>
              </w:rPr>
              <w:t>业 绩 要 求</w:t>
            </w:r>
          </w:p>
        </w:tc>
      </w:tr>
      <w:tr w14:paraId="0E2B8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56" w:hRule="atLeast"/>
          <w:jc w:val="center"/>
        </w:trPr>
        <w:tc>
          <w:tcPr>
            <w:tcW w:w="9401" w:type="dxa"/>
            <w:vAlign w:val="center"/>
          </w:tcPr>
          <w:p w14:paraId="15A84A0C">
            <w:pPr>
              <w:wordWrap w:val="0"/>
              <w:ind w:firstLine="420" w:firstLineChars="200"/>
              <w:rPr>
                <w:rFonts w:ascii="宋体" w:hAnsi="宋体" w:cs="宋体"/>
                <w:szCs w:val="21"/>
              </w:rPr>
            </w:pPr>
            <w:r>
              <w:rPr>
                <w:rFonts w:hint="eastAsia" w:ascii="宋体" w:hAnsi="宋体" w:cs="宋体"/>
                <w:szCs w:val="21"/>
              </w:rPr>
              <w:t>（1）近 5 年内（2020年3月1日至今，以通过成果鉴定（或验收）或成果登记时间为准）至少完成过1项公路类科技项目的研究。</w:t>
            </w:r>
          </w:p>
          <w:p w14:paraId="742D6FEB">
            <w:pPr>
              <w:wordWrap w:val="0"/>
              <w:ind w:firstLine="420" w:firstLineChars="200"/>
              <w:rPr>
                <w:rFonts w:hint="eastAsia" w:ascii="宋体" w:hAnsi="宋体" w:cs="宋体"/>
                <w:szCs w:val="21"/>
              </w:rPr>
            </w:pPr>
            <w:r>
              <w:rPr>
                <w:rFonts w:hint="eastAsia" w:ascii="宋体" w:hAnsi="宋体" w:cs="宋体"/>
                <w:szCs w:val="21"/>
              </w:rPr>
              <w:t>（2）以联合体形式投标的，联合体牵头人须满足第（1）项的资格条件。</w:t>
            </w:r>
          </w:p>
        </w:tc>
      </w:tr>
    </w:tbl>
    <w:p w14:paraId="37111F7E">
      <w:pPr>
        <w:wordWrap w:val="0"/>
        <w:spacing w:line="360" w:lineRule="auto"/>
        <w:jc w:val="center"/>
        <w:outlineLvl w:val="1"/>
        <w:rPr>
          <w:rFonts w:hint="eastAsia" w:ascii="宋体" w:hAnsi="宋体" w:cs="宋体"/>
          <w:b/>
          <w:sz w:val="24"/>
        </w:rPr>
      </w:pPr>
    </w:p>
    <w:p w14:paraId="26F1FAA5">
      <w:pPr>
        <w:wordWrap w:val="0"/>
        <w:spacing w:line="360" w:lineRule="auto"/>
        <w:jc w:val="center"/>
        <w:outlineLvl w:val="1"/>
        <w:rPr>
          <w:rFonts w:hint="eastAsia" w:ascii="宋体" w:hAnsi="宋体" w:cs="宋体"/>
          <w:b/>
          <w:sz w:val="24"/>
        </w:rPr>
      </w:pPr>
    </w:p>
    <w:p w14:paraId="2C294590">
      <w:pPr>
        <w:wordWrap w:val="0"/>
        <w:spacing w:line="360" w:lineRule="auto"/>
        <w:jc w:val="center"/>
        <w:outlineLvl w:val="1"/>
        <w:rPr>
          <w:rFonts w:hint="eastAsia" w:ascii="宋体" w:hAnsi="宋体" w:cs="宋体"/>
          <w:b/>
          <w:sz w:val="24"/>
        </w:rPr>
      </w:pPr>
      <w:r>
        <w:rPr>
          <w:rFonts w:hint="eastAsia" w:ascii="宋体" w:hAnsi="宋体" w:cs="宋体"/>
          <w:b/>
          <w:sz w:val="24"/>
        </w:rPr>
        <w:t>附录3 资格审查条件（信誉最低条件）</w:t>
      </w:r>
    </w:p>
    <w:tbl>
      <w:tblPr>
        <w:tblStyle w:val="1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401"/>
      </w:tblGrid>
      <w:tr w14:paraId="306C41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9401" w:type="dxa"/>
            <w:vAlign w:val="center"/>
          </w:tcPr>
          <w:p w14:paraId="465E72F0">
            <w:pPr>
              <w:wordWrap w:val="0"/>
              <w:jc w:val="center"/>
              <w:rPr>
                <w:rFonts w:hint="eastAsia" w:ascii="宋体" w:hAnsi="宋体" w:cs="宋体"/>
                <w:szCs w:val="21"/>
              </w:rPr>
            </w:pPr>
            <w:r>
              <w:rPr>
                <w:rFonts w:hint="eastAsia" w:ascii="宋体" w:hAnsi="宋体" w:cs="宋体"/>
                <w:b/>
                <w:szCs w:val="21"/>
              </w:rPr>
              <w:t>信誉要求</w:t>
            </w:r>
          </w:p>
        </w:tc>
      </w:tr>
      <w:tr w14:paraId="0099AD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401" w:type="dxa"/>
            <w:vAlign w:val="center"/>
          </w:tcPr>
          <w:p w14:paraId="4429C151">
            <w:pPr>
              <w:wordWrap w:val="0"/>
              <w:spacing w:line="276" w:lineRule="auto"/>
              <w:ind w:firstLine="420" w:firstLineChars="200"/>
              <w:jc w:val="left"/>
              <w:rPr>
                <w:rFonts w:ascii="宋体" w:hAnsi="宋体" w:cs="宋体"/>
                <w:szCs w:val="21"/>
              </w:rPr>
            </w:pPr>
            <w:r>
              <w:rPr>
                <w:rFonts w:hint="eastAsia" w:ascii="宋体" w:hAnsi="宋体" w:cs="宋体"/>
                <w:szCs w:val="21"/>
              </w:rPr>
              <w:t>（1）投标人过去 1 年（2024年3月1日至今）不曾在公路类科技项目合同中违约而被驱逐或因投标人自身的原因而使科研合同被解除。</w:t>
            </w:r>
          </w:p>
          <w:p w14:paraId="10EA1E50">
            <w:pPr>
              <w:wordWrap w:val="0"/>
              <w:spacing w:line="276" w:lineRule="auto"/>
              <w:ind w:firstLine="420" w:firstLineChars="200"/>
              <w:jc w:val="left"/>
              <w:rPr>
                <w:rFonts w:hint="eastAsia" w:ascii="宋体" w:hAnsi="宋体" w:cs="宋体"/>
                <w:szCs w:val="21"/>
              </w:rPr>
            </w:pPr>
            <w:r>
              <w:rPr>
                <w:rFonts w:hint="eastAsia" w:ascii="宋体" w:hAnsi="宋体" w:cs="宋体"/>
                <w:szCs w:val="21"/>
              </w:rPr>
              <w:t>（2）以联合体形式投标的，联合体各成员均须满足第（1）项的资格条件。</w:t>
            </w:r>
          </w:p>
        </w:tc>
      </w:tr>
    </w:tbl>
    <w:p w14:paraId="229DB65D">
      <w:pPr>
        <w:wordWrap w:val="0"/>
        <w:jc w:val="center"/>
        <w:rPr>
          <w:rFonts w:hint="eastAsia" w:ascii="宋体" w:hAnsi="宋体" w:cs="宋体"/>
          <w:b/>
          <w:sz w:val="24"/>
        </w:rPr>
      </w:pPr>
    </w:p>
    <w:p w14:paraId="1769C9E2">
      <w:pPr>
        <w:wordWrap w:val="0"/>
        <w:jc w:val="center"/>
        <w:rPr>
          <w:rFonts w:hint="eastAsia" w:ascii="宋体" w:hAnsi="宋体" w:cs="宋体"/>
          <w:b/>
          <w:sz w:val="24"/>
        </w:rPr>
      </w:pPr>
    </w:p>
    <w:p w14:paraId="507295A4">
      <w:pPr>
        <w:wordWrap w:val="0"/>
        <w:jc w:val="center"/>
        <w:rPr>
          <w:rFonts w:hint="eastAsia" w:ascii="宋体" w:hAnsi="宋体" w:cs="宋体"/>
          <w:b/>
          <w:sz w:val="24"/>
        </w:rPr>
      </w:pPr>
    </w:p>
    <w:p w14:paraId="56E38F0E">
      <w:pPr>
        <w:wordWrap w:val="0"/>
        <w:jc w:val="center"/>
        <w:rPr>
          <w:rFonts w:hint="eastAsia" w:ascii="宋体" w:hAnsi="宋体" w:cs="宋体"/>
          <w:b/>
          <w:sz w:val="24"/>
        </w:rPr>
      </w:pPr>
      <w:r>
        <w:rPr>
          <w:rFonts w:hint="eastAsia" w:ascii="宋体" w:hAnsi="宋体" w:cs="宋体"/>
          <w:b/>
          <w:sz w:val="24"/>
        </w:rPr>
        <w:t>附录4  资格审查条件（</w:t>
      </w:r>
      <w:bookmarkStart w:id="3" w:name="_Hlk156224314"/>
      <w:r>
        <w:rPr>
          <w:rFonts w:hint="eastAsia" w:ascii="宋体" w:hAnsi="宋体" w:cs="宋体"/>
          <w:b/>
          <w:sz w:val="24"/>
        </w:rPr>
        <w:t>人员最低要求</w:t>
      </w:r>
      <w:bookmarkEnd w:id="3"/>
      <w:r>
        <w:rPr>
          <w:rFonts w:hint="eastAsia" w:ascii="宋体" w:hAnsi="宋体" w:cs="宋体"/>
          <w:b/>
          <w:sz w:val="24"/>
        </w:rPr>
        <w:t>）</w:t>
      </w:r>
    </w:p>
    <w:tbl>
      <w:tblPr>
        <w:tblStyle w:val="17"/>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814"/>
        <w:gridCol w:w="7174"/>
      </w:tblGrid>
      <w:tr w14:paraId="1FFC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31" w:type="dxa"/>
            <w:vAlign w:val="center"/>
          </w:tcPr>
          <w:p w14:paraId="72F3DF67">
            <w:pPr>
              <w:wordWrap w:val="0"/>
              <w:jc w:val="center"/>
              <w:rPr>
                <w:rFonts w:hint="eastAsia" w:ascii="宋体" w:hAnsi="宋体" w:cs="宋体"/>
                <w:b/>
                <w:szCs w:val="21"/>
              </w:rPr>
            </w:pPr>
            <w:r>
              <w:rPr>
                <w:rFonts w:hint="eastAsia" w:ascii="宋体" w:hAnsi="宋体" w:cs="宋体"/>
                <w:b/>
                <w:szCs w:val="21"/>
              </w:rPr>
              <w:t>人员</w:t>
            </w:r>
          </w:p>
        </w:tc>
        <w:tc>
          <w:tcPr>
            <w:tcW w:w="814" w:type="dxa"/>
            <w:vAlign w:val="center"/>
          </w:tcPr>
          <w:p w14:paraId="10CE7206">
            <w:pPr>
              <w:wordWrap w:val="0"/>
              <w:jc w:val="center"/>
              <w:rPr>
                <w:rFonts w:hint="eastAsia" w:ascii="宋体" w:hAnsi="宋体" w:cs="宋体"/>
                <w:b/>
                <w:szCs w:val="21"/>
              </w:rPr>
            </w:pPr>
            <w:r>
              <w:rPr>
                <w:rFonts w:hint="eastAsia" w:ascii="宋体" w:hAnsi="宋体" w:cs="宋体"/>
                <w:b/>
                <w:szCs w:val="21"/>
              </w:rPr>
              <w:t>数量</w:t>
            </w:r>
          </w:p>
        </w:tc>
        <w:tc>
          <w:tcPr>
            <w:tcW w:w="7174" w:type="dxa"/>
            <w:vAlign w:val="center"/>
          </w:tcPr>
          <w:p w14:paraId="5AF9108B">
            <w:pPr>
              <w:wordWrap w:val="0"/>
              <w:spacing w:line="280" w:lineRule="exact"/>
              <w:jc w:val="center"/>
              <w:rPr>
                <w:rFonts w:hint="eastAsia" w:ascii="宋体" w:hAnsi="宋体" w:cs="宋体"/>
                <w:szCs w:val="21"/>
              </w:rPr>
            </w:pPr>
            <w:r>
              <w:rPr>
                <w:rFonts w:hint="eastAsia" w:ascii="宋体" w:hAnsi="宋体" w:cs="宋体"/>
                <w:b/>
                <w:szCs w:val="21"/>
              </w:rPr>
              <w:t>资格要求</w:t>
            </w:r>
          </w:p>
        </w:tc>
      </w:tr>
      <w:tr w14:paraId="3D78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331" w:type="dxa"/>
            <w:vAlign w:val="center"/>
          </w:tcPr>
          <w:p w14:paraId="34B298FA">
            <w:pPr>
              <w:wordWrap w:val="0"/>
              <w:spacing w:line="280" w:lineRule="exact"/>
              <w:jc w:val="center"/>
              <w:rPr>
                <w:rFonts w:hint="eastAsia" w:ascii="宋体" w:hAnsi="宋体" w:cs="宋体"/>
                <w:szCs w:val="21"/>
              </w:rPr>
            </w:pPr>
            <w:r>
              <w:rPr>
                <w:rFonts w:hint="eastAsia" w:ascii="宋体" w:hAnsi="宋体" w:cs="宋体"/>
                <w:szCs w:val="21"/>
              </w:rPr>
              <w:t>项目负责人</w:t>
            </w:r>
          </w:p>
        </w:tc>
        <w:tc>
          <w:tcPr>
            <w:tcW w:w="814" w:type="dxa"/>
            <w:vAlign w:val="center"/>
          </w:tcPr>
          <w:p w14:paraId="42A370C2">
            <w:pPr>
              <w:wordWrap w:val="0"/>
              <w:spacing w:line="280" w:lineRule="exact"/>
              <w:jc w:val="center"/>
              <w:rPr>
                <w:rFonts w:hint="eastAsia" w:ascii="宋体" w:hAnsi="宋体" w:cs="宋体"/>
                <w:szCs w:val="21"/>
              </w:rPr>
            </w:pPr>
            <w:r>
              <w:rPr>
                <w:rFonts w:hint="eastAsia" w:ascii="宋体" w:hAnsi="宋体" w:cs="宋体"/>
                <w:szCs w:val="21"/>
              </w:rPr>
              <w:t>1</w:t>
            </w:r>
          </w:p>
        </w:tc>
        <w:tc>
          <w:tcPr>
            <w:tcW w:w="7174" w:type="dxa"/>
            <w:vAlign w:val="center"/>
          </w:tcPr>
          <w:p w14:paraId="13299653">
            <w:pPr>
              <w:wordWrap w:val="0"/>
              <w:rPr>
                <w:rFonts w:hint="eastAsia" w:ascii="宋体" w:hAnsi="宋体" w:cs="宋体"/>
                <w:szCs w:val="21"/>
              </w:rPr>
            </w:pPr>
            <w:r>
              <w:rPr>
                <w:rFonts w:hint="eastAsia" w:ascii="宋体" w:hAnsi="宋体" w:cs="宋体"/>
                <w:szCs w:val="21"/>
              </w:rPr>
              <w:t>高级及以上职称；作为项目负责人（或技术负责人）承担过1项公路类科技项目。</w:t>
            </w:r>
          </w:p>
        </w:tc>
      </w:tr>
    </w:tbl>
    <w:p w14:paraId="530680F6">
      <w:pPr>
        <w:wordWrap w:val="0"/>
        <w:spacing w:line="360" w:lineRule="auto"/>
        <w:jc w:val="left"/>
        <w:rPr>
          <w:rFonts w:hint="eastAsia" w:ascii="宋体" w:hAnsi="宋体" w:cs="宋体"/>
          <w:b/>
          <w:sz w:val="28"/>
          <w:szCs w:val="28"/>
        </w:rPr>
      </w:pPr>
      <w:r>
        <w:rPr>
          <w:rFonts w:hint="eastAsia" w:ascii="宋体" w:hAnsi="宋体" w:cs="宋体"/>
          <w:szCs w:val="21"/>
        </w:rPr>
        <w:t>注：以联合体形式投标的，项目负责人须是联合体牵头人单位人员。</w:t>
      </w:r>
      <w:r>
        <w:rPr>
          <w:rFonts w:hint="eastAsia" w:ascii="宋体" w:hAnsi="宋体" w:cs="宋体"/>
          <w:b/>
          <w:sz w:val="28"/>
          <w:szCs w:val="28"/>
        </w:rPr>
        <w:br w:type="page"/>
      </w:r>
      <w:r>
        <w:rPr>
          <w:rFonts w:hint="eastAsia" w:ascii="宋体" w:hAnsi="宋体" w:cs="宋体"/>
          <w:b/>
          <w:sz w:val="28"/>
          <w:szCs w:val="28"/>
        </w:rPr>
        <w:t>附件2：评标办法前附表</w:t>
      </w:r>
    </w:p>
    <w:tbl>
      <w:tblPr>
        <w:tblStyle w:val="17"/>
        <w:tblW w:w="9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500"/>
        <w:gridCol w:w="7022"/>
      </w:tblGrid>
      <w:tr w14:paraId="257E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344" w:type="dxa"/>
            <w:gridSpan w:val="2"/>
            <w:vAlign w:val="center"/>
          </w:tcPr>
          <w:p w14:paraId="3B8E364F">
            <w:pPr>
              <w:wordWrap w:val="0"/>
              <w:jc w:val="center"/>
              <w:rPr>
                <w:rFonts w:hint="eastAsia" w:ascii="宋体" w:hAnsi="宋体" w:cs="宋体"/>
                <w:b/>
                <w:bCs/>
                <w:szCs w:val="21"/>
              </w:rPr>
            </w:pPr>
            <w:r>
              <w:rPr>
                <w:rFonts w:hint="eastAsia" w:ascii="宋体" w:hAnsi="宋体" w:cs="宋体"/>
                <w:b/>
                <w:bCs/>
                <w:szCs w:val="21"/>
              </w:rPr>
              <w:t>条款号</w:t>
            </w:r>
          </w:p>
        </w:tc>
        <w:tc>
          <w:tcPr>
            <w:tcW w:w="7022" w:type="dxa"/>
            <w:vAlign w:val="center"/>
          </w:tcPr>
          <w:p w14:paraId="59C63F7A">
            <w:pPr>
              <w:wordWrap w:val="0"/>
              <w:jc w:val="center"/>
              <w:rPr>
                <w:rFonts w:hint="eastAsia" w:ascii="宋体" w:hAnsi="宋体" w:cs="宋体"/>
                <w:b/>
                <w:bCs/>
                <w:szCs w:val="21"/>
              </w:rPr>
            </w:pPr>
            <w:r>
              <w:rPr>
                <w:rFonts w:hint="eastAsia" w:ascii="宋体" w:hAnsi="宋体" w:cs="宋体"/>
                <w:b/>
                <w:bCs/>
                <w:szCs w:val="21"/>
              </w:rPr>
              <w:t>评审因素与标准</w:t>
            </w:r>
          </w:p>
        </w:tc>
      </w:tr>
      <w:tr w14:paraId="673A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trPr>
        <w:tc>
          <w:tcPr>
            <w:tcW w:w="844" w:type="dxa"/>
            <w:vAlign w:val="center"/>
          </w:tcPr>
          <w:p w14:paraId="7030F533">
            <w:pPr>
              <w:wordWrap w:val="0"/>
              <w:jc w:val="center"/>
              <w:rPr>
                <w:rFonts w:hint="eastAsia" w:ascii="宋体" w:hAnsi="宋体" w:cs="宋体"/>
                <w:szCs w:val="21"/>
              </w:rPr>
            </w:pPr>
            <w:r>
              <w:rPr>
                <w:rFonts w:hint="eastAsia" w:ascii="宋体" w:hAnsi="宋体" w:cs="宋体"/>
                <w:szCs w:val="21"/>
              </w:rPr>
              <w:t>1</w:t>
            </w:r>
          </w:p>
        </w:tc>
        <w:tc>
          <w:tcPr>
            <w:tcW w:w="1500" w:type="dxa"/>
            <w:vAlign w:val="center"/>
          </w:tcPr>
          <w:p w14:paraId="213B9B8B">
            <w:pPr>
              <w:wordWrap w:val="0"/>
              <w:snapToGrid w:val="0"/>
              <w:spacing w:line="288" w:lineRule="auto"/>
              <w:jc w:val="center"/>
              <w:rPr>
                <w:rFonts w:hint="eastAsia" w:ascii="宋体" w:hAnsi="宋体" w:cs="宋体"/>
                <w:szCs w:val="21"/>
              </w:rPr>
            </w:pPr>
            <w:r>
              <w:rPr>
                <w:rFonts w:hint="eastAsia" w:ascii="宋体" w:hAnsi="宋体" w:cs="宋体"/>
                <w:szCs w:val="21"/>
              </w:rPr>
              <w:t>评标办法</w:t>
            </w:r>
          </w:p>
        </w:tc>
        <w:tc>
          <w:tcPr>
            <w:tcW w:w="7022" w:type="dxa"/>
            <w:vAlign w:val="center"/>
          </w:tcPr>
          <w:p w14:paraId="06CADA46">
            <w:pPr>
              <w:wordWrap w:val="0"/>
              <w:spacing w:line="264" w:lineRule="auto"/>
              <w:ind w:firstLine="420" w:firstLineChars="200"/>
              <w:rPr>
                <w:rFonts w:hint="eastAsia" w:ascii="宋体" w:hAnsi="宋体" w:cs="宋体"/>
                <w:szCs w:val="21"/>
              </w:rPr>
            </w:pPr>
            <w:r>
              <w:rPr>
                <w:rFonts w:hint="eastAsia" w:ascii="宋体" w:hAnsi="宋体" w:cs="宋体"/>
                <w:szCs w:val="21"/>
              </w:rPr>
              <w:t xml:space="preserve">本次评标采用综合评估法。评标委员会对满足招标文件实质性要求的投标文件，按照本评标办法第2.2款规定的评分标准进行打分，并按得分由高到低顺序推荐 1-3 名中标候选人。综合评分相等时，评标委员会依次按照以下优先顺序推荐中标候选人： </w:t>
            </w:r>
          </w:p>
          <w:p w14:paraId="2F245A71">
            <w:pPr>
              <w:wordWrap w:val="0"/>
              <w:spacing w:line="264" w:lineRule="auto"/>
              <w:ind w:firstLine="420" w:firstLineChars="200"/>
              <w:rPr>
                <w:rFonts w:hint="eastAsia" w:ascii="宋体" w:hAnsi="宋体" w:cs="宋体"/>
                <w:szCs w:val="21"/>
              </w:rPr>
            </w:pPr>
            <w:r>
              <w:rPr>
                <w:rFonts w:hint="eastAsia" w:ascii="宋体" w:hAnsi="宋体" w:cs="宋体"/>
                <w:szCs w:val="21"/>
              </w:rPr>
              <w:t>（1）评标价低的投标人优先；</w:t>
            </w:r>
          </w:p>
          <w:p w14:paraId="20AE5E92">
            <w:pPr>
              <w:wordWrap w:val="0"/>
              <w:spacing w:line="264" w:lineRule="auto"/>
              <w:ind w:firstLine="420" w:firstLineChars="200"/>
              <w:rPr>
                <w:rFonts w:hint="eastAsia" w:ascii="宋体" w:hAnsi="宋体" w:cs="宋体"/>
                <w:szCs w:val="21"/>
              </w:rPr>
            </w:pPr>
            <w:r>
              <w:rPr>
                <w:rFonts w:hint="eastAsia" w:ascii="宋体" w:hAnsi="宋体" w:cs="宋体"/>
                <w:szCs w:val="21"/>
              </w:rPr>
              <w:t>（2）技术服务建议得分较高的投标人优先；</w:t>
            </w:r>
          </w:p>
          <w:p w14:paraId="5C6EBF62">
            <w:pPr>
              <w:wordWrap w:val="0"/>
              <w:spacing w:line="264" w:lineRule="auto"/>
              <w:ind w:firstLine="420" w:firstLineChars="200"/>
              <w:rPr>
                <w:rFonts w:ascii="宋体" w:hAnsi="宋体" w:cs="宋体"/>
                <w:szCs w:val="21"/>
              </w:rPr>
            </w:pPr>
            <w:r>
              <w:rPr>
                <w:rFonts w:hint="eastAsia" w:ascii="宋体" w:hAnsi="宋体" w:cs="宋体"/>
                <w:szCs w:val="21"/>
              </w:rPr>
              <w:t>（3）投标人满足资格审查条件（业绩最低条件）要求的业绩合同总金额较多的优先。</w:t>
            </w:r>
          </w:p>
          <w:p w14:paraId="1FB10339">
            <w:pPr>
              <w:wordWrap w:val="0"/>
              <w:spacing w:line="264" w:lineRule="auto"/>
              <w:ind w:firstLine="422" w:firstLineChars="200"/>
              <w:rPr>
                <w:rFonts w:ascii="宋体" w:hAnsi="宋体" w:cs="宋体"/>
                <w:b/>
                <w:bCs/>
                <w:szCs w:val="21"/>
              </w:rPr>
            </w:pPr>
            <w:r>
              <w:rPr>
                <w:rFonts w:hint="eastAsia" w:ascii="宋体" w:hAnsi="宋体" w:cs="宋体"/>
                <w:b/>
                <w:bCs/>
                <w:szCs w:val="21"/>
              </w:rPr>
              <w:t>当同一个投标人在不同标段综合得分均为第一时，评标委员会推荐评标顺序在前的标段为第一中标候选人；在另外标段中不再推荐，推荐对应标段中的排名第二的为第一中标候选人，依次类推。</w:t>
            </w:r>
          </w:p>
          <w:p w14:paraId="64D55568">
            <w:pPr>
              <w:wordWrap w:val="0"/>
              <w:spacing w:line="264" w:lineRule="auto"/>
              <w:ind w:firstLine="422" w:firstLineChars="200"/>
              <w:rPr>
                <w:rFonts w:hint="eastAsia" w:ascii="宋体" w:hAnsi="宋体" w:cs="宋体"/>
                <w:szCs w:val="21"/>
              </w:rPr>
            </w:pPr>
            <w:r>
              <w:rPr>
                <w:rFonts w:hint="eastAsia" w:ascii="宋体" w:hAnsi="宋体" w:cs="宋体"/>
                <w:b/>
                <w:bCs/>
                <w:szCs w:val="21"/>
              </w:rPr>
              <w:t xml:space="preserve">评标顺依次为：KT6、KT5、KT2、KT3、KT4、KT1 </w:t>
            </w:r>
          </w:p>
        </w:tc>
      </w:tr>
      <w:tr w14:paraId="0124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451C5F73">
            <w:pPr>
              <w:wordWrap w:val="0"/>
              <w:rPr>
                <w:rFonts w:hint="eastAsia" w:ascii="宋体" w:hAnsi="宋体" w:cs="宋体"/>
                <w:szCs w:val="21"/>
              </w:rPr>
            </w:pPr>
            <w:r>
              <w:rPr>
                <w:rFonts w:hint="eastAsia" w:ascii="宋体" w:hAnsi="宋体" w:cs="宋体"/>
                <w:szCs w:val="21"/>
              </w:rPr>
              <w:t xml:space="preserve">2.1.1 </w:t>
            </w:r>
          </w:p>
          <w:p w14:paraId="6C868E20">
            <w:pPr>
              <w:wordWrap w:val="0"/>
              <w:rPr>
                <w:rFonts w:hint="eastAsia" w:ascii="宋体" w:hAnsi="宋体" w:cs="宋体"/>
                <w:szCs w:val="21"/>
              </w:rPr>
            </w:pPr>
            <w:r>
              <w:rPr>
                <w:rFonts w:hint="eastAsia" w:ascii="宋体" w:hAnsi="宋体" w:cs="宋体"/>
                <w:szCs w:val="21"/>
              </w:rPr>
              <w:t>2.1.3</w:t>
            </w:r>
          </w:p>
        </w:tc>
        <w:tc>
          <w:tcPr>
            <w:tcW w:w="1500" w:type="dxa"/>
            <w:vAlign w:val="center"/>
          </w:tcPr>
          <w:p w14:paraId="0107492E">
            <w:pPr>
              <w:wordWrap w:val="0"/>
              <w:snapToGrid w:val="0"/>
              <w:spacing w:line="288" w:lineRule="auto"/>
              <w:rPr>
                <w:rFonts w:hint="eastAsia" w:ascii="宋体" w:hAnsi="宋体" w:cs="宋体"/>
                <w:szCs w:val="21"/>
              </w:rPr>
            </w:pPr>
            <w:r>
              <w:rPr>
                <w:rFonts w:hint="eastAsia" w:ascii="宋体" w:hAnsi="宋体" w:cs="宋体"/>
                <w:szCs w:val="21"/>
              </w:rPr>
              <w:t>形式评审与响应性评审标准</w:t>
            </w:r>
          </w:p>
        </w:tc>
        <w:tc>
          <w:tcPr>
            <w:tcW w:w="7022" w:type="dxa"/>
            <w:vAlign w:val="center"/>
          </w:tcPr>
          <w:p w14:paraId="0F8F1E64">
            <w:pPr>
              <w:tabs>
                <w:tab w:val="left" w:pos="3060"/>
              </w:tabs>
              <w:spacing w:line="264" w:lineRule="auto"/>
              <w:ind w:firstLine="211" w:firstLineChars="100"/>
              <w:rPr>
                <w:rFonts w:hint="eastAsia" w:ascii="宋体" w:hAnsi="宋体" w:cs="宋体"/>
                <w:szCs w:val="21"/>
              </w:rPr>
            </w:pPr>
            <w:r>
              <w:rPr>
                <w:rFonts w:hint="eastAsia" w:ascii="宋体" w:hAnsi="宋体" w:cs="宋体"/>
                <w:b/>
                <w:bCs/>
                <w:szCs w:val="21"/>
              </w:rPr>
              <w:t>第一个信封（商务文件）评审标准：</w:t>
            </w:r>
            <w:r>
              <w:rPr>
                <w:rFonts w:hint="eastAsia" w:ascii="宋体" w:hAnsi="宋体" w:cs="宋体"/>
                <w:szCs w:val="21"/>
              </w:rPr>
              <w:t xml:space="preserve"> </w:t>
            </w:r>
          </w:p>
          <w:p w14:paraId="008D8A0C">
            <w:pPr>
              <w:tabs>
                <w:tab w:val="left" w:pos="3060"/>
              </w:tabs>
              <w:spacing w:line="264" w:lineRule="auto"/>
              <w:ind w:firstLine="210" w:firstLineChars="100"/>
              <w:rPr>
                <w:rFonts w:hint="eastAsia" w:ascii="宋体" w:hAnsi="宋体" w:cs="宋体"/>
                <w:szCs w:val="21"/>
              </w:rPr>
            </w:pPr>
            <w:r>
              <w:rPr>
                <w:rFonts w:hint="eastAsia" w:ascii="宋体" w:hAnsi="宋体" w:cs="宋体"/>
                <w:szCs w:val="21"/>
              </w:rPr>
              <w:t xml:space="preserve">（1）投标文件按照招标文件规定的格式、内容填写，字迹清晰可辨： </w:t>
            </w:r>
          </w:p>
          <w:p w14:paraId="50F59150">
            <w:pPr>
              <w:tabs>
                <w:tab w:val="left" w:pos="3060"/>
              </w:tabs>
              <w:spacing w:line="264" w:lineRule="auto"/>
              <w:ind w:firstLine="210" w:firstLineChars="100"/>
              <w:rPr>
                <w:rFonts w:hint="eastAsia" w:ascii="宋体" w:hAnsi="宋体" w:cs="宋体"/>
                <w:szCs w:val="21"/>
              </w:rPr>
            </w:pPr>
            <w:r>
              <w:rPr>
                <w:rFonts w:hint="eastAsia" w:ascii="宋体" w:hAnsi="宋体" w:cs="宋体"/>
                <w:szCs w:val="21"/>
              </w:rPr>
              <w:t xml:space="preserve">a．投标函按招标文件规定填报了项目名称、标段、补遗书编号（如有）、项目负责人相关信息、服务期限、质量要求； </w:t>
            </w:r>
          </w:p>
          <w:p w14:paraId="77D48CEE">
            <w:pPr>
              <w:tabs>
                <w:tab w:val="left" w:pos="3060"/>
              </w:tabs>
              <w:spacing w:line="264" w:lineRule="auto"/>
              <w:ind w:firstLine="210" w:firstLineChars="100"/>
              <w:rPr>
                <w:rFonts w:hint="eastAsia" w:ascii="宋体" w:hAnsi="宋体" w:cs="宋体"/>
                <w:szCs w:val="21"/>
              </w:rPr>
            </w:pPr>
            <w:r>
              <w:rPr>
                <w:rFonts w:hint="eastAsia" w:ascii="宋体" w:hAnsi="宋体" w:cs="宋体"/>
                <w:szCs w:val="21"/>
              </w:rPr>
              <w:t xml:space="preserve">b．投标文件组成齐全完整，内容均按规定填写。 </w:t>
            </w:r>
          </w:p>
          <w:p w14:paraId="302F7282">
            <w:pPr>
              <w:tabs>
                <w:tab w:val="left" w:pos="3060"/>
              </w:tabs>
              <w:spacing w:line="264" w:lineRule="auto"/>
              <w:ind w:firstLine="210" w:firstLineChars="100"/>
              <w:rPr>
                <w:rFonts w:hint="eastAsia" w:ascii="宋体" w:hAnsi="宋体" w:cs="宋体"/>
                <w:szCs w:val="21"/>
              </w:rPr>
            </w:pPr>
            <w:r>
              <w:rPr>
                <w:rFonts w:hint="eastAsia" w:ascii="宋体" w:hAnsi="宋体" w:cs="宋体"/>
                <w:szCs w:val="21"/>
              </w:rPr>
              <w:t xml:space="preserve">（2）投标文件上法定代表人或其委托代理人的签字、投标人的单位盖章齐全，符合招标文件规定。  </w:t>
            </w:r>
          </w:p>
          <w:p w14:paraId="2748BC5F">
            <w:pPr>
              <w:tabs>
                <w:tab w:val="left" w:pos="3060"/>
              </w:tabs>
              <w:spacing w:line="264" w:lineRule="auto"/>
              <w:ind w:firstLine="210" w:firstLineChars="100"/>
              <w:rPr>
                <w:rFonts w:hint="eastAsia" w:ascii="宋体" w:hAnsi="宋体" w:cs="宋体"/>
                <w:bCs/>
                <w:szCs w:val="21"/>
              </w:rPr>
            </w:pPr>
            <w:r>
              <w:rPr>
                <w:rFonts w:hint="eastAsia" w:ascii="宋体" w:hAnsi="宋体" w:cs="宋体"/>
                <w:bCs/>
                <w:szCs w:val="21"/>
              </w:rPr>
              <w:t>（3）</w:t>
            </w:r>
            <w:r>
              <w:rPr>
                <w:rFonts w:hint="eastAsia" w:ascii="宋体" w:hAnsi="宋体" w:cs="宋体"/>
                <w:szCs w:val="21"/>
                <w:lang w:bidi="ar"/>
              </w:rPr>
              <w:t>投标人按照招标文件</w:t>
            </w:r>
            <w:r>
              <w:rPr>
                <w:rFonts w:hint="eastAsia" w:ascii="宋体" w:hAnsi="宋体" w:cs="宋体"/>
              </w:rPr>
              <w:t>第二章“投标人须知”第3.4.1项</w:t>
            </w:r>
            <w:r>
              <w:rPr>
                <w:rFonts w:hint="eastAsia" w:ascii="宋体" w:hAnsi="宋体" w:cs="宋体"/>
                <w:szCs w:val="21"/>
                <w:lang w:bidi="ar"/>
              </w:rPr>
              <w:t>规定的金额、形式、时效和内容提供了投标保证金。</w:t>
            </w:r>
          </w:p>
          <w:p w14:paraId="2C6F4581">
            <w:pPr>
              <w:tabs>
                <w:tab w:val="left" w:pos="3060"/>
              </w:tabs>
              <w:spacing w:line="264" w:lineRule="auto"/>
              <w:ind w:firstLine="210" w:firstLineChars="100"/>
              <w:rPr>
                <w:rFonts w:hint="eastAsia" w:ascii="宋体" w:hAnsi="宋体" w:cs="宋体"/>
                <w:szCs w:val="21"/>
              </w:rPr>
            </w:pPr>
            <w:r>
              <w:rPr>
                <w:rFonts w:hint="eastAsia" w:ascii="宋体" w:hAnsi="宋体" w:cs="宋体"/>
                <w:szCs w:val="21"/>
              </w:rPr>
              <w:t xml:space="preserve">（4）投标人法定代表人授权委托代理人签署投标文件的，须提交授权委托书，且授权人和被授权人均在授权委托书上签名，其签名符合招标文件的规定。 </w:t>
            </w:r>
          </w:p>
          <w:p w14:paraId="43CA3A28">
            <w:pPr>
              <w:tabs>
                <w:tab w:val="left" w:pos="3060"/>
              </w:tabs>
              <w:spacing w:line="264" w:lineRule="auto"/>
              <w:ind w:firstLine="210" w:firstLineChars="100"/>
              <w:rPr>
                <w:rFonts w:hint="eastAsia" w:ascii="宋体" w:hAnsi="宋体" w:cs="宋体"/>
                <w:szCs w:val="21"/>
              </w:rPr>
            </w:pPr>
            <w:r>
              <w:rPr>
                <w:rFonts w:hint="eastAsia" w:ascii="宋体" w:hAnsi="宋体" w:cs="宋体"/>
                <w:szCs w:val="21"/>
              </w:rPr>
              <w:t>（5）投标人法定代表人亲自签署投标文件的，提供了法定代表人身份证明，且法定代表人在法定代表人身份证明上签名，其签名符合招标文件的规定。</w:t>
            </w:r>
          </w:p>
          <w:p w14:paraId="4025F7A2">
            <w:pPr>
              <w:tabs>
                <w:tab w:val="left" w:pos="3060"/>
              </w:tabs>
              <w:spacing w:line="264" w:lineRule="auto"/>
              <w:ind w:firstLine="210" w:firstLineChars="100"/>
              <w:rPr>
                <w:rFonts w:hint="eastAsia" w:ascii="宋体" w:hAnsi="宋体" w:cs="宋体"/>
                <w:szCs w:val="21"/>
              </w:rPr>
            </w:pPr>
            <w:r>
              <w:rPr>
                <w:rFonts w:hint="eastAsia" w:ascii="宋体" w:hAnsi="宋体" w:cs="宋体"/>
                <w:szCs w:val="21"/>
              </w:rPr>
              <w:t>（6）</w:t>
            </w:r>
            <w:r>
              <w:rPr>
                <w:rFonts w:hint="eastAsia" w:ascii="宋体" w:hAnsi="宋体"/>
                <w:szCs w:val="21"/>
              </w:rPr>
              <w:t>投标人以联合体形式投标时，联合体满足招标文件的要求。</w:t>
            </w:r>
          </w:p>
          <w:p w14:paraId="0B99D94C">
            <w:pPr>
              <w:tabs>
                <w:tab w:val="left" w:pos="3060"/>
              </w:tabs>
              <w:spacing w:line="264" w:lineRule="auto"/>
              <w:ind w:firstLine="210" w:firstLineChars="100"/>
              <w:rPr>
                <w:rFonts w:hint="eastAsia" w:ascii="宋体" w:hAnsi="宋体" w:cs="宋体"/>
                <w:szCs w:val="21"/>
              </w:rPr>
            </w:pPr>
            <w:r>
              <w:rPr>
                <w:rFonts w:hint="eastAsia" w:ascii="宋体" w:hAnsi="宋体" w:cs="宋体"/>
                <w:szCs w:val="21"/>
              </w:rPr>
              <w:t>（7）投标人未对本项目提出分包计划。</w:t>
            </w:r>
          </w:p>
          <w:p w14:paraId="2831EB1D">
            <w:pPr>
              <w:tabs>
                <w:tab w:val="left" w:pos="3060"/>
              </w:tabs>
              <w:spacing w:line="264" w:lineRule="auto"/>
              <w:ind w:firstLine="210" w:firstLineChars="100"/>
              <w:rPr>
                <w:rFonts w:hint="eastAsia" w:ascii="宋体" w:hAnsi="宋体" w:cs="宋体"/>
                <w:szCs w:val="21"/>
              </w:rPr>
            </w:pPr>
            <w:r>
              <w:rPr>
                <w:rFonts w:hint="eastAsia" w:ascii="宋体" w:hAnsi="宋体" w:cs="宋体"/>
                <w:szCs w:val="21"/>
              </w:rPr>
              <w:t>（8）同一投标人未提交两个以上不同的投标文件。</w:t>
            </w:r>
          </w:p>
          <w:p w14:paraId="1E157B59">
            <w:pPr>
              <w:tabs>
                <w:tab w:val="left" w:pos="3060"/>
              </w:tabs>
              <w:spacing w:line="264" w:lineRule="auto"/>
              <w:ind w:firstLine="210" w:firstLineChars="100"/>
              <w:rPr>
                <w:rFonts w:hint="eastAsia" w:ascii="宋体" w:hAnsi="宋体" w:cs="宋体"/>
                <w:szCs w:val="21"/>
              </w:rPr>
            </w:pPr>
            <w:r>
              <w:rPr>
                <w:rFonts w:hint="eastAsia" w:ascii="宋体" w:hAnsi="宋体" w:cs="宋体"/>
                <w:szCs w:val="21"/>
              </w:rPr>
              <w:t>（9）投标文件中未出现有关投标报价的内容。</w:t>
            </w:r>
          </w:p>
          <w:p w14:paraId="3929C792">
            <w:pPr>
              <w:tabs>
                <w:tab w:val="left" w:pos="3060"/>
              </w:tabs>
              <w:spacing w:line="264" w:lineRule="auto"/>
              <w:ind w:firstLine="210" w:firstLineChars="100"/>
              <w:rPr>
                <w:rFonts w:hint="eastAsia" w:ascii="宋体" w:hAnsi="宋体" w:cs="宋体"/>
                <w:szCs w:val="21"/>
              </w:rPr>
            </w:pPr>
            <w:r>
              <w:rPr>
                <w:rFonts w:hint="eastAsia" w:ascii="宋体" w:hAnsi="宋体" w:cs="宋体"/>
                <w:szCs w:val="21"/>
              </w:rPr>
              <w:t>（10）投标文件载明的招标项目完成期限满足招标文件规定的时限。</w:t>
            </w:r>
          </w:p>
          <w:p w14:paraId="12D9F566">
            <w:pPr>
              <w:tabs>
                <w:tab w:val="left" w:pos="3060"/>
              </w:tabs>
              <w:spacing w:line="264" w:lineRule="auto"/>
              <w:ind w:firstLine="210" w:firstLineChars="100"/>
              <w:rPr>
                <w:rFonts w:hint="eastAsia" w:ascii="宋体" w:hAnsi="宋体" w:cs="宋体"/>
                <w:szCs w:val="21"/>
              </w:rPr>
            </w:pPr>
            <w:r>
              <w:rPr>
                <w:rFonts w:hint="eastAsia" w:ascii="宋体" w:hAnsi="宋体" w:cs="宋体"/>
                <w:szCs w:val="21"/>
              </w:rPr>
              <w:t>（11）投标文件对招标文件的实质性要求和条件作出响应。</w:t>
            </w:r>
          </w:p>
          <w:p w14:paraId="4EA7F6DC">
            <w:pPr>
              <w:tabs>
                <w:tab w:val="left" w:pos="3060"/>
              </w:tabs>
              <w:spacing w:line="264" w:lineRule="auto"/>
              <w:ind w:firstLine="210" w:firstLineChars="100"/>
              <w:rPr>
                <w:rFonts w:hint="eastAsia" w:ascii="宋体" w:hAnsi="宋体" w:cs="宋体"/>
                <w:szCs w:val="21"/>
              </w:rPr>
            </w:pPr>
            <w:r>
              <w:rPr>
                <w:rFonts w:hint="eastAsia" w:ascii="宋体" w:hAnsi="宋体" w:cs="宋体"/>
              </w:rPr>
              <w:t>（12）</w:t>
            </w:r>
            <w:r>
              <w:rPr>
                <w:rFonts w:hint="eastAsia" w:ascii="宋体" w:hAnsi="宋体" w:cs="宋体"/>
                <w:szCs w:val="21"/>
              </w:rPr>
              <w:t xml:space="preserve">权利义务符合招标文件规定： </w:t>
            </w:r>
          </w:p>
          <w:p w14:paraId="1CB64797">
            <w:pPr>
              <w:tabs>
                <w:tab w:val="left" w:pos="3060"/>
              </w:tabs>
              <w:spacing w:line="264" w:lineRule="auto"/>
              <w:ind w:firstLine="210" w:firstLineChars="100"/>
              <w:rPr>
                <w:rFonts w:hint="eastAsia" w:ascii="宋体" w:hAnsi="宋体" w:cs="宋体"/>
                <w:szCs w:val="21"/>
              </w:rPr>
            </w:pPr>
            <w:r>
              <w:rPr>
                <w:rFonts w:hint="eastAsia" w:ascii="宋体" w:hAnsi="宋体" w:cs="宋体"/>
                <w:szCs w:val="21"/>
              </w:rPr>
              <w:t>a.投标人应接受招标文件规定的风险划分原则，未提出新的风险划分办法；</w:t>
            </w:r>
          </w:p>
          <w:p w14:paraId="17E53464">
            <w:pPr>
              <w:tabs>
                <w:tab w:val="left" w:pos="3060"/>
              </w:tabs>
              <w:spacing w:line="264" w:lineRule="auto"/>
              <w:ind w:firstLine="210" w:firstLineChars="100"/>
              <w:rPr>
                <w:rFonts w:hint="eastAsia" w:ascii="宋体" w:hAnsi="宋体" w:cs="宋体"/>
                <w:szCs w:val="21"/>
              </w:rPr>
            </w:pPr>
            <w:r>
              <w:rPr>
                <w:rFonts w:hint="eastAsia" w:ascii="宋体" w:hAnsi="宋体" w:cs="宋体"/>
                <w:szCs w:val="21"/>
              </w:rPr>
              <w:t>b.投标人未增加委托人的责任范围，或减少投标人义务；</w:t>
            </w:r>
          </w:p>
          <w:p w14:paraId="4F178D36">
            <w:pPr>
              <w:tabs>
                <w:tab w:val="left" w:pos="3060"/>
              </w:tabs>
              <w:spacing w:line="264" w:lineRule="auto"/>
              <w:ind w:firstLine="210" w:firstLineChars="100"/>
              <w:rPr>
                <w:rFonts w:hint="eastAsia" w:ascii="宋体" w:hAnsi="宋体" w:cs="宋体"/>
                <w:szCs w:val="21"/>
              </w:rPr>
            </w:pPr>
            <w:r>
              <w:rPr>
                <w:rFonts w:hint="eastAsia" w:ascii="宋体" w:hAnsi="宋体" w:cs="宋体"/>
                <w:szCs w:val="21"/>
              </w:rPr>
              <w:t xml:space="preserve">c.投标人未提出不同的支付办法； </w:t>
            </w:r>
          </w:p>
          <w:p w14:paraId="559122E3">
            <w:pPr>
              <w:tabs>
                <w:tab w:val="left" w:pos="3060"/>
              </w:tabs>
              <w:spacing w:line="264" w:lineRule="auto"/>
              <w:ind w:firstLine="210" w:firstLineChars="100"/>
              <w:rPr>
                <w:rFonts w:hint="eastAsia" w:ascii="宋体" w:hAnsi="宋体" w:cs="宋体"/>
                <w:szCs w:val="21"/>
              </w:rPr>
            </w:pPr>
            <w:r>
              <w:rPr>
                <w:rFonts w:hint="eastAsia" w:ascii="宋体" w:hAnsi="宋体" w:cs="宋体"/>
                <w:szCs w:val="21"/>
              </w:rPr>
              <w:t xml:space="preserve">d.投标人对合同纠纷、事故处理办法未提出异议； </w:t>
            </w:r>
          </w:p>
          <w:p w14:paraId="3BF4493D">
            <w:pPr>
              <w:tabs>
                <w:tab w:val="left" w:pos="3060"/>
              </w:tabs>
              <w:spacing w:line="264" w:lineRule="auto"/>
              <w:ind w:firstLine="210" w:firstLineChars="100"/>
              <w:rPr>
                <w:rFonts w:hint="eastAsia" w:ascii="宋体" w:hAnsi="宋体" w:cs="宋体"/>
                <w:szCs w:val="21"/>
              </w:rPr>
            </w:pPr>
            <w:r>
              <w:rPr>
                <w:rFonts w:hint="eastAsia" w:ascii="宋体" w:hAnsi="宋体" w:cs="宋体"/>
                <w:szCs w:val="21"/>
              </w:rPr>
              <w:t xml:space="preserve">e.投标人在投标活动中无欺诈行为； </w:t>
            </w:r>
          </w:p>
          <w:p w14:paraId="25AA7CC8">
            <w:pPr>
              <w:tabs>
                <w:tab w:val="left" w:pos="3060"/>
              </w:tabs>
              <w:spacing w:line="264" w:lineRule="auto"/>
              <w:ind w:firstLine="210" w:firstLineChars="100"/>
              <w:rPr>
                <w:rFonts w:ascii="宋体" w:hAnsi="宋体" w:cs="宋体"/>
              </w:rPr>
            </w:pPr>
            <w:r>
              <w:rPr>
                <w:rFonts w:hint="eastAsia" w:ascii="宋体" w:hAnsi="宋体" w:cs="宋体"/>
                <w:szCs w:val="21"/>
              </w:rPr>
              <w:t>f.投标人未对合同条款有重要保留。</w:t>
            </w:r>
          </w:p>
          <w:p w14:paraId="1881D369">
            <w:pPr>
              <w:tabs>
                <w:tab w:val="left" w:pos="3060"/>
              </w:tabs>
              <w:spacing w:line="264" w:lineRule="auto"/>
              <w:ind w:firstLine="210" w:firstLineChars="100"/>
              <w:rPr>
                <w:rFonts w:hint="eastAsia" w:ascii="宋体" w:hAnsi="宋体" w:cs="宋体"/>
              </w:rPr>
            </w:pPr>
            <w:r>
              <w:rPr>
                <w:rFonts w:hint="eastAsia" w:ascii="宋体" w:hAnsi="宋体" w:cs="宋体"/>
              </w:rPr>
              <w:t>（13）递交的投标文件与所投标段一致。</w:t>
            </w:r>
          </w:p>
          <w:p w14:paraId="479812F3">
            <w:pPr>
              <w:tabs>
                <w:tab w:val="left" w:pos="3060"/>
              </w:tabs>
              <w:spacing w:line="264" w:lineRule="auto"/>
              <w:ind w:firstLine="211" w:firstLineChars="100"/>
              <w:rPr>
                <w:rFonts w:hint="eastAsia" w:ascii="宋体" w:hAnsi="宋体" w:cs="宋体"/>
                <w:b/>
                <w:bCs/>
                <w:szCs w:val="21"/>
              </w:rPr>
            </w:pPr>
            <w:r>
              <w:rPr>
                <w:rFonts w:hint="eastAsia" w:ascii="宋体" w:hAnsi="宋体" w:cs="宋体"/>
                <w:b/>
                <w:bCs/>
                <w:szCs w:val="21"/>
              </w:rPr>
              <w:t>第一个信封（技术文件）评审标准:</w:t>
            </w:r>
          </w:p>
          <w:p w14:paraId="301BC9C6">
            <w:pPr>
              <w:tabs>
                <w:tab w:val="left" w:pos="3060"/>
              </w:tabs>
              <w:spacing w:line="264" w:lineRule="auto"/>
              <w:ind w:firstLine="210" w:firstLineChars="100"/>
              <w:rPr>
                <w:rFonts w:hint="eastAsia" w:ascii="宋体" w:hAnsi="宋体" w:cs="宋体"/>
                <w:b/>
                <w:bCs/>
                <w:szCs w:val="21"/>
              </w:rPr>
            </w:pPr>
            <w:r>
              <w:rPr>
                <w:rFonts w:hint="eastAsia" w:ascii="宋体" w:hAnsi="宋体" w:cs="宋体"/>
                <w:szCs w:val="21"/>
              </w:rPr>
              <w:t>（1）技术服务建议书（投标文件暗标部分）编制符合招标文件第二章“投标人须知前附表”第3.7.3（5）款的规定。</w:t>
            </w:r>
          </w:p>
          <w:p w14:paraId="35186E12">
            <w:pPr>
              <w:tabs>
                <w:tab w:val="left" w:pos="3060"/>
              </w:tabs>
              <w:spacing w:line="264" w:lineRule="auto"/>
              <w:ind w:firstLine="211" w:firstLineChars="100"/>
              <w:rPr>
                <w:rFonts w:hint="eastAsia" w:ascii="宋体" w:hAnsi="宋体" w:cs="宋体"/>
                <w:szCs w:val="21"/>
              </w:rPr>
            </w:pPr>
            <w:r>
              <w:rPr>
                <w:rFonts w:hint="eastAsia" w:ascii="宋体" w:hAnsi="宋体" w:cs="宋体"/>
                <w:b/>
                <w:bCs/>
                <w:szCs w:val="21"/>
              </w:rPr>
              <w:t>第二个信封（报价文件）评审标准：</w:t>
            </w:r>
            <w:r>
              <w:rPr>
                <w:rFonts w:hint="eastAsia" w:ascii="宋体" w:hAnsi="宋体" w:cs="宋体"/>
                <w:szCs w:val="21"/>
              </w:rPr>
              <w:t xml:space="preserve"> </w:t>
            </w:r>
          </w:p>
          <w:p w14:paraId="05438AC6">
            <w:pPr>
              <w:tabs>
                <w:tab w:val="left" w:pos="3060"/>
              </w:tabs>
              <w:spacing w:line="264" w:lineRule="auto"/>
              <w:ind w:firstLine="210" w:firstLineChars="100"/>
              <w:rPr>
                <w:rFonts w:hint="eastAsia" w:ascii="宋体" w:hAnsi="宋体" w:cs="宋体"/>
                <w:szCs w:val="21"/>
              </w:rPr>
            </w:pPr>
            <w:r>
              <w:rPr>
                <w:rFonts w:hint="eastAsia" w:ascii="宋体" w:hAnsi="宋体" w:cs="宋体"/>
                <w:szCs w:val="21"/>
              </w:rPr>
              <w:t xml:space="preserve">（1）投标文件按照招标文件规定的格式、内容填写，字迹清晰可辨，内容齐全完整： </w:t>
            </w:r>
          </w:p>
          <w:p w14:paraId="0B2F866E">
            <w:pPr>
              <w:tabs>
                <w:tab w:val="left" w:pos="3060"/>
              </w:tabs>
              <w:spacing w:line="264" w:lineRule="auto"/>
              <w:ind w:firstLine="210" w:firstLineChars="100"/>
              <w:rPr>
                <w:rFonts w:hint="eastAsia" w:ascii="宋体" w:hAnsi="宋体" w:cs="宋体"/>
                <w:szCs w:val="21"/>
              </w:rPr>
            </w:pPr>
            <w:r>
              <w:rPr>
                <w:rFonts w:hint="eastAsia" w:ascii="宋体" w:hAnsi="宋体" w:cs="宋体"/>
                <w:szCs w:val="21"/>
              </w:rPr>
              <w:t>a．投标函按招标文件规定填报了项目名称、标段、补遗书编号（如有）、</w:t>
            </w:r>
            <w:r>
              <w:rPr>
                <w:rFonts w:hint="eastAsia" w:ascii="宋体" w:hAnsi="宋体" w:cs="宋体"/>
                <w:bCs/>
                <w:szCs w:val="21"/>
              </w:rPr>
              <w:t>投标价（包括大写金额和小写金额）</w:t>
            </w:r>
            <w:r>
              <w:rPr>
                <w:rFonts w:hint="eastAsia" w:ascii="宋体" w:hAnsi="宋体" w:cs="宋体"/>
                <w:szCs w:val="21"/>
              </w:rPr>
              <w:t xml:space="preserve">； </w:t>
            </w:r>
          </w:p>
          <w:p w14:paraId="3944DBCA">
            <w:pPr>
              <w:tabs>
                <w:tab w:val="left" w:pos="3060"/>
              </w:tabs>
              <w:spacing w:line="264" w:lineRule="auto"/>
              <w:ind w:firstLine="210" w:firstLineChars="100"/>
              <w:rPr>
                <w:rFonts w:hint="eastAsia" w:ascii="宋体" w:hAnsi="宋体" w:cs="宋体"/>
                <w:szCs w:val="21"/>
              </w:rPr>
            </w:pPr>
            <w:r>
              <w:rPr>
                <w:rFonts w:hint="eastAsia" w:ascii="宋体" w:hAnsi="宋体" w:cs="宋体"/>
                <w:szCs w:val="21"/>
              </w:rPr>
              <w:t xml:space="preserve">b．投标文件组成齐全完整，内容均按规定填写。 </w:t>
            </w:r>
          </w:p>
          <w:p w14:paraId="21B0A635">
            <w:pPr>
              <w:tabs>
                <w:tab w:val="left" w:pos="3060"/>
              </w:tabs>
              <w:spacing w:line="264" w:lineRule="auto"/>
              <w:ind w:firstLine="210" w:firstLineChars="100"/>
              <w:rPr>
                <w:rFonts w:hint="eastAsia" w:ascii="宋体" w:hAnsi="宋体" w:cs="宋体"/>
                <w:szCs w:val="21"/>
              </w:rPr>
            </w:pPr>
            <w:r>
              <w:rPr>
                <w:rFonts w:hint="eastAsia" w:ascii="宋体" w:hAnsi="宋体" w:cs="宋体"/>
                <w:szCs w:val="21"/>
              </w:rPr>
              <w:t xml:space="preserve">（2）投标文件上法定代表人或其委托代理人的签字、投标人的单位盖章齐全，符合招标文件规定。 </w:t>
            </w:r>
          </w:p>
          <w:p w14:paraId="10E50038">
            <w:pPr>
              <w:tabs>
                <w:tab w:val="left" w:pos="3060"/>
              </w:tabs>
              <w:spacing w:line="264" w:lineRule="auto"/>
              <w:ind w:firstLine="210" w:firstLineChars="100"/>
              <w:rPr>
                <w:rFonts w:hint="eastAsia" w:ascii="宋体" w:hAnsi="宋体" w:cs="宋体"/>
                <w:szCs w:val="21"/>
              </w:rPr>
            </w:pPr>
            <w:r>
              <w:rPr>
                <w:rFonts w:hint="eastAsia" w:ascii="宋体" w:hAnsi="宋体" w:cs="宋体"/>
                <w:szCs w:val="21"/>
              </w:rPr>
              <w:t xml:space="preserve">（3）投标报价未超过招标文件设定的最高投标限价。 </w:t>
            </w:r>
          </w:p>
          <w:p w14:paraId="3C462A54">
            <w:pPr>
              <w:tabs>
                <w:tab w:val="left" w:pos="3060"/>
              </w:tabs>
              <w:spacing w:line="264" w:lineRule="auto"/>
              <w:ind w:firstLine="210" w:firstLineChars="100"/>
              <w:rPr>
                <w:rFonts w:hint="eastAsia" w:ascii="宋体" w:hAnsi="宋体" w:cs="宋体"/>
                <w:szCs w:val="21"/>
              </w:rPr>
            </w:pPr>
            <w:r>
              <w:rPr>
                <w:rFonts w:hint="eastAsia" w:ascii="宋体" w:hAnsi="宋体" w:cs="宋体"/>
                <w:szCs w:val="21"/>
              </w:rPr>
              <w:t xml:space="preserve">（4）投标报价的大写金额能够确定具体数值。 </w:t>
            </w:r>
          </w:p>
          <w:p w14:paraId="6AD2A504">
            <w:pPr>
              <w:tabs>
                <w:tab w:val="left" w:pos="3060"/>
              </w:tabs>
              <w:spacing w:line="264" w:lineRule="auto"/>
              <w:ind w:firstLine="210" w:firstLineChars="100"/>
              <w:rPr>
                <w:rFonts w:hint="eastAsia" w:ascii="宋体" w:hAnsi="宋体" w:cs="宋体"/>
                <w:szCs w:val="21"/>
              </w:rPr>
            </w:pPr>
            <w:r>
              <w:rPr>
                <w:rFonts w:hint="eastAsia" w:ascii="宋体" w:hAnsi="宋体" w:cs="宋体"/>
                <w:szCs w:val="21"/>
              </w:rPr>
              <w:t>（5）同一投标人未提交两个以上不同的投标报价。</w:t>
            </w:r>
          </w:p>
          <w:p w14:paraId="2E1175C0">
            <w:pPr>
              <w:tabs>
                <w:tab w:val="left" w:pos="3060"/>
              </w:tabs>
              <w:spacing w:line="264" w:lineRule="auto"/>
              <w:ind w:firstLine="210" w:firstLineChars="100"/>
              <w:rPr>
                <w:rFonts w:hint="eastAsia" w:ascii="宋体" w:hAnsi="宋体" w:cs="宋体"/>
                <w:szCs w:val="21"/>
              </w:rPr>
            </w:pPr>
            <w:r>
              <w:rPr>
                <w:rFonts w:hint="eastAsia" w:ascii="宋体" w:hAnsi="宋体" w:cs="宋体"/>
                <w:szCs w:val="21"/>
              </w:rPr>
              <w:t>（6）投标人未提交调价函。</w:t>
            </w:r>
          </w:p>
          <w:p w14:paraId="6EDF24C8">
            <w:pPr>
              <w:tabs>
                <w:tab w:val="left" w:pos="3060"/>
              </w:tabs>
              <w:spacing w:line="264" w:lineRule="auto"/>
              <w:ind w:firstLine="210" w:firstLineChars="100"/>
              <w:rPr>
                <w:rFonts w:ascii="宋体" w:hAnsi="宋体" w:cs="宋体"/>
              </w:rPr>
            </w:pPr>
            <w:r>
              <w:rPr>
                <w:rFonts w:hint="eastAsia" w:ascii="宋体" w:hAnsi="宋体" w:cs="宋体"/>
              </w:rPr>
              <w:t>（7）递交的投标文件与所投标段一致。</w:t>
            </w:r>
          </w:p>
          <w:p w14:paraId="01930B4A">
            <w:pPr>
              <w:tabs>
                <w:tab w:val="left" w:pos="3060"/>
              </w:tabs>
              <w:spacing w:line="264" w:lineRule="auto"/>
              <w:ind w:firstLine="210" w:firstLineChars="100"/>
              <w:rPr>
                <w:rFonts w:hint="eastAsia" w:ascii="宋体" w:hAnsi="宋体" w:cs="宋体"/>
              </w:rPr>
            </w:pPr>
            <w:r>
              <w:rPr>
                <w:rFonts w:hint="eastAsia" w:ascii="宋体" w:hAnsi="宋体" w:cs="宋体"/>
              </w:rPr>
              <w:t>（8）报价费用清单中的投标报价和投标函投标报价大写金额一致。</w:t>
            </w:r>
          </w:p>
        </w:tc>
      </w:tr>
      <w:tr w14:paraId="5064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trPr>
        <w:tc>
          <w:tcPr>
            <w:tcW w:w="844" w:type="dxa"/>
            <w:vAlign w:val="center"/>
          </w:tcPr>
          <w:p w14:paraId="7B2B21A5">
            <w:pPr>
              <w:wordWrap w:val="0"/>
              <w:rPr>
                <w:rFonts w:hint="eastAsia" w:ascii="宋体" w:hAnsi="宋体" w:cs="宋体"/>
                <w:szCs w:val="21"/>
              </w:rPr>
            </w:pPr>
            <w:r>
              <w:rPr>
                <w:rFonts w:hint="eastAsia" w:ascii="宋体" w:hAnsi="宋体" w:cs="宋体"/>
                <w:szCs w:val="21"/>
              </w:rPr>
              <w:t>2.1.2</w:t>
            </w:r>
          </w:p>
        </w:tc>
        <w:tc>
          <w:tcPr>
            <w:tcW w:w="1500" w:type="dxa"/>
            <w:vAlign w:val="center"/>
          </w:tcPr>
          <w:p w14:paraId="40B6A6EB">
            <w:pPr>
              <w:wordWrap w:val="0"/>
              <w:snapToGrid w:val="0"/>
              <w:spacing w:line="288" w:lineRule="auto"/>
              <w:jc w:val="center"/>
              <w:rPr>
                <w:rFonts w:hint="eastAsia" w:ascii="宋体" w:hAnsi="宋体" w:cs="宋体"/>
                <w:szCs w:val="21"/>
              </w:rPr>
            </w:pPr>
            <w:r>
              <w:rPr>
                <w:rFonts w:hint="eastAsia" w:ascii="宋体" w:hAnsi="宋体" w:cs="宋体"/>
                <w:szCs w:val="21"/>
              </w:rPr>
              <w:t>资格评审标准</w:t>
            </w:r>
          </w:p>
        </w:tc>
        <w:tc>
          <w:tcPr>
            <w:tcW w:w="7022" w:type="dxa"/>
            <w:vAlign w:val="center"/>
          </w:tcPr>
          <w:p w14:paraId="3A2E6D26">
            <w:pPr>
              <w:wordWrap w:val="0"/>
              <w:spacing w:line="288" w:lineRule="auto"/>
              <w:rPr>
                <w:rFonts w:hint="eastAsia" w:ascii="宋体" w:hAnsi="宋体" w:cs="宋体"/>
                <w:szCs w:val="21"/>
              </w:rPr>
            </w:pPr>
            <w:r>
              <w:rPr>
                <w:rFonts w:hint="eastAsia" w:ascii="宋体" w:hAnsi="宋体" w:cs="宋体"/>
                <w:szCs w:val="21"/>
              </w:rPr>
              <w:t>（1）投标人具备有效的营业执照（或事业单位法人证书）、组织机构代码证（三证合一或五证合一的除外）；</w:t>
            </w:r>
          </w:p>
          <w:p w14:paraId="221E143D">
            <w:pPr>
              <w:wordWrap w:val="0"/>
              <w:spacing w:line="288" w:lineRule="auto"/>
              <w:rPr>
                <w:rFonts w:hint="eastAsia" w:ascii="宋体" w:hAnsi="宋体" w:cs="宋体"/>
                <w:szCs w:val="21"/>
              </w:rPr>
            </w:pPr>
            <w:r>
              <w:rPr>
                <w:rFonts w:hint="eastAsia" w:ascii="宋体" w:hAnsi="宋体" w:cs="宋体"/>
                <w:szCs w:val="21"/>
              </w:rPr>
              <w:t xml:space="preserve">（2）投标人的类似项目业绩符合招标文件的规定。 </w:t>
            </w:r>
          </w:p>
          <w:p w14:paraId="76FB1BEF">
            <w:pPr>
              <w:wordWrap w:val="0"/>
              <w:spacing w:line="288" w:lineRule="auto"/>
              <w:rPr>
                <w:rFonts w:hint="eastAsia" w:ascii="宋体" w:hAnsi="宋体" w:cs="宋体"/>
                <w:szCs w:val="21"/>
              </w:rPr>
            </w:pPr>
            <w:r>
              <w:rPr>
                <w:rFonts w:hint="eastAsia" w:ascii="宋体" w:hAnsi="宋体" w:cs="宋体"/>
                <w:szCs w:val="21"/>
              </w:rPr>
              <w:t xml:space="preserve">（3）投标人的信誉符合招标文件规定。 </w:t>
            </w:r>
          </w:p>
          <w:p w14:paraId="1A6B8D5F">
            <w:pPr>
              <w:wordWrap w:val="0"/>
              <w:spacing w:line="288" w:lineRule="auto"/>
              <w:rPr>
                <w:rFonts w:hint="eastAsia" w:ascii="宋体" w:hAnsi="宋体" w:cs="宋体"/>
                <w:szCs w:val="21"/>
              </w:rPr>
            </w:pPr>
            <w:r>
              <w:rPr>
                <w:rFonts w:hint="eastAsia" w:ascii="宋体" w:hAnsi="宋体" w:cs="宋体"/>
                <w:szCs w:val="21"/>
              </w:rPr>
              <w:t xml:space="preserve">（4）投标人的项目负责人资格符合招标文件规定。 </w:t>
            </w:r>
          </w:p>
          <w:p w14:paraId="2B1B3E92">
            <w:pPr>
              <w:wordWrap w:val="0"/>
              <w:spacing w:line="288" w:lineRule="auto"/>
              <w:rPr>
                <w:rFonts w:ascii="宋体" w:hAnsi="宋体" w:cs="宋体"/>
                <w:szCs w:val="21"/>
              </w:rPr>
            </w:pPr>
            <w:r>
              <w:rPr>
                <w:rFonts w:hint="eastAsia" w:ascii="宋体" w:hAnsi="宋体" w:cs="宋体"/>
                <w:szCs w:val="21"/>
              </w:rPr>
              <w:t>（5）投标人不存在第二章“投标人须知”第 1.4.3 项或 1.4.4 项规定的任何一种情形。</w:t>
            </w:r>
          </w:p>
          <w:p w14:paraId="4F3C1E56">
            <w:pPr>
              <w:wordWrap w:val="0"/>
              <w:spacing w:line="288" w:lineRule="auto"/>
              <w:rPr>
                <w:rFonts w:hint="eastAsia" w:ascii="宋体" w:hAnsi="宋体" w:cs="宋体"/>
                <w:szCs w:val="21"/>
              </w:rPr>
            </w:pPr>
            <w:r>
              <w:rPr>
                <w:rFonts w:hint="eastAsia" w:ascii="宋体" w:hAnsi="宋体" w:cs="宋体"/>
                <w:szCs w:val="21"/>
              </w:rPr>
              <w:t>（6）</w:t>
            </w:r>
            <w:r>
              <w:rPr>
                <w:rFonts w:hint="eastAsia" w:ascii="宋体" w:hAnsi="宋体"/>
                <w:bCs/>
                <w:szCs w:val="21"/>
              </w:rPr>
              <w:t>以联合体形式参与投标的，联合体各方均未再以自己名义单独或参加其他联合体的投标</w:t>
            </w:r>
            <w:r>
              <w:rPr>
                <w:rFonts w:hint="eastAsia" w:ascii="宋体" w:hAnsi="宋体" w:cs="Arial"/>
                <w:szCs w:val="21"/>
              </w:rPr>
              <w:t>。</w:t>
            </w:r>
            <w:r>
              <w:rPr>
                <w:rFonts w:ascii="宋体" w:hAnsi="宋体" w:cs="Arial"/>
                <w:szCs w:val="21"/>
              </w:rPr>
              <w:t xml:space="preserve"> </w:t>
            </w:r>
          </w:p>
        </w:tc>
      </w:tr>
      <w:tr w14:paraId="2F66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844" w:type="dxa"/>
            <w:vAlign w:val="center"/>
          </w:tcPr>
          <w:p w14:paraId="401BEAF0">
            <w:pPr>
              <w:wordWrap w:val="0"/>
              <w:rPr>
                <w:rFonts w:hint="eastAsia" w:ascii="宋体" w:hAnsi="宋体" w:cs="宋体"/>
                <w:szCs w:val="21"/>
              </w:rPr>
            </w:pPr>
            <w:r>
              <w:rPr>
                <w:rFonts w:hint="eastAsia" w:ascii="宋体" w:hAnsi="宋体" w:cs="宋体"/>
                <w:szCs w:val="21"/>
              </w:rPr>
              <w:t>2.2.1</w:t>
            </w:r>
          </w:p>
        </w:tc>
        <w:tc>
          <w:tcPr>
            <w:tcW w:w="1500" w:type="dxa"/>
            <w:vAlign w:val="center"/>
          </w:tcPr>
          <w:p w14:paraId="0A10DA86">
            <w:pPr>
              <w:wordWrap w:val="0"/>
              <w:snapToGrid w:val="0"/>
              <w:spacing w:line="288" w:lineRule="auto"/>
              <w:jc w:val="center"/>
              <w:rPr>
                <w:rFonts w:hint="eastAsia" w:ascii="宋体" w:hAnsi="宋体" w:cs="宋体"/>
                <w:szCs w:val="21"/>
              </w:rPr>
            </w:pPr>
            <w:r>
              <w:rPr>
                <w:rFonts w:hint="eastAsia" w:ascii="宋体" w:hAnsi="宋体" w:cs="宋体"/>
                <w:szCs w:val="21"/>
              </w:rPr>
              <w:t>分值构成</w:t>
            </w:r>
          </w:p>
          <w:p w14:paraId="439BF848">
            <w:pPr>
              <w:tabs>
                <w:tab w:val="left" w:pos="1480"/>
              </w:tabs>
              <w:wordWrap w:val="0"/>
              <w:snapToGrid w:val="0"/>
              <w:spacing w:line="288" w:lineRule="auto"/>
              <w:ind w:leftChars="-95" w:hanging="199" w:hangingChars="95"/>
              <w:jc w:val="right"/>
              <w:rPr>
                <w:rFonts w:hint="eastAsia" w:ascii="宋体" w:hAnsi="宋体" w:cs="宋体"/>
                <w:szCs w:val="21"/>
              </w:rPr>
            </w:pPr>
            <w:r>
              <w:rPr>
                <w:rFonts w:hint="eastAsia" w:ascii="宋体" w:hAnsi="宋体" w:cs="宋体"/>
                <w:szCs w:val="21"/>
              </w:rPr>
              <w:t>（总分100分）</w:t>
            </w:r>
          </w:p>
        </w:tc>
        <w:tc>
          <w:tcPr>
            <w:tcW w:w="7022" w:type="dxa"/>
            <w:vAlign w:val="center"/>
          </w:tcPr>
          <w:p w14:paraId="5190C56F">
            <w:pPr>
              <w:wordWrap w:val="0"/>
              <w:spacing w:line="288" w:lineRule="auto"/>
              <w:rPr>
                <w:rFonts w:hint="eastAsia" w:ascii="宋体" w:hAnsi="宋体" w:cs="宋体"/>
                <w:szCs w:val="21"/>
              </w:rPr>
            </w:pPr>
            <w:r>
              <w:rPr>
                <w:rFonts w:hint="eastAsia" w:ascii="宋体" w:hAnsi="宋体" w:cs="宋体"/>
                <w:szCs w:val="21"/>
              </w:rPr>
              <w:t xml:space="preserve">第一个信封（商务及技术文件）评分分值构成： </w:t>
            </w:r>
          </w:p>
          <w:p w14:paraId="39F32704">
            <w:pPr>
              <w:wordWrap w:val="0"/>
              <w:spacing w:line="288" w:lineRule="auto"/>
              <w:rPr>
                <w:rFonts w:hint="eastAsia" w:ascii="宋体" w:hAnsi="宋体" w:cs="宋体"/>
                <w:szCs w:val="21"/>
              </w:rPr>
            </w:pPr>
            <w:r>
              <w:rPr>
                <w:rFonts w:hint="eastAsia" w:ascii="宋体" w:hAnsi="宋体" w:cs="宋体"/>
                <w:szCs w:val="21"/>
              </w:rPr>
              <w:t xml:space="preserve">技术服务建议书：50分 </w:t>
            </w:r>
          </w:p>
          <w:p w14:paraId="402C8950">
            <w:pPr>
              <w:wordWrap w:val="0"/>
              <w:spacing w:line="288" w:lineRule="auto"/>
              <w:rPr>
                <w:rFonts w:hint="eastAsia" w:ascii="宋体" w:hAnsi="宋体" w:cs="宋体"/>
                <w:szCs w:val="21"/>
              </w:rPr>
            </w:pPr>
            <w:r>
              <w:rPr>
                <w:rFonts w:hint="eastAsia" w:ascii="宋体" w:hAnsi="宋体" w:cs="宋体"/>
                <w:szCs w:val="21"/>
              </w:rPr>
              <w:t>主要人员：20分</w:t>
            </w:r>
          </w:p>
          <w:p w14:paraId="079C9922">
            <w:pPr>
              <w:wordWrap w:val="0"/>
              <w:spacing w:line="288" w:lineRule="auto"/>
              <w:rPr>
                <w:rFonts w:hint="eastAsia" w:ascii="宋体" w:hAnsi="宋体" w:cs="宋体"/>
                <w:szCs w:val="21"/>
              </w:rPr>
            </w:pPr>
            <w:r>
              <w:rPr>
                <w:rFonts w:hint="eastAsia" w:ascii="宋体" w:hAnsi="宋体" w:cs="宋体"/>
                <w:szCs w:val="21"/>
              </w:rPr>
              <w:t xml:space="preserve">业    绩：20分 </w:t>
            </w:r>
          </w:p>
          <w:p w14:paraId="1DAB6361">
            <w:pPr>
              <w:wordWrap w:val="0"/>
              <w:spacing w:line="288" w:lineRule="auto"/>
              <w:rPr>
                <w:rFonts w:hint="eastAsia" w:ascii="宋体" w:hAnsi="宋体" w:cs="宋体"/>
                <w:szCs w:val="21"/>
              </w:rPr>
            </w:pPr>
            <w:r>
              <w:rPr>
                <w:rFonts w:hint="eastAsia" w:ascii="宋体" w:hAnsi="宋体" w:cs="宋体"/>
                <w:szCs w:val="21"/>
              </w:rPr>
              <w:t xml:space="preserve">第二个信封（报价文件）评分分值构成： </w:t>
            </w:r>
          </w:p>
          <w:p w14:paraId="5310324A">
            <w:pPr>
              <w:wordWrap w:val="0"/>
              <w:spacing w:line="288" w:lineRule="auto"/>
              <w:rPr>
                <w:rFonts w:hint="eastAsia" w:ascii="宋体" w:hAnsi="宋体" w:cs="宋体"/>
                <w:szCs w:val="21"/>
              </w:rPr>
            </w:pPr>
            <w:r>
              <w:rPr>
                <w:rFonts w:hint="eastAsia" w:ascii="宋体" w:hAnsi="宋体" w:cs="宋体"/>
                <w:szCs w:val="21"/>
              </w:rPr>
              <w:t>评标价：10分</w:t>
            </w:r>
          </w:p>
        </w:tc>
      </w:tr>
      <w:tr w14:paraId="1692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7D0A66A2">
            <w:pPr>
              <w:wordWrap w:val="0"/>
              <w:rPr>
                <w:rFonts w:hint="eastAsia" w:ascii="宋体" w:hAnsi="宋体" w:cs="宋体"/>
                <w:szCs w:val="21"/>
              </w:rPr>
            </w:pPr>
            <w:r>
              <w:rPr>
                <w:rFonts w:hint="eastAsia" w:ascii="宋体" w:hAnsi="宋体" w:cs="宋体"/>
                <w:szCs w:val="21"/>
              </w:rPr>
              <w:t>2.2.2</w:t>
            </w:r>
          </w:p>
        </w:tc>
        <w:tc>
          <w:tcPr>
            <w:tcW w:w="1500" w:type="dxa"/>
            <w:vAlign w:val="center"/>
          </w:tcPr>
          <w:p w14:paraId="13104253">
            <w:pPr>
              <w:wordWrap w:val="0"/>
              <w:snapToGrid w:val="0"/>
              <w:spacing w:line="288" w:lineRule="auto"/>
              <w:jc w:val="center"/>
              <w:rPr>
                <w:rFonts w:hint="eastAsia" w:ascii="宋体" w:hAnsi="宋体" w:cs="宋体"/>
                <w:szCs w:val="21"/>
              </w:rPr>
            </w:pPr>
            <w:r>
              <w:rPr>
                <w:rFonts w:hint="eastAsia" w:ascii="宋体" w:hAnsi="宋体" w:cs="宋体"/>
                <w:szCs w:val="21"/>
              </w:rPr>
              <w:t>评标基准价计 算方法</w:t>
            </w:r>
          </w:p>
          <w:p w14:paraId="71CD2C29">
            <w:pPr>
              <w:wordWrap w:val="0"/>
              <w:snapToGrid w:val="0"/>
              <w:spacing w:line="288" w:lineRule="auto"/>
              <w:jc w:val="center"/>
              <w:rPr>
                <w:rFonts w:hint="eastAsia" w:ascii="宋体" w:hAnsi="宋体" w:cs="宋体"/>
                <w:szCs w:val="21"/>
              </w:rPr>
            </w:pPr>
          </w:p>
        </w:tc>
        <w:tc>
          <w:tcPr>
            <w:tcW w:w="7022" w:type="dxa"/>
            <w:vAlign w:val="center"/>
          </w:tcPr>
          <w:p w14:paraId="67242212">
            <w:pPr>
              <w:wordWrap w:val="0"/>
              <w:spacing w:line="288" w:lineRule="auto"/>
              <w:rPr>
                <w:rFonts w:hint="eastAsia" w:ascii="宋体" w:hAnsi="宋体" w:cs="宋体"/>
                <w:szCs w:val="21"/>
              </w:rPr>
            </w:pPr>
            <w:r>
              <w:rPr>
                <w:rFonts w:hint="eastAsia" w:ascii="宋体" w:hAnsi="宋体" w:cs="宋体"/>
                <w:szCs w:val="21"/>
              </w:rPr>
              <w:t xml:space="preserve">评标基准价的计算： </w:t>
            </w:r>
          </w:p>
          <w:p w14:paraId="703BEC12">
            <w:pPr>
              <w:spacing w:line="288" w:lineRule="auto"/>
              <w:rPr>
                <w:rFonts w:hint="eastAsia" w:ascii="宋体" w:hAnsi="宋体" w:cs="宋体"/>
                <w:szCs w:val="21"/>
              </w:rPr>
            </w:pPr>
            <w:r>
              <w:rPr>
                <w:rFonts w:hint="eastAsia" w:ascii="宋体" w:hAnsi="宋体" w:cs="宋体"/>
              </w:rPr>
              <w:t>在第二个信封</w:t>
            </w:r>
            <w:r>
              <w:rPr>
                <w:rFonts w:hint="eastAsia" w:ascii="宋体" w:hAnsi="宋体" w:cs="宋体"/>
                <w:szCs w:val="21"/>
              </w:rPr>
              <w:t>开标</w:t>
            </w:r>
            <w:r>
              <w:rPr>
                <w:rFonts w:hint="eastAsia" w:ascii="宋体" w:hAnsi="宋体" w:cs="宋体"/>
              </w:rPr>
              <w:t>现场，招标人将当场计算并宣布评标基准价。</w:t>
            </w:r>
          </w:p>
          <w:p w14:paraId="45DC5F15">
            <w:pPr>
              <w:wordWrap w:val="0"/>
              <w:spacing w:line="288" w:lineRule="auto"/>
              <w:rPr>
                <w:rFonts w:hint="eastAsia" w:ascii="宋体" w:hAnsi="宋体" w:cs="宋体"/>
                <w:szCs w:val="21"/>
              </w:rPr>
            </w:pPr>
            <w:r>
              <w:rPr>
                <w:rFonts w:hint="eastAsia" w:ascii="宋体" w:hAnsi="宋体" w:cs="宋体"/>
                <w:szCs w:val="21"/>
              </w:rPr>
              <w:t xml:space="preserve">（1）评标价的确定： </w:t>
            </w:r>
          </w:p>
          <w:p w14:paraId="32387BE0">
            <w:pPr>
              <w:wordWrap w:val="0"/>
              <w:spacing w:line="288" w:lineRule="auto"/>
              <w:rPr>
                <w:rFonts w:hint="eastAsia" w:ascii="宋体" w:hAnsi="宋体" w:cs="宋体"/>
                <w:szCs w:val="21"/>
              </w:rPr>
            </w:pPr>
            <w:r>
              <w:rPr>
                <w:rFonts w:hint="eastAsia" w:ascii="宋体" w:hAnsi="宋体" w:cs="宋体"/>
                <w:szCs w:val="21"/>
              </w:rPr>
              <w:t xml:space="preserve">评标价=投标函文字报价 </w:t>
            </w:r>
          </w:p>
          <w:p w14:paraId="3BF512A6">
            <w:pPr>
              <w:wordWrap w:val="0"/>
              <w:spacing w:line="288" w:lineRule="auto"/>
              <w:rPr>
                <w:rFonts w:hint="eastAsia" w:ascii="宋体" w:hAnsi="宋体" w:cs="宋体"/>
                <w:szCs w:val="21"/>
              </w:rPr>
            </w:pPr>
            <w:r>
              <w:rPr>
                <w:rFonts w:hint="eastAsia" w:ascii="宋体" w:hAnsi="宋体" w:cs="宋体"/>
                <w:szCs w:val="21"/>
              </w:rPr>
              <w:t xml:space="preserve">（2）评标价平均值的计算： </w:t>
            </w:r>
          </w:p>
          <w:p w14:paraId="43D92EB7">
            <w:pPr>
              <w:wordWrap w:val="0"/>
              <w:spacing w:line="288" w:lineRule="auto"/>
              <w:rPr>
                <w:rFonts w:hint="eastAsia" w:ascii="宋体" w:hAnsi="宋体" w:cs="宋体"/>
                <w:szCs w:val="21"/>
              </w:rPr>
            </w:pPr>
            <w:r>
              <w:rPr>
                <w:rFonts w:hint="eastAsia" w:ascii="宋体" w:hAnsi="宋体" w:cs="宋体"/>
                <w:szCs w:val="21"/>
              </w:rPr>
              <w:t>除按第二章“投标人须知”第 5.2.3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7DE1F619">
            <w:pPr>
              <w:wordWrap w:val="0"/>
              <w:spacing w:line="288" w:lineRule="auto"/>
              <w:rPr>
                <w:rFonts w:hint="eastAsia" w:ascii="宋体" w:hAnsi="宋体" w:cs="宋体"/>
                <w:szCs w:val="21"/>
              </w:rPr>
            </w:pPr>
            <w:r>
              <w:rPr>
                <w:rFonts w:hint="eastAsia" w:ascii="宋体" w:hAnsi="宋体" w:cs="宋体"/>
                <w:szCs w:val="21"/>
              </w:rPr>
              <w:t xml:space="preserve">（3）评标基准价的确定： </w:t>
            </w:r>
          </w:p>
          <w:p w14:paraId="60AB1231">
            <w:pPr>
              <w:wordWrap w:val="0"/>
              <w:spacing w:line="288" w:lineRule="auto"/>
              <w:rPr>
                <w:rFonts w:hint="eastAsia" w:ascii="宋体" w:hAnsi="宋体" w:cs="宋体"/>
                <w:szCs w:val="21"/>
              </w:rPr>
            </w:pPr>
            <w:r>
              <w:rPr>
                <w:rFonts w:hint="eastAsia" w:ascii="宋体" w:hAnsi="宋体" w:cs="宋体"/>
                <w:szCs w:val="21"/>
              </w:rPr>
              <w:t xml:space="preserve">将评标价平均值直接作为评标基准价（评标基准价保留两位小数，第三位四舍五入）。 </w:t>
            </w:r>
          </w:p>
          <w:p w14:paraId="1DE5DE69">
            <w:pPr>
              <w:wordWrap w:val="0"/>
              <w:spacing w:line="288" w:lineRule="auto"/>
              <w:rPr>
                <w:rFonts w:hint="eastAsia" w:ascii="宋体" w:hAnsi="宋体" w:cs="宋体"/>
                <w:szCs w:val="21"/>
              </w:rPr>
            </w:pPr>
            <w:r>
              <w:rPr>
                <w:rFonts w:hint="eastAsia" w:ascii="宋体" w:hAnsi="宋体" w:cs="宋体"/>
                <w:szCs w:val="21"/>
              </w:rPr>
              <w:t xml:space="preserve">在评标过程中，评标委员会应对招标人计算的评标基准价进行复核，存在计算错误的应予以修正并在评标报告中作出说明。除此之外，评标基准价在整个评标期间保持不变，不随任何因素发生变化。 </w:t>
            </w:r>
          </w:p>
        </w:tc>
      </w:tr>
      <w:tr w14:paraId="27A8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7DB8E1E7">
            <w:pPr>
              <w:wordWrap w:val="0"/>
              <w:rPr>
                <w:rFonts w:hint="eastAsia" w:ascii="宋体" w:hAnsi="宋体" w:cs="宋体"/>
                <w:szCs w:val="21"/>
              </w:rPr>
            </w:pPr>
            <w:r>
              <w:rPr>
                <w:rFonts w:hint="eastAsia" w:ascii="宋体" w:hAnsi="宋体" w:cs="宋体"/>
                <w:szCs w:val="21"/>
              </w:rPr>
              <w:t>2.2.3</w:t>
            </w:r>
          </w:p>
        </w:tc>
        <w:tc>
          <w:tcPr>
            <w:tcW w:w="1500" w:type="dxa"/>
            <w:vAlign w:val="center"/>
          </w:tcPr>
          <w:p w14:paraId="38BF63E3">
            <w:pPr>
              <w:wordWrap w:val="0"/>
              <w:snapToGrid w:val="0"/>
              <w:spacing w:line="288" w:lineRule="auto"/>
              <w:jc w:val="center"/>
              <w:rPr>
                <w:rFonts w:hint="eastAsia" w:ascii="宋体" w:hAnsi="宋体" w:cs="宋体"/>
                <w:szCs w:val="21"/>
              </w:rPr>
            </w:pPr>
            <w:r>
              <w:rPr>
                <w:rFonts w:hint="eastAsia" w:ascii="宋体" w:hAnsi="宋体" w:cs="宋体"/>
                <w:szCs w:val="21"/>
              </w:rPr>
              <w:t>评标价的偏差 率计算公式</w:t>
            </w:r>
          </w:p>
        </w:tc>
        <w:tc>
          <w:tcPr>
            <w:tcW w:w="7022" w:type="dxa"/>
            <w:vAlign w:val="center"/>
          </w:tcPr>
          <w:p w14:paraId="2167D6CE">
            <w:pPr>
              <w:wordWrap w:val="0"/>
              <w:spacing w:line="288" w:lineRule="auto"/>
              <w:rPr>
                <w:rFonts w:hint="eastAsia" w:ascii="宋体" w:hAnsi="宋体" w:cs="宋体"/>
                <w:szCs w:val="21"/>
              </w:rPr>
            </w:pPr>
            <w:r>
              <w:rPr>
                <w:rFonts w:hint="eastAsia" w:ascii="宋体" w:hAnsi="宋体" w:cs="宋体"/>
                <w:szCs w:val="21"/>
              </w:rPr>
              <w:t>偏差率=100%×（投标人评标价-评标基准价）/评标基准价</w:t>
            </w:r>
          </w:p>
        </w:tc>
      </w:tr>
      <w:tr w14:paraId="0C96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0187E2EF">
            <w:pPr>
              <w:wordWrap w:val="0"/>
              <w:rPr>
                <w:rFonts w:hint="eastAsia" w:ascii="宋体" w:hAnsi="宋体" w:cs="宋体"/>
                <w:szCs w:val="21"/>
              </w:rPr>
            </w:pPr>
            <w:r>
              <w:rPr>
                <w:rFonts w:hint="eastAsia" w:ascii="宋体" w:hAnsi="宋体" w:cs="宋体"/>
                <w:szCs w:val="21"/>
              </w:rPr>
              <w:t>3.6.1</w:t>
            </w:r>
          </w:p>
        </w:tc>
        <w:tc>
          <w:tcPr>
            <w:tcW w:w="1500" w:type="dxa"/>
            <w:vAlign w:val="center"/>
          </w:tcPr>
          <w:p w14:paraId="55199A2E">
            <w:pPr>
              <w:wordWrap w:val="0"/>
              <w:snapToGrid w:val="0"/>
              <w:spacing w:line="288" w:lineRule="auto"/>
              <w:jc w:val="center"/>
              <w:rPr>
                <w:rFonts w:hint="eastAsia" w:ascii="宋体" w:hAnsi="宋体" w:cs="宋体"/>
                <w:szCs w:val="21"/>
              </w:rPr>
            </w:pPr>
            <w:r>
              <w:rPr>
                <w:rFonts w:hint="eastAsia" w:ascii="宋体" w:hAnsi="宋体" w:cs="宋体"/>
                <w:szCs w:val="21"/>
              </w:rPr>
              <w:t>投标文件相关 信息的核查</w:t>
            </w:r>
          </w:p>
        </w:tc>
        <w:tc>
          <w:tcPr>
            <w:tcW w:w="7022" w:type="dxa"/>
            <w:vAlign w:val="center"/>
          </w:tcPr>
          <w:p w14:paraId="523CA8C2">
            <w:pPr>
              <w:wordWrap w:val="0"/>
              <w:spacing w:line="288" w:lineRule="auto"/>
              <w:rPr>
                <w:rFonts w:hint="eastAsia" w:ascii="宋体" w:hAnsi="宋体" w:cs="宋体"/>
                <w:szCs w:val="21"/>
              </w:rPr>
            </w:pPr>
            <w:r>
              <w:rPr>
                <w:rFonts w:hint="eastAsia" w:ascii="宋体" w:hAnsi="宋体" w:cs="宋体"/>
                <w:szCs w:val="21"/>
              </w:rPr>
              <w:t xml:space="preserve">本款修改为： </w:t>
            </w:r>
          </w:p>
          <w:p w14:paraId="7C22FBCE">
            <w:pPr>
              <w:wordWrap w:val="0"/>
              <w:spacing w:line="288" w:lineRule="auto"/>
              <w:ind w:firstLine="218" w:firstLineChars="104"/>
              <w:rPr>
                <w:rFonts w:hint="eastAsia" w:ascii="宋体" w:hAnsi="宋体" w:cs="宋体"/>
                <w:szCs w:val="21"/>
              </w:rPr>
            </w:pPr>
            <w:r>
              <w:rPr>
                <w:rFonts w:hint="eastAsia" w:ascii="宋体" w:hAnsi="宋体" w:cs="宋体"/>
                <w:szCs w:val="21"/>
              </w:rPr>
              <w:t xml:space="preserve">评标委员会应查询“国家企业信用信息公示系统”和“信用中国”网站，对投标人的信用情况进行核实。若投标人在“国家企业信用信息公示系统”存在被列入“严重违法失信名单（黑名单）信息（不含分公司，事业单位不适用）”或在“信用中国”网站存在被列入“失信被执行人、经营(活动)异常名录、重大税收违法失信主体、政府采购严重违法失信行为记录名单（均不含分公司）”情形的，评标委员会应否决其投标。 </w:t>
            </w:r>
          </w:p>
          <w:p w14:paraId="65230C2A">
            <w:pPr>
              <w:wordWrap w:val="0"/>
              <w:spacing w:line="288" w:lineRule="auto"/>
              <w:ind w:firstLine="218" w:firstLineChars="104"/>
              <w:rPr>
                <w:rFonts w:hint="eastAsia" w:ascii="宋体" w:hAnsi="宋体" w:cs="宋体"/>
                <w:szCs w:val="21"/>
              </w:rPr>
            </w:pPr>
            <w:r>
              <w:rPr>
                <w:rFonts w:hint="eastAsia" w:ascii="宋体" w:hAnsi="宋体" w:cs="宋体"/>
                <w:szCs w:val="21"/>
              </w:rPr>
              <w:t xml:space="preserve">若投标文件未附相关网站查询的截图，或其载明的信息与相关网站查询的信息不符，使得投标人的资格条件不符合招标文件规定的，评标委员会应否决其投标。 </w:t>
            </w:r>
          </w:p>
        </w:tc>
      </w:tr>
      <w:tr w14:paraId="472B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66" w:type="dxa"/>
            <w:gridSpan w:val="3"/>
            <w:vAlign w:val="center"/>
          </w:tcPr>
          <w:p w14:paraId="06535D34">
            <w:pPr>
              <w:wordWrap w:val="0"/>
              <w:rPr>
                <w:rFonts w:hint="eastAsia" w:ascii="宋体" w:hAnsi="宋体" w:cs="宋体"/>
                <w:szCs w:val="21"/>
              </w:rPr>
            </w:pPr>
            <w:r>
              <w:rPr>
                <w:rFonts w:hint="eastAsia" w:ascii="宋体" w:hAnsi="宋体" w:cs="宋体"/>
                <w:szCs w:val="21"/>
              </w:rPr>
              <w:t>需要补充的其他内容：无</w:t>
            </w:r>
          </w:p>
        </w:tc>
      </w:tr>
    </w:tbl>
    <w:p w14:paraId="4D307257">
      <w:pPr>
        <w:widowControl/>
        <w:wordWrap w:val="0"/>
        <w:jc w:val="left"/>
        <w:rPr>
          <w:rFonts w:hint="eastAsia" w:ascii="宋体" w:hAnsi="宋体" w:cs="宋体"/>
          <w:szCs w:val="21"/>
        </w:rPr>
      </w:pPr>
      <w:r>
        <w:rPr>
          <w:rFonts w:hint="eastAsia" w:ascii="宋体" w:hAnsi="宋体" w:cs="宋体"/>
          <w:b/>
          <w:bCs/>
          <w:kern w:val="0"/>
          <w:szCs w:val="21"/>
          <w:lang w:bidi="ar"/>
        </w:rPr>
        <w:t>具体评分标准如下：</w:t>
      </w:r>
    </w:p>
    <w:tbl>
      <w:tblPr>
        <w:tblStyle w:val="17"/>
        <w:tblW w:w="9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1170"/>
        <w:gridCol w:w="1550"/>
        <w:gridCol w:w="1874"/>
        <w:gridCol w:w="3825"/>
      </w:tblGrid>
      <w:tr w14:paraId="6CC2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Align w:val="center"/>
          </w:tcPr>
          <w:p w14:paraId="37C70775">
            <w:pPr>
              <w:wordWrap w:val="0"/>
              <w:jc w:val="center"/>
              <w:rPr>
                <w:rFonts w:hint="eastAsia" w:ascii="宋体" w:hAnsi="宋体" w:cs="宋体"/>
                <w:szCs w:val="21"/>
              </w:rPr>
            </w:pPr>
            <w:r>
              <w:rPr>
                <w:rFonts w:hint="eastAsia" w:ascii="宋体" w:hAnsi="宋体" w:cs="宋体"/>
                <w:szCs w:val="21"/>
              </w:rPr>
              <w:t>条款号</w:t>
            </w:r>
          </w:p>
        </w:tc>
        <w:tc>
          <w:tcPr>
            <w:tcW w:w="8419" w:type="dxa"/>
            <w:gridSpan w:val="4"/>
            <w:vAlign w:val="center"/>
          </w:tcPr>
          <w:p w14:paraId="6975F19D">
            <w:pPr>
              <w:wordWrap w:val="0"/>
              <w:jc w:val="center"/>
              <w:rPr>
                <w:rFonts w:hint="eastAsia" w:ascii="宋体" w:hAnsi="宋体" w:cs="宋体"/>
                <w:szCs w:val="21"/>
              </w:rPr>
            </w:pPr>
            <w:r>
              <w:rPr>
                <w:rFonts w:hint="eastAsia" w:ascii="宋体" w:hAnsi="宋体" w:cs="宋体"/>
                <w:szCs w:val="21"/>
              </w:rPr>
              <w:t>评审因素和标准</w:t>
            </w:r>
          </w:p>
        </w:tc>
      </w:tr>
      <w:tr w14:paraId="5575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Merge w:val="restart"/>
            <w:vAlign w:val="center"/>
          </w:tcPr>
          <w:p w14:paraId="0DFB72BD">
            <w:pPr>
              <w:wordWrap w:val="0"/>
              <w:jc w:val="center"/>
              <w:rPr>
                <w:rFonts w:hint="eastAsia" w:ascii="宋体" w:hAnsi="宋体" w:cs="宋体"/>
                <w:szCs w:val="21"/>
              </w:rPr>
            </w:pPr>
            <w:r>
              <w:rPr>
                <w:rFonts w:hint="eastAsia" w:ascii="宋体" w:hAnsi="宋体" w:cs="宋体"/>
                <w:szCs w:val="21"/>
              </w:rPr>
              <w:t>2.2.4（1）</w:t>
            </w:r>
          </w:p>
        </w:tc>
        <w:tc>
          <w:tcPr>
            <w:tcW w:w="1170" w:type="dxa"/>
            <w:vMerge w:val="restart"/>
            <w:vAlign w:val="center"/>
          </w:tcPr>
          <w:p w14:paraId="026D7A08">
            <w:pPr>
              <w:wordWrap w:val="0"/>
              <w:jc w:val="center"/>
              <w:rPr>
                <w:rFonts w:hint="eastAsia" w:ascii="宋体" w:hAnsi="宋体" w:cs="宋体"/>
                <w:szCs w:val="21"/>
              </w:rPr>
            </w:pPr>
            <w:r>
              <w:rPr>
                <w:rFonts w:hint="eastAsia" w:ascii="宋体" w:hAnsi="宋体" w:cs="宋体"/>
                <w:szCs w:val="21"/>
              </w:rPr>
              <w:t>技术服务</w:t>
            </w:r>
          </w:p>
          <w:p w14:paraId="3CEF2F51">
            <w:pPr>
              <w:wordWrap w:val="0"/>
              <w:jc w:val="center"/>
              <w:rPr>
                <w:rFonts w:hint="eastAsia" w:ascii="宋体" w:hAnsi="宋体" w:cs="宋体"/>
                <w:szCs w:val="21"/>
              </w:rPr>
            </w:pPr>
            <w:r>
              <w:rPr>
                <w:rFonts w:hint="eastAsia" w:ascii="宋体" w:hAnsi="宋体" w:cs="宋体"/>
                <w:szCs w:val="21"/>
              </w:rPr>
              <w:t>建议书</w:t>
            </w:r>
          </w:p>
          <w:p w14:paraId="3EF708ED">
            <w:pPr>
              <w:wordWrap w:val="0"/>
              <w:jc w:val="center"/>
              <w:rPr>
                <w:rFonts w:hint="eastAsia" w:ascii="宋体" w:hAnsi="宋体" w:cs="宋体"/>
                <w:szCs w:val="21"/>
              </w:rPr>
            </w:pPr>
            <w:r>
              <w:rPr>
                <w:rFonts w:hint="eastAsia" w:ascii="宋体" w:hAnsi="宋体" w:cs="宋体"/>
                <w:szCs w:val="21"/>
              </w:rPr>
              <w:t>（50分）</w:t>
            </w:r>
          </w:p>
          <w:p w14:paraId="261E360E">
            <w:pPr>
              <w:wordWrap w:val="0"/>
              <w:jc w:val="center"/>
              <w:rPr>
                <w:rFonts w:hint="eastAsia" w:ascii="宋体" w:hAnsi="宋体" w:cs="宋体"/>
                <w:szCs w:val="21"/>
              </w:rPr>
            </w:pPr>
          </w:p>
        </w:tc>
        <w:tc>
          <w:tcPr>
            <w:tcW w:w="1550" w:type="dxa"/>
            <w:vMerge w:val="restart"/>
            <w:vAlign w:val="center"/>
          </w:tcPr>
          <w:p w14:paraId="700C7546">
            <w:pPr>
              <w:tabs>
                <w:tab w:val="left" w:pos="1480"/>
              </w:tabs>
              <w:wordWrap w:val="0"/>
              <w:adjustRightInd w:val="0"/>
              <w:jc w:val="center"/>
              <w:rPr>
                <w:rFonts w:hint="eastAsia" w:ascii="宋体" w:hAnsi="宋体" w:cs="宋体"/>
                <w:szCs w:val="21"/>
              </w:rPr>
            </w:pPr>
            <w:r>
              <w:rPr>
                <w:rFonts w:hint="eastAsia" w:ascii="宋体" w:hAnsi="宋体" w:cs="宋体"/>
                <w:szCs w:val="21"/>
              </w:rPr>
              <w:t>对研究项目的理解（10分）</w:t>
            </w:r>
          </w:p>
          <w:p w14:paraId="28FBF57E">
            <w:pPr>
              <w:tabs>
                <w:tab w:val="left" w:pos="1480"/>
              </w:tabs>
              <w:wordWrap w:val="0"/>
              <w:adjustRightInd w:val="0"/>
              <w:jc w:val="center"/>
              <w:rPr>
                <w:rFonts w:hint="eastAsia" w:ascii="宋体" w:hAnsi="宋体" w:cs="宋体"/>
                <w:szCs w:val="21"/>
              </w:rPr>
            </w:pPr>
          </w:p>
        </w:tc>
        <w:tc>
          <w:tcPr>
            <w:tcW w:w="1874" w:type="dxa"/>
            <w:vMerge w:val="restart"/>
            <w:vAlign w:val="center"/>
          </w:tcPr>
          <w:p w14:paraId="6505AE60">
            <w:pPr>
              <w:widowControl/>
              <w:wordWrap w:val="0"/>
              <w:jc w:val="center"/>
              <w:rPr>
                <w:rFonts w:hint="eastAsia" w:ascii="宋体" w:hAnsi="宋体" w:cs="宋体"/>
                <w:szCs w:val="21"/>
              </w:rPr>
            </w:pPr>
            <w:r>
              <w:rPr>
                <w:rFonts w:hint="eastAsia" w:ascii="宋体" w:hAnsi="宋体" w:cs="宋体"/>
                <w:kern w:val="0"/>
                <w:szCs w:val="21"/>
                <w:lang w:bidi="ar"/>
              </w:rPr>
              <w:t>项目研究的目的与意义描述（5分）</w:t>
            </w:r>
          </w:p>
        </w:tc>
        <w:tc>
          <w:tcPr>
            <w:tcW w:w="3825" w:type="dxa"/>
            <w:vAlign w:val="center"/>
          </w:tcPr>
          <w:p w14:paraId="25FF7D48">
            <w:pPr>
              <w:widowControl/>
              <w:wordWrap w:val="0"/>
              <w:jc w:val="left"/>
              <w:rPr>
                <w:rFonts w:hint="eastAsia" w:ascii="宋体" w:hAnsi="宋体" w:cs="宋体"/>
                <w:szCs w:val="21"/>
              </w:rPr>
            </w:pPr>
            <w:r>
              <w:rPr>
                <w:rFonts w:hint="eastAsia" w:ascii="宋体" w:hAnsi="宋体" w:cs="宋体"/>
                <w:kern w:val="0"/>
                <w:szCs w:val="21"/>
                <w:lang w:bidi="ar"/>
              </w:rPr>
              <w:t>目的明确、描述清晰 4-5分</w:t>
            </w:r>
          </w:p>
        </w:tc>
      </w:tr>
      <w:tr w14:paraId="4E70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Merge w:val="continue"/>
            <w:vAlign w:val="center"/>
          </w:tcPr>
          <w:p w14:paraId="29680C25">
            <w:pPr>
              <w:wordWrap w:val="0"/>
              <w:jc w:val="center"/>
              <w:rPr>
                <w:rFonts w:hint="eastAsia" w:ascii="宋体" w:hAnsi="宋体" w:cs="宋体"/>
                <w:szCs w:val="21"/>
              </w:rPr>
            </w:pPr>
          </w:p>
        </w:tc>
        <w:tc>
          <w:tcPr>
            <w:tcW w:w="1170" w:type="dxa"/>
            <w:vMerge w:val="continue"/>
            <w:vAlign w:val="center"/>
          </w:tcPr>
          <w:p w14:paraId="17A69DC4">
            <w:pPr>
              <w:wordWrap w:val="0"/>
              <w:jc w:val="center"/>
              <w:rPr>
                <w:rFonts w:hint="eastAsia" w:ascii="宋体" w:hAnsi="宋体" w:cs="宋体"/>
                <w:szCs w:val="21"/>
              </w:rPr>
            </w:pPr>
          </w:p>
        </w:tc>
        <w:tc>
          <w:tcPr>
            <w:tcW w:w="1550" w:type="dxa"/>
            <w:vMerge w:val="continue"/>
            <w:vAlign w:val="center"/>
          </w:tcPr>
          <w:p w14:paraId="6DFF3620">
            <w:pPr>
              <w:tabs>
                <w:tab w:val="left" w:pos="1480"/>
              </w:tabs>
              <w:wordWrap w:val="0"/>
              <w:adjustRightInd w:val="0"/>
              <w:jc w:val="center"/>
              <w:rPr>
                <w:rFonts w:hint="eastAsia" w:ascii="宋体" w:hAnsi="宋体" w:cs="宋体"/>
                <w:szCs w:val="21"/>
              </w:rPr>
            </w:pPr>
          </w:p>
        </w:tc>
        <w:tc>
          <w:tcPr>
            <w:tcW w:w="1874" w:type="dxa"/>
            <w:vMerge w:val="continue"/>
            <w:vAlign w:val="center"/>
          </w:tcPr>
          <w:p w14:paraId="72CC663A">
            <w:pPr>
              <w:wordWrap w:val="0"/>
              <w:jc w:val="center"/>
              <w:rPr>
                <w:rFonts w:hint="eastAsia" w:ascii="宋体" w:hAnsi="宋体" w:cs="宋体"/>
                <w:szCs w:val="21"/>
              </w:rPr>
            </w:pPr>
          </w:p>
        </w:tc>
        <w:tc>
          <w:tcPr>
            <w:tcW w:w="3825" w:type="dxa"/>
            <w:vAlign w:val="center"/>
          </w:tcPr>
          <w:p w14:paraId="267AC1F9">
            <w:pPr>
              <w:wordWrap w:val="0"/>
              <w:jc w:val="left"/>
              <w:rPr>
                <w:rFonts w:hint="eastAsia" w:ascii="宋体" w:hAnsi="宋体" w:cs="宋体"/>
                <w:szCs w:val="21"/>
              </w:rPr>
            </w:pPr>
            <w:r>
              <w:rPr>
                <w:rFonts w:hint="eastAsia" w:ascii="宋体" w:hAnsi="宋体" w:cs="宋体"/>
                <w:szCs w:val="21"/>
              </w:rPr>
              <w:t>目的较明确、描述较清晰3-4分</w:t>
            </w:r>
          </w:p>
        </w:tc>
      </w:tr>
      <w:tr w14:paraId="4554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Merge w:val="continue"/>
            <w:vAlign w:val="center"/>
          </w:tcPr>
          <w:p w14:paraId="408F2CC5">
            <w:pPr>
              <w:wordWrap w:val="0"/>
              <w:jc w:val="center"/>
              <w:rPr>
                <w:rFonts w:hint="eastAsia" w:ascii="宋体" w:hAnsi="宋体" w:cs="宋体"/>
                <w:szCs w:val="21"/>
              </w:rPr>
            </w:pPr>
          </w:p>
        </w:tc>
        <w:tc>
          <w:tcPr>
            <w:tcW w:w="1170" w:type="dxa"/>
            <w:vMerge w:val="continue"/>
            <w:vAlign w:val="center"/>
          </w:tcPr>
          <w:p w14:paraId="4FB55928">
            <w:pPr>
              <w:wordWrap w:val="0"/>
              <w:jc w:val="center"/>
              <w:rPr>
                <w:rFonts w:hint="eastAsia" w:ascii="宋体" w:hAnsi="宋体" w:cs="宋体"/>
                <w:szCs w:val="21"/>
              </w:rPr>
            </w:pPr>
          </w:p>
        </w:tc>
        <w:tc>
          <w:tcPr>
            <w:tcW w:w="1550" w:type="dxa"/>
            <w:vMerge w:val="continue"/>
            <w:vAlign w:val="center"/>
          </w:tcPr>
          <w:p w14:paraId="7B2A3A54">
            <w:pPr>
              <w:tabs>
                <w:tab w:val="left" w:pos="1480"/>
              </w:tabs>
              <w:wordWrap w:val="0"/>
              <w:adjustRightInd w:val="0"/>
              <w:jc w:val="center"/>
              <w:rPr>
                <w:rFonts w:hint="eastAsia" w:ascii="宋体" w:hAnsi="宋体" w:cs="宋体"/>
                <w:szCs w:val="21"/>
              </w:rPr>
            </w:pPr>
          </w:p>
        </w:tc>
        <w:tc>
          <w:tcPr>
            <w:tcW w:w="1874" w:type="dxa"/>
            <w:vMerge w:val="continue"/>
            <w:vAlign w:val="center"/>
          </w:tcPr>
          <w:p w14:paraId="1E0CB0D0">
            <w:pPr>
              <w:wordWrap w:val="0"/>
              <w:jc w:val="center"/>
              <w:rPr>
                <w:rFonts w:hint="eastAsia" w:ascii="宋体" w:hAnsi="宋体" w:cs="宋体"/>
                <w:szCs w:val="21"/>
              </w:rPr>
            </w:pPr>
          </w:p>
        </w:tc>
        <w:tc>
          <w:tcPr>
            <w:tcW w:w="3825" w:type="dxa"/>
            <w:vAlign w:val="center"/>
          </w:tcPr>
          <w:p w14:paraId="67E7DE9F">
            <w:pPr>
              <w:wordWrap w:val="0"/>
              <w:jc w:val="left"/>
              <w:rPr>
                <w:rFonts w:hint="eastAsia" w:ascii="宋体" w:hAnsi="宋体" w:cs="宋体"/>
                <w:szCs w:val="21"/>
              </w:rPr>
            </w:pPr>
            <w:r>
              <w:rPr>
                <w:rFonts w:hint="eastAsia" w:ascii="宋体" w:hAnsi="宋体" w:cs="宋体"/>
                <w:szCs w:val="21"/>
              </w:rPr>
              <w:t>目的基本明确、描述一般 3分</w:t>
            </w:r>
          </w:p>
        </w:tc>
      </w:tr>
      <w:tr w14:paraId="049A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Merge w:val="continue"/>
            <w:vAlign w:val="center"/>
          </w:tcPr>
          <w:p w14:paraId="525C86FC">
            <w:pPr>
              <w:wordWrap w:val="0"/>
              <w:jc w:val="center"/>
              <w:rPr>
                <w:rFonts w:hint="eastAsia" w:ascii="宋体" w:hAnsi="宋体" w:cs="宋体"/>
                <w:szCs w:val="21"/>
              </w:rPr>
            </w:pPr>
          </w:p>
        </w:tc>
        <w:tc>
          <w:tcPr>
            <w:tcW w:w="1170" w:type="dxa"/>
            <w:vMerge w:val="continue"/>
            <w:vAlign w:val="center"/>
          </w:tcPr>
          <w:p w14:paraId="42B340F9">
            <w:pPr>
              <w:wordWrap w:val="0"/>
              <w:jc w:val="center"/>
              <w:rPr>
                <w:rFonts w:hint="eastAsia" w:ascii="宋体" w:hAnsi="宋体" w:cs="宋体"/>
                <w:szCs w:val="21"/>
              </w:rPr>
            </w:pPr>
          </w:p>
        </w:tc>
        <w:tc>
          <w:tcPr>
            <w:tcW w:w="1550" w:type="dxa"/>
            <w:vMerge w:val="continue"/>
            <w:vAlign w:val="center"/>
          </w:tcPr>
          <w:p w14:paraId="71D0589C">
            <w:pPr>
              <w:tabs>
                <w:tab w:val="left" w:pos="1480"/>
              </w:tabs>
              <w:wordWrap w:val="0"/>
              <w:adjustRightInd w:val="0"/>
              <w:jc w:val="center"/>
              <w:rPr>
                <w:rFonts w:hint="eastAsia" w:ascii="宋体" w:hAnsi="宋体" w:cs="宋体"/>
                <w:szCs w:val="21"/>
              </w:rPr>
            </w:pPr>
          </w:p>
        </w:tc>
        <w:tc>
          <w:tcPr>
            <w:tcW w:w="1874" w:type="dxa"/>
            <w:vMerge w:val="restart"/>
            <w:vAlign w:val="center"/>
          </w:tcPr>
          <w:p w14:paraId="60E455CD">
            <w:pPr>
              <w:wordWrap w:val="0"/>
              <w:ind w:left="-42" w:leftChars="-20" w:right="-42" w:rightChars="-20"/>
              <w:jc w:val="center"/>
              <w:rPr>
                <w:rFonts w:hint="eastAsia" w:ascii="宋体" w:hAnsi="宋体" w:cs="宋体"/>
                <w:szCs w:val="21"/>
              </w:rPr>
            </w:pPr>
            <w:r>
              <w:rPr>
                <w:rFonts w:hint="eastAsia" w:ascii="宋体" w:hAnsi="宋体" w:cs="宋体"/>
                <w:szCs w:val="21"/>
              </w:rPr>
              <w:t>国内外研究现状分析及对本研究课题的认识（5分）</w:t>
            </w:r>
          </w:p>
        </w:tc>
        <w:tc>
          <w:tcPr>
            <w:tcW w:w="3825" w:type="dxa"/>
            <w:vAlign w:val="center"/>
          </w:tcPr>
          <w:p w14:paraId="32BC8080">
            <w:pPr>
              <w:wordWrap w:val="0"/>
              <w:jc w:val="left"/>
              <w:rPr>
                <w:rFonts w:hint="eastAsia" w:ascii="宋体" w:hAnsi="宋体" w:cs="宋体"/>
                <w:szCs w:val="21"/>
              </w:rPr>
            </w:pPr>
            <w:r>
              <w:rPr>
                <w:rFonts w:hint="eastAsia" w:ascii="宋体" w:hAnsi="宋体" w:cs="宋体"/>
                <w:szCs w:val="21"/>
              </w:rPr>
              <w:t>了解深入、清楚 4-5分</w:t>
            </w:r>
          </w:p>
        </w:tc>
      </w:tr>
      <w:tr w14:paraId="3DC7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Merge w:val="continue"/>
            <w:vAlign w:val="center"/>
          </w:tcPr>
          <w:p w14:paraId="3605F372">
            <w:pPr>
              <w:wordWrap w:val="0"/>
              <w:jc w:val="center"/>
              <w:rPr>
                <w:rFonts w:hint="eastAsia" w:ascii="宋体" w:hAnsi="宋体" w:cs="宋体"/>
                <w:szCs w:val="21"/>
              </w:rPr>
            </w:pPr>
          </w:p>
        </w:tc>
        <w:tc>
          <w:tcPr>
            <w:tcW w:w="1170" w:type="dxa"/>
            <w:vMerge w:val="continue"/>
            <w:vAlign w:val="center"/>
          </w:tcPr>
          <w:p w14:paraId="1D591FDA">
            <w:pPr>
              <w:wordWrap w:val="0"/>
              <w:jc w:val="center"/>
              <w:rPr>
                <w:rFonts w:hint="eastAsia" w:ascii="宋体" w:hAnsi="宋体" w:cs="宋体"/>
                <w:szCs w:val="21"/>
              </w:rPr>
            </w:pPr>
          </w:p>
        </w:tc>
        <w:tc>
          <w:tcPr>
            <w:tcW w:w="1550" w:type="dxa"/>
            <w:vMerge w:val="continue"/>
            <w:vAlign w:val="center"/>
          </w:tcPr>
          <w:p w14:paraId="7F27B3F3">
            <w:pPr>
              <w:tabs>
                <w:tab w:val="left" w:pos="1480"/>
              </w:tabs>
              <w:wordWrap w:val="0"/>
              <w:adjustRightInd w:val="0"/>
              <w:jc w:val="center"/>
              <w:rPr>
                <w:rFonts w:hint="eastAsia" w:ascii="宋体" w:hAnsi="宋体" w:cs="宋体"/>
                <w:szCs w:val="21"/>
              </w:rPr>
            </w:pPr>
          </w:p>
        </w:tc>
        <w:tc>
          <w:tcPr>
            <w:tcW w:w="1874" w:type="dxa"/>
            <w:vMerge w:val="continue"/>
            <w:vAlign w:val="center"/>
          </w:tcPr>
          <w:p w14:paraId="312F759A">
            <w:pPr>
              <w:wordWrap w:val="0"/>
              <w:jc w:val="center"/>
              <w:rPr>
                <w:rFonts w:hint="eastAsia" w:ascii="宋体" w:hAnsi="宋体" w:cs="宋体"/>
                <w:szCs w:val="21"/>
              </w:rPr>
            </w:pPr>
          </w:p>
        </w:tc>
        <w:tc>
          <w:tcPr>
            <w:tcW w:w="3825" w:type="dxa"/>
            <w:vAlign w:val="center"/>
          </w:tcPr>
          <w:p w14:paraId="04BF6665">
            <w:pPr>
              <w:wordWrap w:val="0"/>
              <w:jc w:val="left"/>
              <w:rPr>
                <w:rFonts w:hint="eastAsia" w:ascii="宋体" w:hAnsi="宋体" w:cs="宋体"/>
                <w:szCs w:val="21"/>
              </w:rPr>
            </w:pPr>
            <w:r>
              <w:rPr>
                <w:rFonts w:hint="eastAsia" w:ascii="宋体" w:hAnsi="宋体" w:cs="宋体"/>
                <w:szCs w:val="21"/>
              </w:rPr>
              <w:t>了解较深入、较清楚 3-4分</w:t>
            </w:r>
          </w:p>
        </w:tc>
      </w:tr>
      <w:tr w14:paraId="0F78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Merge w:val="continue"/>
            <w:vAlign w:val="center"/>
          </w:tcPr>
          <w:p w14:paraId="3B1599F0">
            <w:pPr>
              <w:wordWrap w:val="0"/>
              <w:jc w:val="center"/>
              <w:rPr>
                <w:rFonts w:hint="eastAsia" w:ascii="宋体" w:hAnsi="宋体" w:cs="宋体"/>
                <w:szCs w:val="21"/>
              </w:rPr>
            </w:pPr>
          </w:p>
        </w:tc>
        <w:tc>
          <w:tcPr>
            <w:tcW w:w="1170" w:type="dxa"/>
            <w:vMerge w:val="continue"/>
            <w:vAlign w:val="center"/>
          </w:tcPr>
          <w:p w14:paraId="46BF56D1">
            <w:pPr>
              <w:wordWrap w:val="0"/>
              <w:jc w:val="center"/>
              <w:rPr>
                <w:rFonts w:hint="eastAsia" w:ascii="宋体" w:hAnsi="宋体" w:cs="宋体"/>
                <w:szCs w:val="21"/>
              </w:rPr>
            </w:pPr>
          </w:p>
        </w:tc>
        <w:tc>
          <w:tcPr>
            <w:tcW w:w="1550" w:type="dxa"/>
            <w:vMerge w:val="continue"/>
            <w:vAlign w:val="center"/>
          </w:tcPr>
          <w:p w14:paraId="35726678">
            <w:pPr>
              <w:tabs>
                <w:tab w:val="left" w:pos="1480"/>
              </w:tabs>
              <w:wordWrap w:val="0"/>
              <w:adjustRightInd w:val="0"/>
              <w:jc w:val="center"/>
              <w:rPr>
                <w:rFonts w:hint="eastAsia" w:ascii="宋体" w:hAnsi="宋体" w:cs="宋体"/>
                <w:szCs w:val="21"/>
              </w:rPr>
            </w:pPr>
          </w:p>
        </w:tc>
        <w:tc>
          <w:tcPr>
            <w:tcW w:w="1874" w:type="dxa"/>
            <w:vMerge w:val="continue"/>
            <w:vAlign w:val="center"/>
          </w:tcPr>
          <w:p w14:paraId="00D1DB92">
            <w:pPr>
              <w:wordWrap w:val="0"/>
              <w:jc w:val="center"/>
              <w:rPr>
                <w:rFonts w:hint="eastAsia" w:ascii="宋体" w:hAnsi="宋体" w:cs="宋体"/>
                <w:szCs w:val="21"/>
              </w:rPr>
            </w:pPr>
          </w:p>
        </w:tc>
        <w:tc>
          <w:tcPr>
            <w:tcW w:w="3825" w:type="dxa"/>
            <w:vAlign w:val="center"/>
          </w:tcPr>
          <w:p w14:paraId="0DE11894">
            <w:pPr>
              <w:wordWrap w:val="0"/>
              <w:jc w:val="left"/>
              <w:rPr>
                <w:rFonts w:hint="eastAsia" w:ascii="宋体" w:hAnsi="宋体" w:cs="宋体"/>
                <w:szCs w:val="21"/>
              </w:rPr>
            </w:pPr>
            <w:r>
              <w:rPr>
                <w:rFonts w:hint="eastAsia" w:ascii="宋体" w:hAnsi="宋体" w:cs="宋体"/>
                <w:szCs w:val="21"/>
              </w:rPr>
              <w:t>了解一般 3分</w:t>
            </w:r>
          </w:p>
        </w:tc>
      </w:tr>
      <w:tr w14:paraId="77BF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Merge w:val="continue"/>
            <w:vAlign w:val="center"/>
          </w:tcPr>
          <w:p w14:paraId="22258AFB">
            <w:pPr>
              <w:wordWrap w:val="0"/>
              <w:jc w:val="center"/>
              <w:rPr>
                <w:rFonts w:hint="eastAsia" w:ascii="宋体" w:hAnsi="宋体" w:cs="宋体"/>
                <w:szCs w:val="21"/>
              </w:rPr>
            </w:pPr>
          </w:p>
        </w:tc>
        <w:tc>
          <w:tcPr>
            <w:tcW w:w="1170" w:type="dxa"/>
            <w:vMerge w:val="continue"/>
            <w:vAlign w:val="center"/>
          </w:tcPr>
          <w:p w14:paraId="15518BBA">
            <w:pPr>
              <w:wordWrap w:val="0"/>
              <w:jc w:val="center"/>
              <w:rPr>
                <w:rFonts w:hint="eastAsia" w:ascii="宋体" w:hAnsi="宋体" w:cs="宋体"/>
                <w:szCs w:val="21"/>
              </w:rPr>
            </w:pPr>
          </w:p>
        </w:tc>
        <w:tc>
          <w:tcPr>
            <w:tcW w:w="1550" w:type="dxa"/>
            <w:vMerge w:val="restart"/>
            <w:vAlign w:val="center"/>
          </w:tcPr>
          <w:p w14:paraId="746A13CE">
            <w:pPr>
              <w:tabs>
                <w:tab w:val="left" w:pos="1480"/>
              </w:tabs>
              <w:wordWrap w:val="0"/>
              <w:adjustRightInd w:val="0"/>
              <w:jc w:val="center"/>
              <w:rPr>
                <w:rFonts w:hint="eastAsia" w:ascii="宋体" w:hAnsi="宋体" w:cs="宋体"/>
                <w:szCs w:val="21"/>
              </w:rPr>
            </w:pPr>
            <w:r>
              <w:rPr>
                <w:rFonts w:hint="eastAsia" w:ascii="宋体" w:hAnsi="宋体" w:cs="宋体"/>
                <w:szCs w:val="21"/>
              </w:rPr>
              <w:t>项目研究实施方案（12分）</w:t>
            </w:r>
          </w:p>
        </w:tc>
        <w:tc>
          <w:tcPr>
            <w:tcW w:w="1874" w:type="dxa"/>
            <w:vMerge w:val="restart"/>
            <w:vAlign w:val="center"/>
          </w:tcPr>
          <w:p w14:paraId="2486B4FE">
            <w:pPr>
              <w:wordWrap w:val="0"/>
              <w:jc w:val="center"/>
              <w:rPr>
                <w:rFonts w:hint="eastAsia" w:ascii="宋体" w:hAnsi="宋体" w:cs="宋体"/>
                <w:szCs w:val="21"/>
              </w:rPr>
            </w:pPr>
            <w:r>
              <w:rPr>
                <w:rFonts w:hint="eastAsia" w:ascii="宋体" w:hAnsi="宋体" w:cs="宋体"/>
                <w:szCs w:val="21"/>
              </w:rPr>
              <w:t>研究的主要内容描述（4分）</w:t>
            </w:r>
          </w:p>
        </w:tc>
        <w:tc>
          <w:tcPr>
            <w:tcW w:w="3825" w:type="dxa"/>
            <w:vAlign w:val="center"/>
          </w:tcPr>
          <w:p w14:paraId="5EDA4CC3">
            <w:pPr>
              <w:wordWrap w:val="0"/>
              <w:jc w:val="left"/>
              <w:rPr>
                <w:rFonts w:hint="eastAsia" w:ascii="宋体" w:hAnsi="宋体" w:cs="宋体"/>
                <w:szCs w:val="21"/>
              </w:rPr>
            </w:pPr>
            <w:r>
              <w:rPr>
                <w:rFonts w:hint="eastAsia" w:ascii="宋体" w:hAnsi="宋体" w:cs="宋体"/>
                <w:szCs w:val="21"/>
              </w:rPr>
              <w:t>内容具体，方案切实可行3.2-4分</w:t>
            </w:r>
          </w:p>
        </w:tc>
      </w:tr>
      <w:tr w14:paraId="72FD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Merge w:val="continue"/>
            <w:vAlign w:val="center"/>
          </w:tcPr>
          <w:p w14:paraId="1296D89D">
            <w:pPr>
              <w:wordWrap w:val="0"/>
              <w:jc w:val="center"/>
              <w:rPr>
                <w:rFonts w:hint="eastAsia" w:ascii="宋体" w:hAnsi="宋体" w:cs="宋体"/>
                <w:szCs w:val="21"/>
              </w:rPr>
            </w:pPr>
          </w:p>
        </w:tc>
        <w:tc>
          <w:tcPr>
            <w:tcW w:w="1170" w:type="dxa"/>
            <w:vMerge w:val="continue"/>
            <w:vAlign w:val="center"/>
          </w:tcPr>
          <w:p w14:paraId="4000C698">
            <w:pPr>
              <w:wordWrap w:val="0"/>
              <w:jc w:val="center"/>
              <w:rPr>
                <w:rFonts w:hint="eastAsia" w:ascii="宋体" w:hAnsi="宋体" w:cs="宋体"/>
                <w:szCs w:val="21"/>
              </w:rPr>
            </w:pPr>
          </w:p>
        </w:tc>
        <w:tc>
          <w:tcPr>
            <w:tcW w:w="1550" w:type="dxa"/>
            <w:vMerge w:val="continue"/>
            <w:vAlign w:val="center"/>
          </w:tcPr>
          <w:p w14:paraId="78CF7A99">
            <w:pPr>
              <w:tabs>
                <w:tab w:val="left" w:pos="1480"/>
              </w:tabs>
              <w:wordWrap w:val="0"/>
              <w:adjustRightInd w:val="0"/>
              <w:jc w:val="center"/>
              <w:rPr>
                <w:rFonts w:hint="eastAsia" w:ascii="宋体" w:hAnsi="宋体" w:cs="宋体"/>
                <w:szCs w:val="21"/>
              </w:rPr>
            </w:pPr>
          </w:p>
        </w:tc>
        <w:tc>
          <w:tcPr>
            <w:tcW w:w="1874" w:type="dxa"/>
            <w:vMerge w:val="continue"/>
            <w:vAlign w:val="center"/>
          </w:tcPr>
          <w:p w14:paraId="4A9F476D">
            <w:pPr>
              <w:wordWrap w:val="0"/>
              <w:jc w:val="center"/>
              <w:rPr>
                <w:rFonts w:hint="eastAsia" w:ascii="宋体" w:hAnsi="宋体" w:cs="宋体"/>
                <w:szCs w:val="21"/>
              </w:rPr>
            </w:pPr>
          </w:p>
        </w:tc>
        <w:tc>
          <w:tcPr>
            <w:tcW w:w="3825" w:type="dxa"/>
            <w:vAlign w:val="center"/>
          </w:tcPr>
          <w:p w14:paraId="5B840693">
            <w:pPr>
              <w:wordWrap w:val="0"/>
              <w:jc w:val="left"/>
              <w:rPr>
                <w:rFonts w:hint="eastAsia" w:ascii="宋体" w:hAnsi="宋体" w:cs="宋体"/>
                <w:szCs w:val="21"/>
              </w:rPr>
            </w:pPr>
            <w:r>
              <w:rPr>
                <w:rFonts w:hint="eastAsia" w:ascii="宋体" w:hAnsi="宋体" w:cs="宋体"/>
                <w:szCs w:val="21"/>
              </w:rPr>
              <w:t>内容清楚，方案基本可行2.4-3.2分</w:t>
            </w:r>
          </w:p>
        </w:tc>
      </w:tr>
      <w:tr w14:paraId="362B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Merge w:val="continue"/>
            <w:vAlign w:val="center"/>
          </w:tcPr>
          <w:p w14:paraId="7277E119">
            <w:pPr>
              <w:wordWrap w:val="0"/>
              <w:jc w:val="center"/>
              <w:rPr>
                <w:rFonts w:hint="eastAsia" w:ascii="宋体" w:hAnsi="宋体" w:cs="宋体"/>
                <w:szCs w:val="21"/>
              </w:rPr>
            </w:pPr>
          </w:p>
        </w:tc>
        <w:tc>
          <w:tcPr>
            <w:tcW w:w="1170" w:type="dxa"/>
            <w:vMerge w:val="continue"/>
            <w:vAlign w:val="center"/>
          </w:tcPr>
          <w:p w14:paraId="7C0360B5">
            <w:pPr>
              <w:wordWrap w:val="0"/>
              <w:jc w:val="center"/>
              <w:rPr>
                <w:rFonts w:hint="eastAsia" w:ascii="宋体" w:hAnsi="宋体" w:cs="宋体"/>
                <w:szCs w:val="21"/>
              </w:rPr>
            </w:pPr>
          </w:p>
        </w:tc>
        <w:tc>
          <w:tcPr>
            <w:tcW w:w="1550" w:type="dxa"/>
            <w:vMerge w:val="continue"/>
            <w:vAlign w:val="center"/>
          </w:tcPr>
          <w:p w14:paraId="28A1FDDC">
            <w:pPr>
              <w:tabs>
                <w:tab w:val="left" w:pos="1480"/>
              </w:tabs>
              <w:wordWrap w:val="0"/>
              <w:adjustRightInd w:val="0"/>
              <w:jc w:val="center"/>
              <w:rPr>
                <w:rFonts w:hint="eastAsia" w:ascii="宋体" w:hAnsi="宋体" w:cs="宋体"/>
                <w:szCs w:val="21"/>
              </w:rPr>
            </w:pPr>
          </w:p>
        </w:tc>
        <w:tc>
          <w:tcPr>
            <w:tcW w:w="1874" w:type="dxa"/>
            <w:vMerge w:val="continue"/>
            <w:vAlign w:val="center"/>
          </w:tcPr>
          <w:p w14:paraId="6994AF5F">
            <w:pPr>
              <w:wordWrap w:val="0"/>
              <w:jc w:val="center"/>
              <w:rPr>
                <w:rFonts w:hint="eastAsia" w:ascii="宋体" w:hAnsi="宋体" w:cs="宋体"/>
                <w:szCs w:val="21"/>
              </w:rPr>
            </w:pPr>
          </w:p>
        </w:tc>
        <w:tc>
          <w:tcPr>
            <w:tcW w:w="3825" w:type="dxa"/>
            <w:vAlign w:val="center"/>
          </w:tcPr>
          <w:p w14:paraId="0818B02C">
            <w:pPr>
              <w:wordWrap w:val="0"/>
              <w:jc w:val="left"/>
              <w:rPr>
                <w:rFonts w:hint="eastAsia" w:ascii="宋体" w:hAnsi="宋体" w:cs="宋体"/>
                <w:szCs w:val="21"/>
              </w:rPr>
            </w:pPr>
            <w:r>
              <w:rPr>
                <w:rFonts w:hint="eastAsia" w:ascii="宋体" w:hAnsi="宋体" w:cs="宋体"/>
                <w:szCs w:val="21"/>
              </w:rPr>
              <w:t>内容不够具体，方案一般2.4分</w:t>
            </w:r>
          </w:p>
        </w:tc>
      </w:tr>
      <w:tr w14:paraId="65CB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Merge w:val="continue"/>
            <w:vAlign w:val="center"/>
          </w:tcPr>
          <w:p w14:paraId="35669A97">
            <w:pPr>
              <w:wordWrap w:val="0"/>
              <w:jc w:val="center"/>
              <w:rPr>
                <w:rFonts w:hint="eastAsia" w:ascii="宋体" w:hAnsi="宋体" w:cs="宋体"/>
                <w:szCs w:val="21"/>
              </w:rPr>
            </w:pPr>
          </w:p>
        </w:tc>
        <w:tc>
          <w:tcPr>
            <w:tcW w:w="1170" w:type="dxa"/>
            <w:vMerge w:val="continue"/>
            <w:vAlign w:val="center"/>
          </w:tcPr>
          <w:p w14:paraId="3C455CCF">
            <w:pPr>
              <w:wordWrap w:val="0"/>
              <w:jc w:val="center"/>
              <w:rPr>
                <w:rFonts w:hint="eastAsia" w:ascii="宋体" w:hAnsi="宋体" w:cs="宋体"/>
                <w:szCs w:val="21"/>
              </w:rPr>
            </w:pPr>
          </w:p>
        </w:tc>
        <w:tc>
          <w:tcPr>
            <w:tcW w:w="1550" w:type="dxa"/>
            <w:vMerge w:val="continue"/>
            <w:vAlign w:val="center"/>
          </w:tcPr>
          <w:p w14:paraId="4C0655C1">
            <w:pPr>
              <w:tabs>
                <w:tab w:val="left" w:pos="1480"/>
              </w:tabs>
              <w:wordWrap w:val="0"/>
              <w:adjustRightInd w:val="0"/>
              <w:jc w:val="center"/>
              <w:rPr>
                <w:rFonts w:hint="eastAsia" w:ascii="宋体" w:hAnsi="宋体" w:cs="宋体"/>
                <w:szCs w:val="21"/>
              </w:rPr>
            </w:pPr>
          </w:p>
        </w:tc>
        <w:tc>
          <w:tcPr>
            <w:tcW w:w="1874" w:type="dxa"/>
            <w:vMerge w:val="restart"/>
            <w:vAlign w:val="center"/>
          </w:tcPr>
          <w:p w14:paraId="2A149DD0">
            <w:pPr>
              <w:wordWrap w:val="0"/>
              <w:jc w:val="center"/>
              <w:rPr>
                <w:rFonts w:hint="eastAsia" w:ascii="宋体" w:hAnsi="宋体" w:cs="宋体"/>
                <w:szCs w:val="21"/>
              </w:rPr>
            </w:pPr>
            <w:r>
              <w:rPr>
                <w:rFonts w:hint="eastAsia" w:ascii="宋体" w:hAnsi="宋体" w:cs="宋体"/>
                <w:szCs w:val="21"/>
              </w:rPr>
              <w:t>研究采用的技术路线（4分）</w:t>
            </w:r>
          </w:p>
        </w:tc>
        <w:tc>
          <w:tcPr>
            <w:tcW w:w="3825" w:type="dxa"/>
            <w:vAlign w:val="center"/>
          </w:tcPr>
          <w:p w14:paraId="73F70016">
            <w:pPr>
              <w:wordWrap w:val="0"/>
              <w:jc w:val="left"/>
              <w:rPr>
                <w:rFonts w:hint="eastAsia" w:ascii="宋体" w:hAnsi="宋体" w:cs="宋体"/>
                <w:szCs w:val="21"/>
              </w:rPr>
            </w:pPr>
            <w:r>
              <w:rPr>
                <w:rFonts w:hint="eastAsia" w:ascii="宋体" w:hAnsi="宋体" w:cs="宋体"/>
                <w:szCs w:val="21"/>
              </w:rPr>
              <w:t>把握准确、描述具体清楚3.2-4分</w:t>
            </w:r>
          </w:p>
        </w:tc>
      </w:tr>
      <w:tr w14:paraId="14DA6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Merge w:val="continue"/>
            <w:vAlign w:val="center"/>
          </w:tcPr>
          <w:p w14:paraId="43C0E5B4">
            <w:pPr>
              <w:wordWrap w:val="0"/>
              <w:jc w:val="center"/>
              <w:rPr>
                <w:rFonts w:hint="eastAsia" w:ascii="宋体" w:hAnsi="宋体" w:cs="宋体"/>
                <w:szCs w:val="21"/>
              </w:rPr>
            </w:pPr>
          </w:p>
        </w:tc>
        <w:tc>
          <w:tcPr>
            <w:tcW w:w="1170" w:type="dxa"/>
            <w:vMerge w:val="continue"/>
            <w:vAlign w:val="center"/>
          </w:tcPr>
          <w:p w14:paraId="5A3904C1">
            <w:pPr>
              <w:wordWrap w:val="0"/>
              <w:jc w:val="center"/>
              <w:rPr>
                <w:rFonts w:hint="eastAsia" w:ascii="宋体" w:hAnsi="宋体" w:cs="宋体"/>
                <w:szCs w:val="21"/>
              </w:rPr>
            </w:pPr>
          </w:p>
        </w:tc>
        <w:tc>
          <w:tcPr>
            <w:tcW w:w="1550" w:type="dxa"/>
            <w:vMerge w:val="continue"/>
            <w:vAlign w:val="center"/>
          </w:tcPr>
          <w:p w14:paraId="58783C33">
            <w:pPr>
              <w:tabs>
                <w:tab w:val="left" w:pos="1480"/>
              </w:tabs>
              <w:wordWrap w:val="0"/>
              <w:adjustRightInd w:val="0"/>
              <w:jc w:val="center"/>
              <w:rPr>
                <w:rFonts w:hint="eastAsia" w:ascii="宋体" w:hAnsi="宋体" w:cs="宋体"/>
                <w:szCs w:val="21"/>
              </w:rPr>
            </w:pPr>
          </w:p>
        </w:tc>
        <w:tc>
          <w:tcPr>
            <w:tcW w:w="1874" w:type="dxa"/>
            <w:vMerge w:val="continue"/>
            <w:vAlign w:val="center"/>
          </w:tcPr>
          <w:p w14:paraId="17AA536F">
            <w:pPr>
              <w:wordWrap w:val="0"/>
              <w:jc w:val="center"/>
              <w:rPr>
                <w:rFonts w:hint="eastAsia" w:ascii="宋体" w:hAnsi="宋体" w:cs="宋体"/>
                <w:szCs w:val="21"/>
              </w:rPr>
            </w:pPr>
          </w:p>
        </w:tc>
        <w:tc>
          <w:tcPr>
            <w:tcW w:w="3825" w:type="dxa"/>
            <w:vAlign w:val="center"/>
          </w:tcPr>
          <w:p w14:paraId="7C4F9A2B">
            <w:pPr>
              <w:wordWrap w:val="0"/>
              <w:jc w:val="left"/>
              <w:rPr>
                <w:rFonts w:hint="eastAsia" w:ascii="宋体" w:hAnsi="宋体" w:cs="宋体"/>
                <w:szCs w:val="21"/>
              </w:rPr>
            </w:pPr>
            <w:r>
              <w:rPr>
                <w:rFonts w:hint="eastAsia" w:ascii="宋体" w:hAnsi="宋体" w:cs="宋体"/>
                <w:szCs w:val="21"/>
              </w:rPr>
              <w:t>把握较准确、描述清楚2.4-3.2分</w:t>
            </w:r>
          </w:p>
        </w:tc>
      </w:tr>
      <w:tr w14:paraId="5045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Merge w:val="continue"/>
            <w:vAlign w:val="center"/>
          </w:tcPr>
          <w:p w14:paraId="19260820">
            <w:pPr>
              <w:wordWrap w:val="0"/>
              <w:jc w:val="center"/>
              <w:rPr>
                <w:rFonts w:hint="eastAsia" w:ascii="宋体" w:hAnsi="宋体" w:cs="宋体"/>
                <w:szCs w:val="21"/>
              </w:rPr>
            </w:pPr>
          </w:p>
        </w:tc>
        <w:tc>
          <w:tcPr>
            <w:tcW w:w="1170" w:type="dxa"/>
            <w:vMerge w:val="continue"/>
            <w:vAlign w:val="center"/>
          </w:tcPr>
          <w:p w14:paraId="631262D4">
            <w:pPr>
              <w:wordWrap w:val="0"/>
              <w:jc w:val="center"/>
              <w:rPr>
                <w:rFonts w:hint="eastAsia" w:ascii="宋体" w:hAnsi="宋体" w:cs="宋体"/>
                <w:szCs w:val="21"/>
              </w:rPr>
            </w:pPr>
          </w:p>
        </w:tc>
        <w:tc>
          <w:tcPr>
            <w:tcW w:w="1550" w:type="dxa"/>
            <w:vMerge w:val="continue"/>
            <w:vAlign w:val="center"/>
          </w:tcPr>
          <w:p w14:paraId="5366497D">
            <w:pPr>
              <w:tabs>
                <w:tab w:val="left" w:pos="1480"/>
              </w:tabs>
              <w:wordWrap w:val="0"/>
              <w:adjustRightInd w:val="0"/>
              <w:jc w:val="center"/>
              <w:rPr>
                <w:rFonts w:hint="eastAsia" w:ascii="宋体" w:hAnsi="宋体" w:cs="宋体"/>
                <w:szCs w:val="21"/>
              </w:rPr>
            </w:pPr>
          </w:p>
        </w:tc>
        <w:tc>
          <w:tcPr>
            <w:tcW w:w="1874" w:type="dxa"/>
            <w:vMerge w:val="continue"/>
            <w:vAlign w:val="center"/>
          </w:tcPr>
          <w:p w14:paraId="161E1E86">
            <w:pPr>
              <w:wordWrap w:val="0"/>
              <w:jc w:val="center"/>
              <w:rPr>
                <w:rFonts w:hint="eastAsia" w:ascii="宋体" w:hAnsi="宋体" w:cs="宋体"/>
                <w:szCs w:val="21"/>
              </w:rPr>
            </w:pPr>
          </w:p>
        </w:tc>
        <w:tc>
          <w:tcPr>
            <w:tcW w:w="3825" w:type="dxa"/>
            <w:vAlign w:val="center"/>
          </w:tcPr>
          <w:p w14:paraId="1C85B38E">
            <w:pPr>
              <w:wordWrap w:val="0"/>
              <w:jc w:val="left"/>
              <w:rPr>
                <w:rFonts w:hint="eastAsia" w:ascii="宋体" w:hAnsi="宋体" w:cs="宋体"/>
                <w:szCs w:val="21"/>
              </w:rPr>
            </w:pPr>
            <w:r>
              <w:rPr>
                <w:rFonts w:hint="eastAsia" w:ascii="宋体" w:hAnsi="宋体" w:cs="宋体"/>
                <w:szCs w:val="21"/>
              </w:rPr>
              <w:t>把握基本准确、描述基本清楚2.4分</w:t>
            </w:r>
          </w:p>
        </w:tc>
      </w:tr>
      <w:tr w14:paraId="6717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Merge w:val="continue"/>
            <w:vAlign w:val="center"/>
          </w:tcPr>
          <w:p w14:paraId="28039A69">
            <w:pPr>
              <w:wordWrap w:val="0"/>
              <w:jc w:val="center"/>
              <w:rPr>
                <w:rFonts w:hint="eastAsia" w:ascii="宋体" w:hAnsi="宋体" w:cs="宋体"/>
                <w:szCs w:val="21"/>
              </w:rPr>
            </w:pPr>
          </w:p>
        </w:tc>
        <w:tc>
          <w:tcPr>
            <w:tcW w:w="1170" w:type="dxa"/>
            <w:vMerge w:val="continue"/>
            <w:vAlign w:val="center"/>
          </w:tcPr>
          <w:p w14:paraId="2D4770FB">
            <w:pPr>
              <w:wordWrap w:val="0"/>
              <w:jc w:val="center"/>
              <w:rPr>
                <w:rFonts w:hint="eastAsia" w:ascii="宋体" w:hAnsi="宋体" w:cs="宋体"/>
                <w:szCs w:val="21"/>
              </w:rPr>
            </w:pPr>
          </w:p>
        </w:tc>
        <w:tc>
          <w:tcPr>
            <w:tcW w:w="1550" w:type="dxa"/>
            <w:vMerge w:val="continue"/>
            <w:vAlign w:val="center"/>
          </w:tcPr>
          <w:p w14:paraId="28C627EC">
            <w:pPr>
              <w:tabs>
                <w:tab w:val="left" w:pos="1480"/>
              </w:tabs>
              <w:wordWrap w:val="0"/>
              <w:adjustRightInd w:val="0"/>
              <w:jc w:val="center"/>
              <w:rPr>
                <w:rFonts w:hint="eastAsia" w:ascii="宋体" w:hAnsi="宋体" w:cs="宋体"/>
                <w:szCs w:val="21"/>
              </w:rPr>
            </w:pPr>
          </w:p>
        </w:tc>
        <w:tc>
          <w:tcPr>
            <w:tcW w:w="1874" w:type="dxa"/>
            <w:vMerge w:val="restart"/>
            <w:vAlign w:val="center"/>
          </w:tcPr>
          <w:p w14:paraId="54F6614C">
            <w:pPr>
              <w:wordWrap w:val="0"/>
              <w:jc w:val="center"/>
              <w:rPr>
                <w:rFonts w:hint="eastAsia" w:ascii="宋体" w:hAnsi="宋体" w:cs="宋体"/>
                <w:szCs w:val="21"/>
              </w:rPr>
            </w:pPr>
            <w:r>
              <w:rPr>
                <w:rFonts w:hint="eastAsia" w:ascii="宋体" w:hAnsi="宋体" w:cs="宋体"/>
                <w:szCs w:val="21"/>
              </w:rPr>
              <w:t>研究的创新点</w:t>
            </w:r>
          </w:p>
          <w:p w14:paraId="0AFF9547">
            <w:pPr>
              <w:wordWrap w:val="0"/>
              <w:jc w:val="center"/>
              <w:rPr>
                <w:rFonts w:hint="eastAsia" w:ascii="宋体" w:hAnsi="宋体" w:cs="宋体"/>
                <w:szCs w:val="21"/>
              </w:rPr>
            </w:pPr>
            <w:r>
              <w:rPr>
                <w:rFonts w:hint="eastAsia" w:ascii="宋体" w:hAnsi="宋体" w:cs="宋体"/>
                <w:szCs w:val="21"/>
              </w:rPr>
              <w:t>（4分）</w:t>
            </w:r>
          </w:p>
        </w:tc>
        <w:tc>
          <w:tcPr>
            <w:tcW w:w="3825" w:type="dxa"/>
            <w:vAlign w:val="center"/>
          </w:tcPr>
          <w:p w14:paraId="0A0E7127">
            <w:pPr>
              <w:wordWrap w:val="0"/>
              <w:jc w:val="left"/>
              <w:rPr>
                <w:rFonts w:hint="eastAsia" w:ascii="宋体" w:hAnsi="宋体" w:cs="宋体"/>
                <w:szCs w:val="21"/>
              </w:rPr>
            </w:pPr>
            <w:r>
              <w:rPr>
                <w:rFonts w:hint="eastAsia" w:ascii="宋体" w:hAnsi="宋体" w:cs="宋体"/>
                <w:szCs w:val="21"/>
              </w:rPr>
              <w:t>明确3.2-4分</w:t>
            </w:r>
          </w:p>
        </w:tc>
      </w:tr>
      <w:tr w14:paraId="78EC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Merge w:val="continue"/>
            <w:vAlign w:val="center"/>
          </w:tcPr>
          <w:p w14:paraId="1255A071">
            <w:pPr>
              <w:wordWrap w:val="0"/>
              <w:jc w:val="center"/>
              <w:rPr>
                <w:rFonts w:hint="eastAsia" w:ascii="宋体" w:hAnsi="宋体" w:cs="宋体"/>
                <w:szCs w:val="21"/>
              </w:rPr>
            </w:pPr>
          </w:p>
        </w:tc>
        <w:tc>
          <w:tcPr>
            <w:tcW w:w="1170" w:type="dxa"/>
            <w:vMerge w:val="continue"/>
            <w:vAlign w:val="center"/>
          </w:tcPr>
          <w:p w14:paraId="79F8B9AF">
            <w:pPr>
              <w:wordWrap w:val="0"/>
              <w:jc w:val="center"/>
              <w:rPr>
                <w:rFonts w:hint="eastAsia" w:ascii="宋体" w:hAnsi="宋体" w:cs="宋体"/>
                <w:szCs w:val="21"/>
              </w:rPr>
            </w:pPr>
          </w:p>
        </w:tc>
        <w:tc>
          <w:tcPr>
            <w:tcW w:w="1550" w:type="dxa"/>
            <w:vMerge w:val="continue"/>
            <w:vAlign w:val="center"/>
          </w:tcPr>
          <w:p w14:paraId="55F855F9">
            <w:pPr>
              <w:tabs>
                <w:tab w:val="left" w:pos="1480"/>
              </w:tabs>
              <w:wordWrap w:val="0"/>
              <w:adjustRightInd w:val="0"/>
              <w:jc w:val="center"/>
              <w:rPr>
                <w:rFonts w:hint="eastAsia" w:ascii="宋体" w:hAnsi="宋体" w:cs="宋体"/>
                <w:szCs w:val="21"/>
              </w:rPr>
            </w:pPr>
          </w:p>
        </w:tc>
        <w:tc>
          <w:tcPr>
            <w:tcW w:w="1874" w:type="dxa"/>
            <w:vMerge w:val="continue"/>
            <w:vAlign w:val="center"/>
          </w:tcPr>
          <w:p w14:paraId="330724C6">
            <w:pPr>
              <w:wordWrap w:val="0"/>
              <w:jc w:val="center"/>
              <w:rPr>
                <w:rFonts w:hint="eastAsia" w:ascii="宋体" w:hAnsi="宋体" w:cs="宋体"/>
                <w:szCs w:val="21"/>
              </w:rPr>
            </w:pPr>
          </w:p>
        </w:tc>
        <w:tc>
          <w:tcPr>
            <w:tcW w:w="3825" w:type="dxa"/>
            <w:vAlign w:val="center"/>
          </w:tcPr>
          <w:p w14:paraId="341A8850">
            <w:pPr>
              <w:wordWrap w:val="0"/>
              <w:jc w:val="left"/>
              <w:rPr>
                <w:rFonts w:hint="eastAsia" w:ascii="宋体" w:hAnsi="宋体" w:cs="宋体"/>
                <w:szCs w:val="21"/>
              </w:rPr>
            </w:pPr>
            <w:r>
              <w:rPr>
                <w:rFonts w:hint="eastAsia" w:ascii="宋体" w:hAnsi="宋体" w:cs="宋体"/>
                <w:szCs w:val="21"/>
              </w:rPr>
              <w:t>比较明确2.4-3.2分</w:t>
            </w:r>
          </w:p>
        </w:tc>
      </w:tr>
      <w:tr w14:paraId="73CE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Merge w:val="continue"/>
            <w:vAlign w:val="center"/>
          </w:tcPr>
          <w:p w14:paraId="17225907">
            <w:pPr>
              <w:wordWrap w:val="0"/>
              <w:jc w:val="center"/>
              <w:rPr>
                <w:rFonts w:hint="eastAsia" w:ascii="宋体" w:hAnsi="宋体" w:cs="宋体"/>
                <w:szCs w:val="21"/>
              </w:rPr>
            </w:pPr>
          </w:p>
        </w:tc>
        <w:tc>
          <w:tcPr>
            <w:tcW w:w="1170" w:type="dxa"/>
            <w:vMerge w:val="continue"/>
            <w:vAlign w:val="center"/>
          </w:tcPr>
          <w:p w14:paraId="1BBE2535">
            <w:pPr>
              <w:wordWrap w:val="0"/>
              <w:jc w:val="center"/>
              <w:rPr>
                <w:rFonts w:hint="eastAsia" w:ascii="宋体" w:hAnsi="宋体" w:cs="宋体"/>
                <w:szCs w:val="21"/>
              </w:rPr>
            </w:pPr>
          </w:p>
        </w:tc>
        <w:tc>
          <w:tcPr>
            <w:tcW w:w="1550" w:type="dxa"/>
            <w:vMerge w:val="continue"/>
            <w:vAlign w:val="center"/>
          </w:tcPr>
          <w:p w14:paraId="68A6168D">
            <w:pPr>
              <w:tabs>
                <w:tab w:val="left" w:pos="1480"/>
              </w:tabs>
              <w:wordWrap w:val="0"/>
              <w:adjustRightInd w:val="0"/>
              <w:jc w:val="center"/>
              <w:rPr>
                <w:rFonts w:hint="eastAsia" w:ascii="宋体" w:hAnsi="宋体" w:cs="宋体"/>
                <w:szCs w:val="21"/>
              </w:rPr>
            </w:pPr>
          </w:p>
        </w:tc>
        <w:tc>
          <w:tcPr>
            <w:tcW w:w="1874" w:type="dxa"/>
            <w:vMerge w:val="continue"/>
            <w:vAlign w:val="center"/>
          </w:tcPr>
          <w:p w14:paraId="46BC172F">
            <w:pPr>
              <w:wordWrap w:val="0"/>
              <w:jc w:val="center"/>
              <w:rPr>
                <w:rFonts w:hint="eastAsia" w:ascii="宋体" w:hAnsi="宋体" w:cs="宋体"/>
                <w:szCs w:val="21"/>
              </w:rPr>
            </w:pPr>
          </w:p>
        </w:tc>
        <w:tc>
          <w:tcPr>
            <w:tcW w:w="3825" w:type="dxa"/>
            <w:vAlign w:val="center"/>
          </w:tcPr>
          <w:p w14:paraId="38D2387F">
            <w:pPr>
              <w:wordWrap w:val="0"/>
              <w:jc w:val="left"/>
              <w:rPr>
                <w:rFonts w:hint="eastAsia" w:ascii="宋体" w:hAnsi="宋体" w:cs="宋体"/>
                <w:szCs w:val="21"/>
              </w:rPr>
            </w:pPr>
            <w:r>
              <w:rPr>
                <w:rFonts w:hint="eastAsia" w:ascii="宋体" w:hAnsi="宋体" w:cs="宋体"/>
                <w:szCs w:val="21"/>
              </w:rPr>
              <w:t>基本明确2.4分</w:t>
            </w:r>
          </w:p>
        </w:tc>
      </w:tr>
      <w:tr w14:paraId="266D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Merge w:val="continue"/>
            <w:vAlign w:val="center"/>
          </w:tcPr>
          <w:p w14:paraId="48738A6D">
            <w:pPr>
              <w:wordWrap w:val="0"/>
              <w:jc w:val="center"/>
              <w:rPr>
                <w:rFonts w:hint="eastAsia" w:ascii="宋体" w:hAnsi="宋体" w:cs="宋体"/>
                <w:szCs w:val="21"/>
              </w:rPr>
            </w:pPr>
          </w:p>
        </w:tc>
        <w:tc>
          <w:tcPr>
            <w:tcW w:w="1170" w:type="dxa"/>
            <w:vMerge w:val="continue"/>
            <w:vAlign w:val="center"/>
          </w:tcPr>
          <w:p w14:paraId="13924740">
            <w:pPr>
              <w:wordWrap w:val="0"/>
              <w:jc w:val="center"/>
              <w:rPr>
                <w:rFonts w:hint="eastAsia" w:ascii="宋体" w:hAnsi="宋体" w:cs="宋体"/>
                <w:szCs w:val="21"/>
              </w:rPr>
            </w:pPr>
          </w:p>
        </w:tc>
        <w:tc>
          <w:tcPr>
            <w:tcW w:w="1550" w:type="dxa"/>
            <w:vMerge w:val="restart"/>
            <w:vAlign w:val="center"/>
          </w:tcPr>
          <w:p w14:paraId="6DC418F2">
            <w:pPr>
              <w:tabs>
                <w:tab w:val="left" w:pos="1480"/>
              </w:tabs>
              <w:wordWrap w:val="0"/>
              <w:adjustRightInd w:val="0"/>
              <w:jc w:val="center"/>
              <w:rPr>
                <w:rFonts w:hint="eastAsia" w:ascii="宋体" w:hAnsi="宋体" w:cs="宋体"/>
                <w:szCs w:val="21"/>
              </w:rPr>
            </w:pPr>
            <w:r>
              <w:rPr>
                <w:rFonts w:hint="eastAsia" w:ascii="宋体" w:hAnsi="宋体" w:cs="宋体"/>
                <w:szCs w:val="21"/>
              </w:rPr>
              <w:t>工作计划与进度安排（8分）</w:t>
            </w:r>
          </w:p>
        </w:tc>
        <w:tc>
          <w:tcPr>
            <w:tcW w:w="5699" w:type="dxa"/>
            <w:gridSpan w:val="2"/>
            <w:vAlign w:val="center"/>
          </w:tcPr>
          <w:p w14:paraId="16FDECAF">
            <w:pPr>
              <w:wordWrap w:val="0"/>
              <w:jc w:val="left"/>
              <w:rPr>
                <w:rFonts w:hint="eastAsia" w:ascii="宋体" w:hAnsi="宋体" w:cs="宋体"/>
                <w:szCs w:val="21"/>
              </w:rPr>
            </w:pPr>
            <w:r>
              <w:rPr>
                <w:rFonts w:hint="eastAsia" w:ascii="宋体" w:hAnsi="宋体" w:cs="宋体"/>
                <w:szCs w:val="21"/>
              </w:rPr>
              <w:t>月度进度表、人员、设备、研发内容的计划进度安排科学合理6.4-8分</w:t>
            </w:r>
          </w:p>
        </w:tc>
      </w:tr>
      <w:tr w14:paraId="68C2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Merge w:val="continue"/>
            <w:vAlign w:val="center"/>
          </w:tcPr>
          <w:p w14:paraId="5A1D50D2">
            <w:pPr>
              <w:wordWrap w:val="0"/>
              <w:jc w:val="center"/>
              <w:rPr>
                <w:rFonts w:hint="eastAsia" w:ascii="宋体" w:hAnsi="宋体" w:cs="宋体"/>
                <w:szCs w:val="21"/>
              </w:rPr>
            </w:pPr>
          </w:p>
        </w:tc>
        <w:tc>
          <w:tcPr>
            <w:tcW w:w="1170" w:type="dxa"/>
            <w:vMerge w:val="continue"/>
            <w:vAlign w:val="center"/>
          </w:tcPr>
          <w:p w14:paraId="31B2784F">
            <w:pPr>
              <w:wordWrap w:val="0"/>
              <w:jc w:val="center"/>
              <w:rPr>
                <w:rFonts w:hint="eastAsia" w:ascii="宋体" w:hAnsi="宋体" w:cs="宋体"/>
                <w:szCs w:val="21"/>
              </w:rPr>
            </w:pPr>
          </w:p>
        </w:tc>
        <w:tc>
          <w:tcPr>
            <w:tcW w:w="1550" w:type="dxa"/>
            <w:vMerge w:val="continue"/>
            <w:vAlign w:val="center"/>
          </w:tcPr>
          <w:p w14:paraId="26BE3762">
            <w:pPr>
              <w:tabs>
                <w:tab w:val="left" w:pos="1480"/>
              </w:tabs>
              <w:wordWrap w:val="0"/>
              <w:adjustRightInd w:val="0"/>
              <w:jc w:val="center"/>
              <w:rPr>
                <w:rFonts w:hint="eastAsia" w:ascii="宋体" w:hAnsi="宋体" w:cs="宋体"/>
                <w:szCs w:val="21"/>
              </w:rPr>
            </w:pPr>
          </w:p>
        </w:tc>
        <w:tc>
          <w:tcPr>
            <w:tcW w:w="5699" w:type="dxa"/>
            <w:gridSpan w:val="2"/>
            <w:vAlign w:val="center"/>
          </w:tcPr>
          <w:p w14:paraId="6A5F656B">
            <w:pPr>
              <w:wordWrap w:val="0"/>
              <w:jc w:val="left"/>
              <w:rPr>
                <w:rFonts w:hint="eastAsia" w:ascii="宋体" w:hAnsi="宋体" w:cs="宋体"/>
                <w:szCs w:val="21"/>
              </w:rPr>
            </w:pPr>
            <w:r>
              <w:rPr>
                <w:rFonts w:hint="eastAsia" w:ascii="宋体" w:hAnsi="宋体" w:cs="宋体"/>
                <w:szCs w:val="21"/>
              </w:rPr>
              <w:t>计划进度安排合理4.8-6.4分</w:t>
            </w:r>
          </w:p>
        </w:tc>
      </w:tr>
      <w:tr w14:paraId="79E9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Merge w:val="continue"/>
            <w:vAlign w:val="center"/>
          </w:tcPr>
          <w:p w14:paraId="0F0AB7DE">
            <w:pPr>
              <w:wordWrap w:val="0"/>
              <w:jc w:val="center"/>
              <w:rPr>
                <w:rFonts w:hint="eastAsia" w:ascii="宋体" w:hAnsi="宋体" w:cs="宋体"/>
                <w:szCs w:val="21"/>
              </w:rPr>
            </w:pPr>
          </w:p>
        </w:tc>
        <w:tc>
          <w:tcPr>
            <w:tcW w:w="1170" w:type="dxa"/>
            <w:vMerge w:val="continue"/>
            <w:vAlign w:val="center"/>
          </w:tcPr>
          <w:p w14:paraId="293C65DD">
            <w:pPr>
              <w:wordWrap w:val="0"/>
              <w:jc w:val="center"/>
              <w:rPr>
                <w:rFonts w:hint="eastAsia" w:ascii="宋体" w:hAnsi="宋体" w:cs="宋体"/>
                <w:szCs w:val="21"/>
              </w:rPr>
            </w:pPr>
          </w:p>
        </w:tc>
        <w:tc>
          <w:tcPr>
            <w:tcW w:w="1550" w:type="dxa"/>
            <w:vMerge w:val="continue"/>
            <w:vAlign w:val="center"/>
          </w:tcPr>
          <w:p w14:paraId="0D1C9B31">
            <w:pPr>
              <w:tabs>
                <w:tab w:val="left" w:pos="1480"/>
              </w:tabs>
              <w:wordWrap w:val="0"/>
              <w:adjustRightInd w:val="0"/>
              <w:jc w:val="center"/>
              <w:rPr>
                <w:rFonts w:hint="eastAsia" w:ascii="宋体" w:hAnsi="宋体" w:cs="宋体"/>
                <w:szCs w:val="21"/>
              </w:rPr>
            </w:pPr>
          </w:p>
        </w:tc>
        <w:tc>
          <w:tcPr>
            <w:tcW w:w="5699" w:type="dxa"/>
            <w:gridSpan w:val="2"/>
            <w:vAlign w:val="center"/>
          </w:tcPr>
          <w:p w14:paraId="1D7A5A5B">
            <w:pPr>
              <w:wordWrap w:val="0"/>
              <w:jc w:val="left"/>
              <w:rPr>
                <w:rFonts w:hint="eastAsia" w:ascii="宋体" w:hAnsi="宋体" w:cs="宋体"/>
                <w:szCs w:val="21"/>
              </w:rPr>
            </w:pPr>
            <w:r>
              <w:rPr>
                <w:rFonts w:hint="eastAsia" w:ascii="宋体" w:hAnsi="宋体" w:cs="宋体"/>
                <w:szCs w:val="21"/>
              </w:rPr>
              <w:t>计划进度安排基本合理4.8分</w:t>
            </w:r>
          </w:p>
        </w:tc>
      </w:tr>
      <w:tr w14:paraId="60F6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Merge w:val="continue"/>
            <w:vAlign w:val="center"/>
          </w:tcPr>
          <w:p w14:paraId="7BCB4382">
            <w:pPr>
              <w:wordWrap w:val="0"/>
              <w:jc w:val="center"/>
              <w:rPr>
                <w:rFonts w:hint="eastAsia" w:ascii="宋体" w:hAnsi="宋体" w:cs="宋体"/>
                <w:szCs w:val="21"/>
              </w:rPr>
            </w:pPr>
          </w:p>
        </w:tc>
        <w:tc>
          <w:tcPr>
            <w:tcW w:w="1170" w:type="dxa"/>
            <w:vMerge w:val="continue"/>
            <w:vAlign w:val="center"/>
          </w:tcPr>
          <w:p w14:paraId="3FE9C757">
            <w:pPr>
              <w:wordWrap w:val="0"/>
              <w:jc w:val="center"/>
              <w:rPr>
                <w:rFonts w:hint="eastAsia" w:ascii="宋体" w:hAnsi="宋体" w:cs="宋体"/>
                <w:szCs w:val="21"/>
              </w:rPr>
            </w:pPr>
          </w:p>
        </w:tc>
        <w:tc>
          <w:tcPr>
            <w:tcW w:w="1550" w:type="dxa"/>
            <w:vMerge w:val="restart"/>
            <w:vAlign w:val="center"/>
          </w:tcPr>
          <w:p w14:paraId="06912ADA">
            <w:pPr>
              <w:tabs>
                <w:tab w:val="left" w:pos="1480"/>
              </w:tabs>
              <w:wordWrap w:val="0"/>
              <w:adjustRightInd w:val="0"/>
              <w:jc w:val="center"/>
              <w:rPr>
                <w:rFonts w:hint="eastAsia" w:ascii="宋体" w:hAnsi="宋体" w:cs="宋体"/>
                <w:szCs w:val="21"/>
              </w:rPr>
            </w:pPr>
            <w:r>
              <w:rPr>
                <w:rFonts w:hint="eastAsia" w:ascii="宋体" w:hAnsi="宋体" w:cs="宋体"/>
                <w:szCs w:val="21"/>
              </w:rPr>
              <w:t>项目研究质量与进度保障措施（8分）</w:t>
            </w:r>
          </w:p>
        </w:tc>
        <w:tc>
          <w:tcPr>
            <w:tcW w:w="5699" w:type="dxa"/>
            <w:gridSpan w:val="2"/>
            <w:vAlign w:val="center"/>
          </w:tcPr>
          <w:p w14:paraId="0A25A34C">
            <w:pPr>
              <w:wordWrap w:val="0"/>
              <w:jc w:val="left"/>
              <w:rPr>
                <w:rFonts w:hint="eastAsia" w:ascii="宋体" w:hAnsi="宋体" w:cs="宋体"/>
                <w:szCs w:val="21"/>
              </w:rPr>
            </w:pPr>
            <w:r>
              <w:rPr>
                <w:rFonts w:hint="eastAsia" w:ascii="宋体" w:hAnsi="宋体" w:cs="宋体"/>
                <w:szCs w:val="21"/>
              </w:rPr>
              <w:t>研究质量与进度保障措施科学合理，可操作性强6.4-8分</w:t>
            </w:r>
          </w:p>
        </w:tc>
      </w:tr>
      <w:tr w14:paraId="193DB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Merge w:val="continue"/>
            <w:vAlign w:val="center"/>
          </w:tcPr>
          <w:p w14:paraId="64F32A18">
            <w:pPr>
              <w:wordWrap w:val="0"/>
              <w:jc w:val="center"/>
              <w:rPr>
                <w:rFonts w:hint="eastAsia" w:ascii="宋体" w:hAnsi="宋体" w:cs="宋体"/>
                <w:szCs w:val="21"/>
              </w:rPr>
            </w:pPr>
          </w:p>
        </w:tc>
        <w:tc>
          <w:tcPr>
            <w:tcW w:w="1170" w:type="dxa"/>
            <w:vMerge w:val="continue"/>
            <w:vAlign w:val="center"/>
          </w:tcPr>
          <w:p w14:paraId="5FA2B60E">
            <w:pPr>
              <w:wordWrap w:val="0"/>
              <w:jc w:val="center"/>
              <w:rPr>
                <w:rFonts w:hint="eastAsia" w:ascii="宋体" w:hAnsi="宋体" w:cs="宋体"/>
                <w:szCs w:val="21"/>
              </w:rPr>
            </w:pPr>
          </w:p>
        </w:tc>
        <w:tc>
          <w:tcPr>
            <w:tcW w:w="1550" w:type="dxa"/>
            <w:vMerge w:val="continue"/>
            <w:vAlign w:val="center"/>
          </w:tcPr>
          <w:p w14:paraId="002F210A">
            <w:pPr>
              <w:tabs>
                <w:tab w:val="left" w:pos="1480"/>
              </w:tabs>
              <w:wordWrap w:val="0"/>
              <w:adjustRightInd w:val="0"/>
              <w:jc w:val="center"/>
              <w:rPr>
                <w:rFonts w:hint="eastAsia" w:ascii="宋体" w:hAnsi="宋体" w:cs="宋体"/>
                <w:szCs w:val="21"/>
              </w:rPr>
            </w:pPr>
          </w:p>
        </w:tc>
        <w:tc>
          <w:tcPr>
            <w:tcW w:w="5699" w:type="dxa"/>
            <w:gridSpan w:val="2"/>
            <w:vAlign w:val="center"/>
          </w:tcPr>
          <w:p w14:paraId="2B1329F7">
            <w:pPr>
              <w:wordWrap w:val="0"/>
              <w:jc w:val="left"/>
              <w:rPr>
                <w:rFonts w:hint="eastAsia" w:ascii="宋体" w:hAnsi="宋体" w:cs="宋体"/>
                <w:szCs w:val="21"/>
              </w:rPr>
            </w:pPr>
            <w:r>
              <w:rPr>
                <w:rFonts w:hint="eastAsia" w:ascii="宋体" w:hAnsi="宋体" w:cs="宋体"/>
                <w:szCs w:val="21"/>
              </w:rPr>
              <w:t>研究质量与进度保障措施较合理，可操作性较强4.8-6.4分</w:t>
            </w:r>
          </w:p>
        </w:tc>
      </w:tr>
      <w:tr w14:paraId="2EDE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Merge w:val="continue"/>
            <w:vAlign w:val="center"/>
          </w:tcPr>
          <w:p w14:paraId="70C02235">
            <w:pPr>
              <w:wordWrap w:val="0"/>
              <w:jc w:val="center"/>
              <w:rPr>
                <w:rFonts w:hint="eastAsia" w:ascii="宋体" w:hAnsi="宋体" w:cs="宋体"/>
                <w:szCs w:val="21"/>
              </w:rPr>
            </w:pPr>
          </w:p>
        </w:tc>
        <w:tc>
          <w:tcPr>
            <w:tcW w:w="1170" w:type="dxa"/>
            <w:vMerge w:val="continue"/>
            <w:vAlign w:val="center"/>
          </w:tcPr>
          <w:p w14:paraId="15ED42B1">
            <w:pPr>
              <w:wordWrap w:val="0"/>
              <w:jc w:val="center"/>
              <w:rPr>
                <w:rFonts w:hint="eastAsia" w:ascii="宋体" w:hAnsi="宋体" w:cs="宋体"/>
                <w:szCs w:val="21"/>
              </w:rPr>
            </w:pPr>
          </w:p>
        </w:tc>
        <w:tc>
          <w:tcPr>
            <w:tcW w:w="1550" w:type="dxa"/>
            <w:vMerge w:val="continue"/>
            <w:vAlign w:val="center"/>
          </w:tcPr>
          <w:p w14:paraId="4A244875">
            <w:pPr>
              <w:tabs>
                <w:tab w:val="left" w:pos="1480"/>
              </w:tabs>
              <w:wordWrap w:val="0"/>
              <w:adjustRightInd w:val="0"/>
              <w:jc w:val="center"/>
              <w:rPr>
                <w:rFonts w:hint="eastAsia" w:ascii="宋体" w:hAnsi="宋体" w:cs="宋体"/>
                <w:szCs w:val="21"/>
              </w:rPr>
            </w:pPr>
          </w:p>
        </w:tc>
        <w:tc>
          <w:tcPr>
            <w:tcW w:w="5699" w:type="dxa"/>
            <w:gridSpan w:val="2"/>
            <w:vAlign w:val="center"/>
          </w:tcPr>
          <w:p w14:paraId="6CFC8745">
            <w:pPr>
              <w:wordWrap w:val="0"/>
              <w:jc w:val="left"/>
              <w:rPr>
                <w:rFonts w:hint="eastAsia" w:ascii="宋体" w:hAnsi="宋体" w:cs="宋体"/>
                <w:szCs w:val="21"/>
              </w:rPr>
            </w:pPr>
            <w:r>
              <w:rPr>
                <w:rFonts w:hint="eastAsia" w:ascii="宋体" w:hAnsi="宋体" w:cs="宋体"/>
                <w:szCs w:val="21"/>
              </w:rPr>
              <w:t>研究质量与进度保障措施一般，可操作性一般4.8分</w:t>
            </w:r>
          </w:p>
        </w:tc>
      </w:tr>
      <w:tr w14:paraId="403C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10" w:type="dxa"/>
            <w:vMerge w:val="continue"/>
            <w:vAlign w:val="center"/>
          </w:tcPr>
          <w:p w14:paraId="20A12E87">
            <w:pPr>
              <w:wordWrap w:val="0"/>
              <w:jc w:val="center"/>
              <w:rPr>
                <w:rFonts w:hint="eastAsia" w:ascii="宋体" w:hAnsi="宋体" w:cs="宋体"/>
                <w:szCs w:val="21"/>
              </w:rPr>
            </w:pPr>
          </w:p>
        </w:tc>
        <w:tc>
          <w:tcPr>
            <w:tcW w:w="1170" w:type="dxa"/>
            <w:vMerge w:val="continue"/>
            <w:vAlign w:val="center"/>
          </w:tcPr>
          <w:p w14:paraId="6282B6E0">
            <w:pPr>
              <w:wordWrap w:val="0"/>
              <w:jc w:val="center"/>
              <w:rPr>
                <w:rFonts w:hint="eastAsia" w:ascii="宋体" w:hAnsi="宋体" w:cs="宋体"/>
                <w:szCs w:val="21"/>
              </w:rPr>
            </w:pPr>
          </w:p>
        </w:tc>
        <w:tc>
          <w:tcPr>
            <w:tcW w:w="1550" w:type="dxa"/>
            <w:vMerge w:val="restart"/>
            <w:vAlign w:val="center"/>
          </w:tcPr>
          <w:p w14:paraId="4BAE944E">
            <w:pPr>
              <w:tabs>
                <w:tab w:val="left" w:pos="1480"/>
              </w:tabs>
              <w:wordWrap w:val="0"/>
              <w:adjustRightInd w:val="0"/>
              <w:jc w:val="center"/>
              <w:rPr>
                <w:rFonts w:hint="eastAsia" w:ascii="宋体" w:hAnsi="宋体" w:cs="宋体"/>
                <w:szCs w:val="21"/>
              </w:rPr>
            </w:pPr>
            <w:r>
              <w:rPr>
                <w:rFonts w:hint="eastAsia" w:ascii="宋体" w:hAnsi="宋体" w:cs="宋体"/>
                <w:szCs w:val="21"/>
              </w:rPr>
              <w:t>研究预期成果及推广前景</w:t>
            </w:r>
          </w:p>
          <w:p w14:paraId="037C4184">
            <w:pPr>
              <w:tabs>
                <w:tab w:val="left" w:pos="1480"/>
              </w:tabs>
              <w:wordWrap w:val="0"/>
              <w:adjustRightInd w:val="0"/>
              <w:jc w:val="center"/>
              <w:rPr>
                <w:rFonts w:hint="eastAsia" w:ascii="宋体" w:hAnsi="宋体" w:cs="宋体"/>
                <w:szCs w:val="21"/>
              </w:rPr>
            </w:pPr>
            <w:r>
              <w:rPr>
                <w:rFonts w:hint="eastAsia" w:ascii="宋体" w:hAnsi="宋体" w:cs="宋体"/>
                <w:szCs w:val="21"/>
              </w:rPr>
              <w:t>（12分）</w:t>
            </w:r>
          </w:p>
        </w:tc>
        <w:tc>
          <w:tcPr>
            <w:tcW w:w="5699" w:type="dxa"/>
            <w:gridSpan w:val="2"/>
            <w:vAlign w:val="center"/>
          </w:tcPr>
          <w:p w14:paraId="50EA1BE0">
            <w:pPr>
              <w:wordWrap w:val="0"/>
              <w:jc w:val="left"/>
              <w:rPr>
                <w:rFonts w:hint="eastAsia" w:ascii="宋体" w:hAnsi="宋体" w:cs="宋体"/>
                <w:szCs w:val="21"/>
              </w:rPr>
            </w:pPr>
            <w:r>
              <w:rPr>
                <w:rFonts w:hint="eastAsia" w:ascii="宋体" w:hAnsi="宋体" w:cs="宋体"/>
                <w:szCs w:val="21"/>
              </w:rPr>
              <w:t>预期成果符合招标项目要求, 推广应用前景把握准确、描述具体清楚 9.6-12分</w:t>
            </w:r>
          </w:p>
        </w:tc>
      </w:tr>
      <w:tr w14:paraId="3D69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10" w:type="dxa"/>
            <w:vMerge w:val="continue"/>
            <w:vAlign w:val="center"/>
          </w:tcPr>
          <w:p w14:paraId="6263F836">
            <w:pPr>
              <w:wordWrap w:val="0"/>
              <w:jc w:val="center"/>
              <w:rPr>
                <w:rFonts w:hint="eastAsia" w:ascii="宋体" w:hAnsi="宋体" w:cs="宋体"/>
                <w:szCs w:val="21"/>
              </w:rPr>
            </w:pPr>
          </w:p>
        </w:tc>
        <w:tc>
          <w:tcPr>
            <w:tcW w:w="1170" w:type="dxa"/>
            <w:vMerge w:val="continue"/>
            <w:vAlign w:val="center"/>
          </w:tcPr>
          <w:p w14:paraId="30360F14">
            <w:pPr>
              <w:wordWrap w:val="0"/>
              <w:jc w:val="center"/>
              <w:rPr>
                <w:rFonts w:hint="eastAsia" w:ascii="宋体" w:hAnsi="宋体" w:cs="宋体"/>
                <w:szCs w:val="21"/>
              </w:rPr>
            </w:pPr>
          </w:p>
        </w:tc>
        <w:tc>
          <w:tcPr>
            <w:tcW w:w="1550" w:type="dxa"/>
            <w:vMerge w:val="continue"/>
            <w:vAlign w:val="center"/>
          </w:tcPr>
          <w:p w14:paraId="24ED357A">
            <w:pPr>
              <w:wordWrap w:val="0"/>
              <w:jc w:val="center"/>
              <w:rPr>
                <w:rFonts w:hint="eastAsia" w:ascii="宋体" w:hAnsi="宋体" w:cs="宋体"/>
                <w:szCs w:val="21"/>
              </w:rPr>
            </w:pPr>
          </w:p>
        </w:tc>
        <w:tc>
          <w:tcPr>
            <w:tcW w:w="5699" w:type="dxa"/>
            <w:gridSpan w:val="2"/>
            <w:vAlign w:val="center"/>
          </w:tcPr>
          <w:p w14:paraId="3B29608A">
            <w:pPr>
              <w:wordWrap w:val="0"/>
              <w:jc w:val="left"/>
              <w:rPr>
                <w:rFonts w:hint="eastAsia" w:ascii="宋体" w:hAnsi="宋体" w:cs="宋体"/>
                <w:szCs w:val="21"/>
              </w:rPr>
            </w:pPr>
            <w:r>
              <w:rPr>
                <w:rFonts w:hint="eastAsia" w:ascii="宋体" w:hAnsi="宋体" w:cs="宋体"/>
                <w:szCs w:val="21"/>
              </w:rPr>
              <w:t>预期成果较符合招标项目要求, 推广应用前景把握较准确、描述清楚 7.2-9.6分</w:t>
            </w:r>
          </w:p>
        </w:tc>
      </w:tr>
      <w:tr w14:paraId="6FE5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10" w:type="dxa"/>
            <w:vMerge w:val="continue"/>
            <w:vAlign w:val="center"/>
          </w:tcPr>
          <w:p w14:paraId="0C7F32E5">
            <w:pPr>
              <w:wordWrap w:val="0"/>
              <w:jc w:val="center"/>
              <w:rPr>
                <w:rFonts w:hint="eastAsia" w:ascii="宋体" w:hAnsi="宋体" w:cs="宋体"/>
                <w:szCs w:val="21"/>
              </w:rPr>
            </w:pPr>
          </w:p>
        </w:tc>
        <w:tc>
          <w:tcPr>
            <w:tcW w:w="1170" w:type="dxa"/>
            <w:vMerge w:val="continue"/>
            <w:vAlign w:val="center"/>
          </w:tcPr>
          <w:p w14:paraId="06D03C4F">
            <w:pPr>
              <w:wordWrap w:val="0"/>
              <w:jc w:val="center"/>
              <w:rPr>
                <w:rFonts w:hint="eastAsia" w:ascii="宋体" w:hAnsi="宋体" w:cs="宋体"/>
                <w:szCs w:val="21"/>
              </w:rPr>
            </w:pPr>
          </w:p>
        </w:tc>
        <w:tc>
          <w:tcPr>
            <w:tcW w:w="1550" w:type="dxa"/>
            <w:vMerge w:val="continue"/>
            <w:vAlign w:val="center"/>
          </w:tcPr>
          <w:p w14:paraId="7DA65041">
            <w:pPr>
              <w:wordWrap w:val="0"/>
              <w:jc w:val="center"/>
              <w:rPr>
                <w:rFonts w:hint="eastAsia" w:ascii="宋体" w:hAnsi="宋体" w:cs="宋体"/>
                <w:szCs w:val="21"/>
              </w:rPr>
            </w:pPr>
          </w:p>
        </w:tc>
        <w:tc>
          <w:tcPr>
            <w:tcW w:w="5699" w:type="dxa"/>
            <w:gridSpan w:val="2"/>
            <w:vAlign w:val="center"/>
          </w:tcPr>
          <w:p w14:paraId="7061B83C">
            <w:pPr>
              <w:wordWrap w:val="0"/>
              <w:jc w:val="left"/>
              <w:rPr>
                <w:rFonts w:hint="eastAsia" w:ascii="宋体" w:hAnsi="宋体" w:cs="宋体"/>
                <w:szCs w:val="21"/>
              </w:rPr>
            </w:pPr>
            <w:r>
              <w:rPr>
                <w:rFonts w:hint="eastAsia" w:ascii="宋体" w:hAnsi="宋体" w:cs="宋体"/>
                <w:szCs w:val="21"/>
              </w:rPr>
              <w:t>预期成果基本符合招标项目要求, 推广应用前景把握较准确、描述清楚 7.2分</w:t>
            </w:r>
          </w:p>
        </w:tc>
      </w:tr>
      <w:tr w14:paraId="122D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Merge w:val="restart"/>
            <w:vAlign w:val="center"/>
          </w:tcPr>
          <w:p w14:paraId="5C4D3268">
            <w:pPr>
              <w:wordWrap w:val="0"/>
              <w:jc w:val="center"/>
              <w:rPr>
                <w:rFonts w:hint="eastAsia" w:ascii="宋体" w:hAnsi="宋体" w:cs="宋体"/>
                <w:szCs w:val="21"/>
              </w:rPr>
            </w:pPr>
            <w:r>
              <w:rPr>
                <w:rFonts w:hint="eastAsia" w:ascii="宋体" w:hAnsi="宋体" w:cs="宋体"/>
                <w:szCs w:val="21"/>
              </w:rPr>
              <w:t>2.2.4（2）</w:t>
            </w:r>
          </w:p>
        </w:tc>
        <w:tc>
          <w:tcPr>
            <w:tcW w:w="1170" w:type="dxa"/>
            <w:vMerge w:val="restart"/>
            <w:vAlign w:val="center"/>
          </w:tcPr>
          <w:p w14:paraId="18939820">
            <w:pPr>
              <w:wordWrap w:val="0"/>
              <w:jc w:val="center"/>
              <w:rPr>
                <w:rFonts w:hint="eastAsia" w:ascii="宋体" w:hAnsi="宋体" w:cs="宋体"/>
                <w:szCs w:val="21"/>
              </w:rPr>
            </w:pPr>
            <w:r>
              <w:rPr>
                <w:rFonts w:hint="eastAsia" w:ascii="宋体" w:hAnsi="宋体" w:cs="宋体"/>
                <w:szCs w:val="21"/>
              </w:rPr>
              <w:t>主要人员（20分）</w:t>
            </w:r>
          </w:p>
        </w:tc>
        <w:tc>
          <w:tcPr>
            <w:tcW w:w="1550" w:type="dxa"/>
            <w:vAlign w:val="center"/>
          </w:tcPr>
          <w:p w14:paraId="713FBD04">
            <w:pPr>
              <w:wordWrap w:val="0"/>
              <w:jc w:val="center"/>
              <w:rPr>
                <w:rFonts w:ascii="宋体" w:hAnsi="宋体" w:cs="宋体"/>
                <w:szCs w:val="21"/>
              </w:rPr>
            </w:pPr>
            <w:r>
              <w:rPr>
                <w:rFonts w:hint="eastAsia" w:ascii="宋体" w:hAnsi="宋体" w:cs="宋体"/>
                <w:szCs w:val="21"/>
              </w:rPr>
              <w:t>项目负责人</w:t>
            </w:r>
          </w:p>
          <w:p w14:paraId="354347E7">
            <w:pPr>
              <w:wordWrap w:val="0"/>
              <w:jc w:val="center"/>
              <w:rPr>
                <w:rFonts w:hint="eastAsia" w:ascii="宋体" w:hAnsi="宋体" w:cs="宋体"/>
                <w:szCs w:val="21"/>
              </w:rPr>
            </w:pPr>
            <w:r>
              <w:rPr>
                <w:rFonts w:hint="eastAsia" w:ascii="宋体" w:hAnsi="宋体" w:cs="宋体"/>
                <w:szCs w:val="21"/>
              </w:rPr>
              <w:t>（15分）</w:t>
            </w:r>
          </w:p>
        </w:tc>
        <w:tc>
          <w:tcPr>
            <w:tcW w:w="5699" w:type="dxa"/>
            <w:gridSpan w:val="2"/>
            <w:vAlign w:val="center"/>
          </w:tcPr>
          <w:p w14:paraId="712A2FB9">
            <w:pPr>
              <w:wordWrap w:val="0"/>
              <w:jc w:val="left"/>
              <w:rPr>
                <w:rFonts w:ascii="宋体" w:hAnsi="宋体" w:cs="宋体"/>
                <w:szCs w:val="21"/>
              </w:rPr>
            </w:pPr>
            <w:r>
              <w:rPr>
                <w:rFonts w:hint="eastAsia" w:ascii="宋体" w:hAnsi="宋体" w:cs="宋体"/>
                <w:szCs w:val="21"/>
              </w:rPr>
              <w:t>满足资格审查条件要求，得9分；</w:t>
            </w:r>
          </w:p>
          <w:p w14:paraId="7A75BEFE">
            <w:pPr>
              <w:wordWrap w:val="0"/>
              <w:jc w:val="left"/>
              <w:rPr>
                <w:rFonts w:hint="eastAsia" w:ascii="宋体" w:hAnsi="宋体" w:cs="宋体"/>
                <w:szCs w:val="21"/>
              </w:rPr>
            </w:pPr>
            <w:r>
              <w:rPr>
                <w:rFonts w:hint="eastAsia" w:ascii="宋体" w:hAnsi="宋体" w:cs="宋体"/>
                <w:szCs w:val="21"/>
              </w:rPr>
              <w:t>每增加1项满足资格审查条件（人员最低要求）的业绩，加6分，本项最多加6分。</w:t>
            </w:r>
          </w:p>
        </w:tc>
      </w:tr>
      <w:tr w14:paraId="2D14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0" w:type="dxa"/>
            <w:vMerge w:val="continue"/>
            <w:vAlign w:val="center"/>
          </w:tcPr>
          <w:p w14:paraId="685685F6">
            <w:pPr>
              <w:wordWrap w:val="0"/>
              <w:jc w:val="center"/>
              <w:rPr>
                <w:rFonts w:hint="eastAsia" w:ascii="宋体" w:hAnsi="宋体" w:cs="宋体"/>
                <w:szCs w:val="21"/>
              </w:rPr>
            </w:pPr>
          </w:p>
        </w:tc>
        <w:tc>
          <w:tcPr>
            <w:tcW w:w="1170" w:type="dxa"/>
            <w:vMerge w:val="continue"/>
            <w:vAlign w:val="center"/>
          </w:tcPr>
          <w:p w14:paraId="5A5E0D3A">
            <w:pPr>
              <w:wordWrap w:val="0"/>
              <w:jc w:val="center"/>
              <w:rPr>
                <w:rFonts w:hint="eastAsia" w:ascii="宋体" w:hAnsi="宋体" w:cs="宋体"/>
                <w:szCs w:val="21"/>
              </w:rPr>
            </w:pPr>
          </w:p>
        </w:tc>
        <w:tc>
          <w:tcPr>
            <w:tcW w:w="1550" w:type="dxa"/>
            <w:vAlign w:val="center"/>
          </w:tcPr>
          <w:p w14:paraId="652E4242">
            <w:pPr>
              <w:wordWrap w:val="0"/>
              <w:jc w:val="center"/>
              <w:rPr>
                <w:rFonts w:ascii="宋体" w:hAnsi="宋体" w:cs="宋体"/>
                <w:szCs w:val="21"/>
              </w:rPr>
            </w:pPr>
            <w:r>
              <w:rPr>
                <w:rFonts w:hint="eastAsia" w:ascii="宋体" w:hAnsi="宋体" w:cs="宋体"/>
                <w:szCs w:val="21"/>
              </w:rPr>
              <w:t>拟投入团队情况（5分）</w:t>
            </w:r>
          </w:p>
        </w:tc>
        <w:tc>
          <w:tcPr>
            <w:tcW w:w="5699" w:type="dxa"/>
            <w:gridSpan w:val="2"/>
            <w:vAlign w:val="center"/>
          </w:tcPr>
          <w:p w14:paraId="3AB0D62A">
            <w:pPr>
              <w:widowControl/>
              <w:wordWrap w:val="0"/>
              <w:jc w:val="left"/>
              <w:rPr>
                <w:rFonts w:hint="eastAsia" w:ascii="宋体" w:hAnsi="宋体" w:cs="宋体"/>
                <w:szCs w:val="21"/>
              </w:rPr>
            </w:pPr>
            <w:r>
              <w:rPr>
                <w:rFonts w:hint="eastAsia" w:ascii="宋体" w:hAnsi="宋体" w:cs="宋体"/>
                <w:szCs w:val="21"/>
              </w:rPr>
              <w:t>拟投入项目团队（含项目负责人）每1人次具有高级或以上职称加1分，最多加5分。</w:t>
            </w:r>
          </w:p>
        </w:tc>
      </w:tr>
      <w:tr w14:paraId="5475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Merge w:val="restart"/>
            <w:vAlign w:val="center"/>
          </w:tcPr>
          <w:p w14:paraId="119EB2B1">
            <w:pPr>
              <w:wordWrap w:val="0"/>
              <w:jc w:val="center"/>
              <w:rPr>
                <w:rFonts w:hint="eastAsia" w:ascii="宋体" w:hAnsi="宋体" w:cs="宋体"/>
                <w:szCs w:val="21"/>
              </w:rPr>
            </w:pPr>
            <w:r>
              <w:rPr>
                <w:rFonts w:hint="eastAsia" w:ascii="宋体" w:hAnsi="宋体" w:cs="宋体"/>
                <w:szCs w:val="21"/>
              </w:rPr>
              <w:t>2.2.4（3）</w:t>
            </w:r>
          </w:p>
        </w:tc>
        <w:tc>
          <w:tcPr>
            <w:tcW w:w="1170" w:type="dxa"/>
            <w:vMerge w:val="restart"/>
            <w:vAlign w:val="center"/>
          </w:tcPr>
          <w:p w14:paraId="1039FCCE">
            <w:pPr>
              <w:widowControl/>
              <w:wordWrap w:val="0"/>
              <w:jc w:val="center"/>
              <w:rPr>
                <w:rFonts w:hint="eastAsia" w:ascii="宋体" w:hAnsi="宋体" w:cs="宋体"/>
                <w:kern w:val="0"/>
                <w:szCs w:val="21"/>
                <w:lang w:bidi="ar"/>
              </w:rPr>
            </w:pPr>
            <w:r>
              <w:rPr>
                <w:rFonts w:hint="eastAsia" w:ascii="宋体" w:hAnsi="宋体" w:cs="宋体"/>
                <w:kern w:val="0"/>
                <w:szCs w:val="21"/>
                <w:lang w:bidi="ar"/>
              </w:rPr>
              <w:t>业 绩</w:t>
            </w:r>
          </w:p>
          <w:p w14:paraId="1BA42FC6">
            <w:pPr>
              <w:widowControl/>
              <w:wordWrap w:val="0"/>
              <w:jc w:val="center"/>
              <w:rPr>
                <w:rFonts w:hint="eastAsia" w:ascii="宋体" w:hAnsi="宋体" w:cs="宋体"/>
                <w:szCs w:val="21"/>
              </w:rPr>
            </w:pPr>
            <w:r>
              <w:rPr>
                <w:rFonts w:hint="eastAsia" w:ascii="宋体" w:hAnsi="宋体" w:cs="宋体"/>
                <w:kern w:val="0"/>
                <w:szCs w:val="21"/>
                <w:lang w:bidi="ar"/>
              </w:rPr>
              <w:t>（20分）</w:t>
            </w:r>
          </w:p>
        </w:tc>
        <w:tc>
          <w:tcPr>
            <w:tcW w:w="7249" w:type="dxa"/>
            <w:gridSpan w:val="3"/>
            <w:vAlign w:val="center"/>
          </w:tcPr>
          <w:p w14:paraId="04C9769B">
            <w:pPr>
              <w:widowControl/>
              <w:wordWrap w:val="0"/>
              <w:jc w:val="left"/>
              <w:rPr>
                <w:rFonts w:ascii="宋体" w:hAnsi="宋体" w:cs="宋体"/>
                <w:szCs w:val="21"/>
              </w:rPr>
            </w:pPr>
            <w:r>
              <w:rPr>
                <w:rFonts w:hint="eastAsia" w:ascii="宋体" w:hAnsi="宋体" w:cs="宋体"/>
                <w:szCs w:val="21"/>
              </w:rPr>
              <w:t>满足资格审查条件要求，得 9分；</w:t>
            </w:r>
          </w:p>
          <w:p w14:paraId="3FD7CA36">
            <w:pPr>
              <w:wordWrap w:val="0"/>
              <w:jc w:val="left"/>
              <w:rPr>
                <w:rFonts w:hint="eastAsia" w:ascii="宋体" w:hAnsi="宋体" w:cs="宋体"/>
                <w:szCs w:val="21"/>
              </w:rPr>
            </w:pPr>
            <w:r>
              <w:rPr>
                <w:rFonts w:hint="eastAsia" w:ascii="宋体" w:hAnsi="宋体" w:cs="宋体"/>
                <w:kern w:val="0"/>
                <w:szCs w:val="21"/>
                <w:lang w:bidi="ar"/>
              </w:rPr>
              <w:t>每增加 1 项满足资格审查条件</w:t>
            </w:r>
            <w:r>
              <w:rPr>
                <w:rFonts w:hint="eastAsia" w:ascii="宋体" w:hAnsi="宋体" w:cs="宋体"/>
                <w:szCs w:val="21"/>
              </w:rPr>
              <w:t>（业绩最低要求）</w:t>
            </w:r>
            <w:r>
              <w:rPr>
                <w:rFonts w:hint="eastAsia" w:ascii="宋体" w:hAnsi="宋体" w:cs="宋体"/>
                <w:kern w:val="0"/>
                <w:szCs w:val="21"/>
                <w:lang w:bidi="ar"/>
              </w:rPr>
              <w:t>的业绩，加3分，本项最多加6分。</w:t>
            </w:r>
          </w:p>
        </w:tc>
      </w:tr>
      <w:tr w14:paraId="0D05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10" w:type="dxa"/>
            <w:vMerge w:val="continue"/>
            <w:vAlign w:val="center"/>
          </w:tcPr>
          <w:p w14:paraId="33E742FD">
            <w:pPr>
              <w:wordWrap w:val="0"/>
              <w:jc w:val="center"/>
              <w:rPr>
                <w:rFonts w:hint="eastAsia" w:ascii="宋体" w:hAnsi="宋体" w:cs="宋体"/>
                <w:szCs w:val="21"/>
              </w:rPr>
            </w:pPr>
          </w:p>
        </w:tc>
        <w:tc>
          <w:tcPr>
            <w:tcW w:w="1170" w:type="dxa"/>
            <w:vMerge w:val="continue"/>
            <w:vAlign w:val="center"/>
          </w:tcPr>
          <w:p w14:paraId="4A01AA44">
            <w:pPr>
              <w:widowControl/>
              <w:wordWrap w:val="0"/>
              <w:jc w:val="center"/>
              <w:rPr>
                <w:rFonts w:hint="eastAsia" w:ascii="宋体" w:hAnsi="宋体" w:cs="宋体"/>
                <w:kern w:val="0"/>
                <w:szCs w:val="21"/>
                <w:lang w:bidi="ar"/>
              </w:rPr>
            </w:pPr>
          </w:p>
        </w:tc>
        <w:tc>
          <w:tcPr>
            <w:tcW w:w="7249" w:type="dxa"/>
            <w:gridSpan w:val="3"/>
            <w:vAlign w:val="center"/>
          </w:tcPr>
          <w:p w14:paraId="3CEDE20C">
            <w:pPr>
              <w:widowControl/>
              <w:wordWrap w:val="0"/>
              <w:jc w:val="left"/>
              <w:rPr>
                <w:rFonts w:hint="eastAsia" w:ascii="宋体" w:hAnsi="宋体" w:cs="宋体"/>
              </w:rPr>
            </w:pPr>
            <w:r>
              <w:rPr>
                <w:rFonts w:hint="eastAsia" w:ascii="宋体" w:hAnsi="宋体" w:cs="宋体"/>
                <w:szCs w:val="21"/>
              </w:rPr>
              <w:t>每有1</w:t>
            </w:r>
            <w:r>
              <w:rPr>
                <w:rFonts w:hint="eastAsia" w:ascii="宋体" w:hAnsi="宋体" w:cs="宋体"/>
                <w:kern w:val="0"/>
                <w:szCs w:val="21"/>
                <w:lang w:bidi="ar"/>
              </w:rPr>
              <w:t>项</w:t>
            </w:r>
            <w:r>
              <w:rPr>
                <w:rFonts w:hint="eastAsia" w:ascii="宋体" w:hAnsi="宋体" w:cs="宋体"/>
                <w:szCs w:val="21"/>
              </w:rPr>
              <w:t>科技项目获省部级（含行业学会/协会）及以上科技奖励，得2.5分，最高得5分。</w:t>
            </w:r>
          </w:p>
        </w:tc>
      </w:tr>
      <w:tr w14:paraId="7850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910" w:type="dxa"/>
            <w:vAlign w:val="center"/>
          </w:tcPr>
          <w:p w14:paraId="30327BA2">
            <w:pPr>
              <w:wordWrap w:val="0"/>
              <w:jc w:val="center"/>
              <w:rPr>
                <w:rFonts w:hint="eastAsia" w:ascii="宋体" w:hAnsi="宋体" w:cs="宋体"/>
                <w:szCs w:val="21"/>
              </w:rPr>
            </w:pPr>
            <w:r>
              <w:rPr>
                <w:rFonts w:hint="eastAsia" w:ascii="宋体" w:hAnsi="宋体" w:cs="宋体"/>
                <w:szCs w:val="21"/>
              </w:rPr>
              <w:t>2.2.4（4）</w:t>
            </w:r>
          </w:p>
        </w:tc>
        <w:tc>
          <w:tcPr>
            <w:tcW w:w="1170" w:type="dxa"/>
            <w:vAlign w:val="center"/>
          </w:tcPr>
          <w:p w14:paraId="1BBDBC83">
            <w:pPr>
              <w:widowControl/>
              <w:wordWrap w:val="0"/>
              <w:jc w:val="center"/>
              <w:rPr>
                <w:rFonts w:hint="eastAsia" w:ascii="宋体" w:hAnsi="宋体" w:cs="宋体"/>
                <w:szCs w:val="21"/>
              </w:rPr>
            </w:pPr>
            <w:r>
              <w:rPr>
                <w:rFonts w:hint="eastAsia" w:ascii="宋体" w:hAnsi="宋体" w:cs="宋体"/>
                <w:kern w:val="0"/>
                <w:szCs w:val="21"/>
                <w:lang w:bidi="ar"/>
              </w:rPr>
              <w:t>评标价</w:t>
            </w:r>
          </w:p>
          <w:p w14:paraId="58F5AC14">
            <w:pPr>
              <w:widowControl/>
              <w:wordWrap w:val="0"/>
              <w:rPr>
                <w:rFonts w:hint="eastAsia" w:ascii="宋体" w:hAnsi="宋体" w:cs="宋体"/>
                <w:kern w:val="0"/>
                <w:szCs w:val="21"/>
                <w:lang w:bidi="ar"/>
              </w:rPr>
            </w:pPr>
            <w:r>
              <w:rPr>
                <w:rFonts w:hint="eastAsia" w:ascii="宋体" w:hAnsi="宋体" w:cs="宋体"/>
                <w:kern w:val="0"/>
                <w:szCs w:val="21"/>
                <w:lang w:bidi="ar"/>
              </w:rPr>
              <w:t>（10分）</w:t>
            </w:r>
          </w:p>
        </w:tc>
        <w:tc>
          <w:tcPr>
            <w:tcW w:w="7249" w:type="dxa"/>
            <w:gridSpan w:val="3"/>
            <w:vAlign w:val="center"/>
          </w:tcPr>
          <w:p w14:paraId="63D767D6">
            <w:pPr>
              <w:widowControl/>
              <w:wordWrap w:val="0"/>
              <w:jc w:val="left"/>
              <w:rPr>
                <w:rFonts w:hint="eastAsia" w:ascii="宋体" w:hAnsi="宋体" w:cs="宋体"/>
                <w:szCs w:val="21"/>
              </w:rPr>
            </w:pPr>
            <w:r>
              <w:rPr>
                <w:rFonts w:hint="eastAsia" w:ascii="宋体" w:hAnsi="宋体" w:cs="宋体"/>
                <w:kern w:val="0"/>
                <w:szCs w:val="21"/>
                <w:lang w:bidi="ar"/>
              </w:rPr>
              <w:t>评标价得分计算公式示例：</w:t>
            </w:r>
          </w:p>
          <w:p w14:paraId="59B75E26">
            <w:pPr>
              <w:widowControl/>
              <w:wordWrap w:val="0"/>
              <w:jc w:val="left"/>
              <w:rPr>
                <w:rFonts w:hint="eastAsia" w:ascii="宋体" w:hAnsi="宋体" w:cs="宋体"/>
                <w:szCs w:val="21"/>
              </w:rPr>
            </w:pPr>
            <w:r>
              <w:rPr>
                <w:rFonts w:hint="eastAsia" w:ascii="宋体" w:hAnsi="宋体" w:cs="宋体"/>
                <w:kern w:val="0"/>
                <w:szCs w:val="21"/>
                <w:lang w:bidi="ar"/>
              </w:rPr>
              <w:t>（1）如果投标人的评标价＞评标基准价，则评标价得分=10-偏差率×100×E1；</w:t>
            </w:r>
          </w:p>
          <w:p w14:paraId="6AA3B6BD">
            <w:pPr>
              <w:widowControl/>
              <w:wordWrap w:val="0"/>
              <w:jc w:val="left"/>
              <w:rPr>
                <w:rFonts w:hint="eastAsia" w:ascii="宋体" w:hAnsi="宋体" w:cs="宋体"/>
                <w:szCs w:val="21"/>
              </w:rPr>
            </w:pPr>
            <w:r>
              <w:rPr>
                <w:rFonts w:hint="eastAsia" w:ascii="宋体" w:hAnsi="宋体" w:cs="宋体"/>
                <w:kern w:val="0"/>
                <w:szCs w:val="21"/>
                <w:lang w:bidi="ar"/>
              </w:rPr>
              <w:t>（2）如果投标人的评标价≤评标基准价，则评标价得分=10+偏差率×100×E2。</w:t>
            </w:r>
          </w:p>
          <w:p w14:paraId="25A64FD2">
            <w:pPr>
              <w:widowControl/>
              <w:wordWrap w:val="0"/>
              <w:jc w:val="left"/>
              <w:rPr>
                <w:rFonts w:hint="eastAsia" w:ascii="宋体" w:hAnsi="宋体" w:cs="宋体"/>
                <w:kern w:val="0"/>
                <w:szCs w:val="21"/>
                <w:lang w:bidi="ar"/>
              </w:rPr>
            </w:pPr>
            <w:r>
              <w:rPr>
                <w:rFonts w:hint="eastAsia" w:ascii="宋体" w:hAnsi="宋体" w:cs="宋体"/>
                <w:kern w:val="0"/>
                <w:szCs w:val="21"/>
                <w:lang w:bidi="ar"/>
              </w:rPr>
              <w:t>其中：E1=0.2 是评标价每高于评标基准价一个百分点的扣分值；E2=0.1 是评标价每低于评标基准价一个百分点的扣分值。投标价得分最低为 0分。</w:t>
            </w:r>
          </w:p>
        </w:tc>
      </w:tr>
    </w:tbl>
    <w:p w14:paraId="556CE99C">
      <w:pPr>
        <w:spacing w:line="288" w:lineRule="auto"/>
        <w:jc w:val="left"/>
        <w:outlineLvl w:val="2"/>
        <w:rPr>
          <w:rFonts w:hint="eastAsia" w:ascii="宋体" w:hAnsi="宋体" w:cs="宋体"/>
          <w:szCs w:val="21"/>
        </w:rPr>
      </w:pPr>
      <w:r>
        <w:rPr>
          <w:rFonts w:hint="eastAsia" w:ascii="宋体" w:hAnsi="宋体" w:cs="宋体"/>
          <w:szCs w:val="21"/>
        </w:rPr>
        <w:t>注：1、各评分因素得分应以评标委员会各成员各分项打分的平均值确定。评委打分取1位小数，打分平均值保留两位小数，第三位四舍五入。</w:t>
      </w:r>
    </w:p>
    <w:p w14:paraId="68020655">
      <w:r>
        <w:rPr>
          <w:rFonts w:hint="eastAsia" w:ascii="宋体" w:hAnsi="宋体" w:cs="宋体"/>
          <w:szCs w:val="21"/>
        </w:rPr>
        <w:t>2、</w:t>
      </w:r>
      <w:r>
        <w:rPr>
          <w:rFonts w:hint="eastAsia" w:ascii="宋体" w:hAnsi="宋体" w:cs="宋体"/>
          <w:kern w:val="0"/>
          <w:szCs w:val="21"/>
          <w:lang w:bidi="ar"/>
        </w:rPr>
        <w:t>技术服务建议书</w:t>
      </w:r>
      <w:r>
        <w:rPr>
          <w:rFonts w:hint="eastAsia" w:ascii="宋体" w:hAnsi="宋体" w:cs="宋体"/>
          <w:szCs w:val="21"/>
        </w:rPr>
        <w:t>存在缺项的，则该项计0分。</w:t>
      </w:r>
    </w:p>
    <w:sectPr>
      <w:pgSz w:w="11906" w:h="16838"/>
      <w:pgMar w:top="1135" w:right="1274" w:bottom="1134" w:left="127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FF3"/>
    <w:rsid w:val="00797B3E"/>
    <w:rsid w:val="00976FF3"/>
    <w:rsid w:val="00B96545"/>
    <w:rsid w:val="00DC343D"/>
    <w:rsid w:val="226A1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 w:type="paragraph" w:styleId="2">
    <w:name w:val="heading 1"/>
    <w:basedOn w:val="1"/>
    <w:next w:val="1"/>
    <w:link w:val="19"/>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20"/>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21"/>
    <w:unhideWhenUsed/>
    <w:qFormat/>
    <w:uiPriority w:val="0"/>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2"/>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6">
    <w:name w:val="heading 5"/>
    <w:basedOn w:val="1"/>
    <w:next w:val="1"/>
    <w:link w:val="23"/>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2F5597" w:themeColor="accent1" w:themeShade="BF"/>
      <w:sz w:val="24"/>
      <w14:ligatures w14:val="standardContextual"/>
    </w:rPr>
  </w:style>
  <w:style w:type="paragraph" w:styleId="7">
    <w:name w:val="heading 6"/>
    <w:basedOn w:val="1"/>
    <w:next w:val="1"/>
    <w:link w:val="24"/>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2F5597" w:themeColor="accent1" w:themeShade="BF"/>
      <w:sz w:val="22"/>
      <w14:ligatures w14:val="standardContextual"/>
    </w:rPr>
  </w:style>
  <w:style w:type="paragraph" w:styleId="8">
    <w:name w:val="heading 7"/>
    <w:basedOn w:val="1"/>
    <w:next w:val="1"/>
    <w:link w:val="25"/>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6"/>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7"/>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w:basedOn w:val="1"/>
    <w:next w:val="12"/>
    <w:link w:val="39"/>
    <w:qFormat/>
    <w:uiPriority w:val="99"/>
    <w:pPr>
      <w:spacing w:after="120"/>
    </w:pPr>
  </w:style>
  <w:style w:type="paragraph" w:styleId="12">
    <w:name w:val="Body Text 2"/>
    <w:basedOn w:val="1"/>
    <w:link w:val="41"/>
    <w:semiHidden/>
    <w:unhideWhenUsed/>
    <w:qFormat/>
    <w:uiPriority w:val="99"/>
    <w:pPr>
      <w:spacing w:after="120" w:line="480" w:lineRule="auto"/>
    </w:pPr>
  </w:style>
  <w:style w:type="paragraph" w:styleId="13">
    <w:name w:val="footer"/>
    <w:basedOn w:val="1"/>
    <w:link w:val="38"/>
    <w:unhideWhenUsed/>
    <w:qFormat/>
    <w:uiPriority w:val="99"/>
    <w:pPr>
      <w:tabs>
        <w:tab w:val="center" w:pos="4153"/>
        <w:tab w:val="right" w:pos="8306"/>
      </w:tabs>
      <w:snapToGrid w:val="0"/>
      <w:spacing w:after="160"/>
      <w:jc w:val="left"/>
    </w:pPr>
    <w:rPr>
      <w:rFonts w:asciiTheme="minorHAnsi" w:hAnsiTheme="minorHAnsi" w:eastAsiaTheme="minorEastAsia" w:cstheme="minorBidi"/>
      <w:sz w:val="18"/>
      <w:szCs w:val="18"/>
      <w14:ligatures w14:val="standardContextual"/>
    </w:rPr>
  </w:style>
  <w:style w:type="paragraph" w:styleId="14">
    <w:name w:val="header"/>
    <w:basedOn w:val="1"/>
    <w:link w:val="37"/>
    <w:unhideWhenUsed/>
    <w:qFormat/>
    <w:uiPriority w:val="99"/>
    <w:pPr>
      <w:tabs>
        <w:tab w:val="center" w:pos="4153"/>
        <w:tab w:val="right" w:pos="8306"/>
      </w:tabs>
      <w:snapToGrid w:val="0"/>
      <w:spacing w:after="160"/>
      <w:jc w:val="center"/>
    </w:pPr>
    <w:rPr>
      <w:rFonts w:asciiTheme="minorHAnsi" w:hAnsiTheme="minorHAnsi" w:eastAsiaTheme="minorEastAsia" w:cstheme="minorBidi"/>
      <w:sz w:val="18"/>
      <w:szCs w:val="18"/>
      <w14:ligatures w14:val="standardContextual"/>
    </w:rPr>
  </w:style>
  <w:style w:type="paragraph" w:styleId="15">
    <w:name w:val="Subtitle"/>
    <w:basedOn w:val="1"/>
    <w:next w:val="1"/>
    <w:link w:val="29"/>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6">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9">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8"/>
    <w:link w:val="4"/>
    <w:qFormat/>
    <w:uiPriority w:val="0"/>
    <w:rPr>
      <w:rFonts w:asciiTheme="majorHAnsi" w:hAnsiTheme="majorHAnsi" w:eastAsiaTheme="majorEastAsia" w:cstheme="majorBidi"/>
      <w:color w:val="2F5597" w:themeColor="accent1" w:themeShade="BF"/>
      <w:sz w:val="32"/>
      <w:szCs w:val="32"/>
    </w:rPr>
  </w:style>
  <w:style w:type="character" w:customStyle="1" w:styleId="22">
    <w:name w:val="标题 4 字符"/>
    <w:basedOn w:val="18"/>
    <w:link w:val="5"/>
    <w:semiHidden/>
    <w:qFormat/>
    <w:uiPriority w:val="9"/>
    <w:rPr>
      <w:rFonts w:cstheme="majorBidi"/>
      <w:color w:val="2F5597" w:themeColor="accent1" w:themeShade="BF"/>
      <w:sz w:val="28"/>
      <w:szCs w:val="28"/>
    </w:rPr>
  </w:style>
  <w:style w:type="character" w:customStyle="1" w:styleId="23">
    <w:name w:val="标题 5 字符"/>
    <w:basedOn w:val="18"/>
    <w:link w:val="6"/>
    <w:semiHidden/>
    <w:qFormat/>
    <w:uiPriority w:val="9"/>
    <w:rPr>
      <w:rFonts w:cstheme="majorBidi"/>
      <w:color w:val="2F5597" w:themeColor="accent1" w:themeShade="BF"/>
      <w:sz w:val="24"/>
    </w:rPr>
  </w:style>
  <w:style w:type="character" w:customStyle="1" w:styleId="24">
    <w:name w:val="标题 6 字符"/>
    <w:basedOn w:val="18"/>
    <w:link w:val="7"/>
    <w:semiHidden/>
    <w:qFormat/>
    <w:uiPriority w:val="9"/>
    <w:rPr>
      <w:rFonts w:cstheme="majorBidi"/>
      <w:b/>
      <w:bCs/>
      <w:color w:val="2F5597"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3">
    <w:name w:val="Intense Emphasis"/>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EastAsia" w:cstheme="minorBidi"/>
      <w:i/>
      <w:iCs/>
      <w:color w:val="2F5597" w:themeColor="accent1" w:themeShade="BF"/>
      <w:sz w:val="22"/>
      <w14:ligatures w14:val="standardContextual"/>
    </w:rPr>
  </w:style>
  <w:style w:type="character" w:customStyle="1" w:styleId="35">
    <w:name w:val="明显引用 字符"/>
    <w:basedOn w:val="18"/>
    <w:link w:val="34"/>
    <w:qFormat/>
    <w:uiPriority w:val="30"/>
    <w:rPr>
      <w:i/>
      <w:iCs/>
      <w:color w:val="2F5597" w:themeColor="accent1" w:themeShade="BF"/>
    </w:rPr>
  </w:style>
  <w:style w:type="character" w:customStyle="1" w:styleId="36">
    <w:name w:val="Intense Reference"/>
    <w:basedOn w:val="18"/>
    <w:qFormat/>
    <w:uiPriority w:val="32"/>
    <w:rPr>
      <w:b/>
      <w:bCs/>
      <w:smallCaps/>
      <w:color w:val="2F5597" w:themeColor="accent1" w:themeShade="BF"/>
      <w:spacing w:val="5"/>
    </w:rPr>
  </w:style>
  <w:style w:type="character" w:customStyle="1" w:styleId="37">
    <w:name w:val="页眉 字符"/>
    <w:basedOn w:val="18"/>
    <w:link w:val="14"/>
    <w:uiPriority w:val="99"/>
    <w:rPr>
      <w:sz w:val="18"/>
      <w:szCs w:val="18"/>
    </w:rPr>
  </w:style>
  <w:style w:type="character" w:customStyle="1" w:styleId="38">
    <w:name w:val="页脚 字符"/>
    <w:basedOn w:val="18"/>
    <w:link w:val="13"/>
    <w:qFormat/>
    <w:uiPriority w:val="99"/>
    <w:rPr>
      <w:sz w:val="18"/>
      <w:szCs w:val="18"/>
    </w:rPr>
  </w:style>
  <w:style w:type="character" w:customStyle="1" w:styleId="39">
    <w:name w:val="正文文本 字符"/>
    <w:basedOn w:val="18"/>
    <w:link w:val="11"/>
    <w:qFormat/>
    <w:uiPriority w:val="99"/>
    <w:rPr>
      <w:rFonts w:ascii="Times New Roman" w:hAnsi="Times New Roman" w:eastAsia="宋体" w:cs="Times New Roman"/>
      <w:sz w:val="21"/>
      <w14:ligatures w14:val="none"/>
    </w:rPr>
  </w:style>
  <w:style w:type="paragraph" w:customStyle="1" w:styleId="40">
    <w:name w:val="标题2"/>
    <w:basedOn w:val="3"/>
    <w:qFormat/>
    <w:uiPriority w:val="0"/>
    <w:pPr>
      <w:snapToGrid w:val="0"/>
      <w:spacing w:before="240" w:after="120" w:line="324" w:lineRule="auto"/>
      <w:jc w:val="both"/>
    </w:pPr>
    <w:rPr>
      <w:rFonts w:ascii="Arial" w:hAnsi="Arial" w:eastAsia="黑体" w:cs="Times New Roman"/>
      <w:b/>
      <w:bCs/>
      <w:color w:val="auto"/>
      <w:sz w:val="28"/>
      <w:szCs w:val="24"/>
      <w14:ligatures w14:val="none"/>
    </w:rPr>
  </w:style>
  <w:style w:type="character" w:customStyle="1" w:styleId="41">
    <w:name w:val="正文文本 2 字符"/>
    <w:basedOn w:val="18"/>
    <w:link w:val="12"/>
    <w:semiHidden/>
    <w:qFormat/>
    <w:uiPriority w:val="99"/>
    <w:rPr>
      <w:rFonts w:ascii="Times New Roman" w:hAnsi="Times New Roman" w:eastAsia="宋体" w:cs="Times New Roman"/>
      <w:sz w:val="21"/>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4089</Words>
  <Characters>4508</Characters>
  <Lines>58</Lines>
  <Paragraphs>16</Paragraphs>
  <TotalTime>2</TotalTime>
  <ScaleCrop>false</ScaleCrop>
  <LinksUpToDate>false</LinksUpToDate>
  <CharactersWithSpaces>4612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2025-03-11T08:10:00Z</dcterms:created>
  <dc:creator>m</dc:creator>
  <cp:lastModifiedBy>李娜</cp:lastModifiedBy>
  <dcterms:modified xsi:type="dcterms:W3CDTF">2025-03-12T00:19:55Z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eyJoZGlkIjoiOWYyZDYxNTJjZmI2NmVkYTMyOWVjMGFiZjEzZGM5NjgiLCJ1c2VySWQiOiIxNTI1NDExOTAzIn0=</vt:lpwstr>
  </property>
  <property fmtid="{D5CDD505-2E9C-101B-9397-08002B2CF9AE}" pid="3" name="KSOProductBuildVer">
    <vt:lpwstr>2052-12.1.0.20305</vt:lpwstr>
  </property>
  <property fmtid="{D5CDD505-2E9C-101B-9397-08002B2CF9AE}" pid="4" name="ICV">
    <vt:lpwstr>F4849974A5FF4601BBB122561B61AEAB_12</vt:lpwstr>
  </property>
</Properties>
</file>