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FA0CD">
      <w:pPr>
        <w:pStyle w:val="4"/>
        <w:rPr>
          <w:color w:val="auto"/>
          <w:highlight w:val="none"/>
        </w:rPr>
      </w:pPr>
      <w:bookmarkStart w:id="0" w:name="_Hlk517255404"/>
    </w:p>
    <w:p w14:paraId="188EDA5E">
      <w:pPr>
        <w:spacing w:line="360" w:lineRule="auto"/>
        <w:rPr>
          <w:rFonts w:hint="eastAsia" w:ascii="宋体" w:hAnsi="宋体" w:cs="宋体"/>
          <w:b/>
          <w:color w:val="auto"/>
          <w:sz w:val="24"/>
          <w:highlight w:val="none"/>
        </w:rPr>
      </w:pPr>
      <w:bookmarkStart w:id="1" w:name="_Toc514238201"/>
      <w:bookmarkStart w:id="26" w:name="_GoBack"/>
      <w:bookmarkEnd w:id="26"/>
      <w:r>
        <w:rPr>
          <w:rFonts w:hint="eastAsia" w:ascii="宋体" w:hAnsi="宋体" w:cs="宋体"/>
          <w:b/>
          <w:color w:val="auto"/>
          <w:sz w:val="24"/>
          <w:highlight w:val="none"/>
        </w:rPr>
        <w:t>附件1：资格审查条件</w:t>
      </w:r>
      <w:bookmarkEnd w:id="1"/>
    </w:p>
    <w:p w14:paraId="546CF788">
      <w:pPr>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附录1 </w:t>
      </w:r>
      <w:bookmarkStart w:id="2" w:name="_Hlk515531673"/>
      <w:r>
        <w:rPr>
          <w:rFonts w:hint="eastAsia" w:ascii="宋体" w:hAnsi="宋体" w:cs="宋体"/>
          <w:b/>
          <w:color w:val="auto"/>
          <w:sz w:val="24"/>
          <w:szCs w:val="24"/>
          <w:highlight w:val="none"/>
        </w:rPr>
        <w:t>资格审查条件（</w:t>
      </w:r>
      <w:bookmarkStart w:id="3" w:name="_Hlk93741047"/>
      <w:r>
        <w:rPr>
          <w:rFonts w:hint="eastAsia" w:ascii="宋体" w:hAnsi="宋体" w:cs="宋体"/>
          <w:b/>
          <w:color w:val="auto"/>
          <w:sz w:val="24"/>
          <w:szCs w:val="24"/>
          <w:highlight w:val="none"/>
        </w:rPr>
        <w:t>资质最低要求</w:t>
      </w:r>
      <w:bookmarkEnd w:id="3"/>
      <w:r>
        <w:rPr>
          <w:rFonts w:hint="eastAsia" w:ascii="宋体" w:hAnsi="宋体" w:cs="宋体"/>
          <w:b/>
          <w:color w:val="auto"/>
          <w:sz w:val="24"/>
          <w:szCs w:val="24"/>
          <w:highlight w:val="none"/>
        </w:rPr>
        <w:t>）</w:t>
      </w:r>
      <w:bookmarkEnd w:id="2"/>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E0F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2F42EEA1">
            <w:pPr>
              <w:pStyle w:val="6"/>
              <w:spacing w:before="0" w:beforeAutospacing="0" w:after="0" w:afterAutospacing="0" w:line="240" w:lineRule="auto"/>
              <w:ind w:firstLine="0"/>
              <w:contextualSpacing/>
              <w:jc w:val="center"/>
              <w:rPr>
                <w:rFonts w:hint="eastAsia" w:cs="宋体"/>
                <w:color w:val="auto"/>
                <w:highlight w:val="none"/>
              </w:rPr>
            </w:pPr>
            <w:r>
              <w:rPr>
                <w:rFonts w:hint="eastAsia" w:cs="宋体"/>
                <w:color w:val="auto"/>
                <w:highlight w:val="none"/>
              </w:rPr>
              <w:t>资质要求</w:t>
            </w:r>
          </w:p>
        </w:tc>
      </w:tr>
      <w:tr w14:paraId="7F66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jc w:val="center"/>
        </w:trPr>
        <w:tc>
          <w:tcPr>
            <w:tcW w:w="9286" w:type="dxa"/>
            <w:noWrap w:val="0"/>
            <w:vAlign w:val="center"/>
          </w:tcPr>
          <w:p w14:paraId="56D04115">
            <w:pPr>
              <w:spacing w:line="360" w:lineRule="exact"/>
              <w:jc w:val="left"/>
              <w:rPr>
                <w:rFonts w:ascii="宋体" w:hAnsi="宋体"/>
                <w:color w:val="auto"/>
                <w:sz w:val="24"/>
                <w:highlight w:val="none"/>
              </w:rPr>
            </w:pPr>
            <w:bookmarkStart w:id="4" w:name="_Hlk93741073"/>
            <w:r>
              <w:rPr>
                <w:rFonts w:hint="eastAsia" w:ascii="宋体" w:hAnsi="宋体"/>
                <w:color w:val="auto"/>
                <w:sz w:val="24"/>
                <w:highlight w:val="none"/>
              </w:rPr>
              <w:t>1.投标人为中华人民共和国境内注册的独立法人或合伙制企业，持有有效的企业营业执照。</w:t>
            </w:r>
          </w:p>
          <w:p w14:paraId="271E5750">
            <w:pPr>
              <w:spacing w:line="360" w:lineRule="exact"/>
              <w:jc w:val="left"/>
              <w:rPr>
                <w:rFonts w:hint="eastAsia" w:ascii="宋体" w:hAnsi="宋体"/>
                <w:color w:val="auto"/>
                <w:sz w:val="24"/>
                <w:highlight w:val="none"/>
              </w:rPr>
            </w:pPr>
            <w:r>
              <w:rPr>
                <w:rFonts w:hint="eastAsia" w:ascii="宋体" w:hAnsi="宋体"/>
                <w:color w:val="auto"/>
                <w:sz w:val="24"/>
                <w:highlight w:val="none"/>
              </w:rPr>
              <w:t>2.投标人具备会计师事务所执业证书和工程造价咨询相关业务能力。</w:t>
            </w:r>
          </w:p>
          <w:p w14:paraId="5F4EE510">
            <w:pPr>
              <w:spacing w:line="360" w:lineRule="exact"/>
              <w:jc w:val="left"/>
              <w:rPr>
                <w:rFonts w:hint="eastAsia" w:ascii="宋体" w:hAnsi="宋体" w:cs="宋体"/>
                <w:color w:val="auto"/>
                <w:sz w:val="24"/>
                <w:szCs w:val="24"/>
                <w:highlight w:val="none"/>
              </w:rPr>
            </w:pPr>
            <w:r>
              <w:rPr>
                <w:rFonts w:hint="eastAsia" w:ascii="宋体" w:hAnsi="宋体"/>
                <w:color w:val="auto"/>
                <w:sz w:val="24"/>
                <w:highlight w:val="none"/>
              </w:rPr>
              <w:t>注：以联合体形式投标的，联合体所有成员均需满足第1项要求。联合体牵头人应具有会计师事务所执业证书。</w:t>
            </w:r>
          </w:p>
        </w:tc>
      </w:tr>
      <w:bookmarkEnd w:id="4"/>
    </w:tbl>
    <w:p w14:paraId="3DEAF5AC">
      <w:pPr>
        <w:adjustRightInd w:val="0"/>
        <w:jc w:val="center"/>
        <w:rPr>
          <w:rFonts w:hint="eastAsia" w:ascii="宋体" w:hAnsi="宋体" w:cs="宋体"/>
          <w:b/>
          <w:color w:val="auto"/>
          <w:sz w:val="24"/>
          <w:szCs w:val="24"/>
          <w:highlight w:val="none"/>
        </w:rPr>
      </w:pPr>
    </w:p>
    <w:p w14:paraId="182A45F2">
      <w:pPr>
        <w:adjustRightInd w:val="0"/>
        <w:jc w:val="center"/>
        <w:rPr>
          <w:rFonts w:hint="eastAsia" w:ascii="宋体" w:hAnsi="宋体" w:cs="宋体"/>
          <w:b/>
          <w:color w:val="auto"/>
          <w:sz w:val="24"/>
          <w:szCs w:val="24"/>
          <w:highlight w:val="none"/>
        </w:rPr>
      </w:pPr>
      <w:r>
        <w:rPr>
          <w:rStyle w:val="10"/>
          <w:rFonts w:hint="eastAsia" w:ascii="宋体" w:hAnsi="宋体" w:eastAsia="宋体" w:cs="宋体"/>
          <w:b/>
          <w:bCs/>
          <w:color w:val="auto"/>
          <w:highlight w:val="none"/>
        </w:rPr>
        <w:t xml:space="preserve">附录2  </w:t>
      </w:r>
      <w:r>
        <w:rPr>
          <w:rFonts w:hint="eastAsia" w:ascii="宋体" w:hAnsi="宋体" w:cs="宋体"/>
          <w:b/>
          <w:color w:val="auto"/>
          <w:sz w:val="24"/>
          <w:szCs w:val="24"/>
          <w:highlight w:val="none"/>
        </w:rPr>
        <w:t>资格审查条件（</w:t>
      </w:r>
      <w:bookmarkStart w:id="5" w:name="_Hlk93740530"/>
      <w:r>
        <w:rPr>
          <w:rFonts w:hint="eastAsia" w:ascii="宋体" w:hAnsi="宋体" w:cs="宋体"/>
          <w:b/>
          <w:color w:val="auto"/>
          <w:sz w:val="24"/>
          <w:szCs w:val="24"/>
          <w:highlight w:val="none"/>
        </w:rPr>
        <w:t>业绩最低要求</w:t>
      </w:r>
      <w:bookmarkEnd w:id="5"/>
      <w:r>
        <w:rPr>
          <w:rFonts w:hint="eastAsia" w:ascii="宋体" w:hAnsi="宋体" w:cs="宋体"/>
          <w:b/>
          <w:color w:val="auto"/>
          <w:sz w:val="24"/>
          <w:szCs w:val="24"/>
          <w:highlight w:val="none"/>
        </w:rPr>
        <w:t>）</w:t>
      </w:r>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5"/>
        <w:gridCol w:w="7571"/>
      </w:tblGrid>
      <w:tr w14:paraId="35980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715" w:type="dxa"/>
            <w:noWrap w:val="0"/>
            <w:vAlign w:val="center"/>
          </w:tcPr>
          <w:p w14:paraId="2EB5616C">
            <w:pPr>
              <w:pStyle w:val="6"/>
              <w:spacing w:before="0" w:beforeAutospacing="0" w:after="0" w:afterAutospacing="0" w:line="240" w:lineRule="auto"/>
              <w:ind w:firstLine="0"/>
              <w:contextualSpacing/>
              <w:jc w:val="center"/>
              <w:rPr>
                <w:rFonts w:hint="eastAsia" w:eastAsia="宋体" w:cs="宋体"/>
                <w:color w:val="auto"/>
                <w:highlight w:val="none"/>
                <w:lang w:val="en-US" w:eastAsia="zh-CN"/>
              </w:rPr>
            </w:pPr>
            <w:r>
              <w:rPr>
                <w:rFonts w:hint="eastAsia" w:cs="宋体"/>
                <w:color w:val="auto"/>
                <w:highlight w:val="none"/>
                <w:lang w:val="en-US" w:eastAsia="zh-CN"/>
              </w:rPr>
              <w:t>标段号</w:t>
            </w:r>
          </w:p>
        </w:tc>
        <w:tc>
          <w:tcPr>
            <w:tcW w:w="7571" w:type="dxa"/>
            <w:noWrap w:val="0"/>
            <w:vAlign w:val="center"/>
          </w:tcPr>
          <w:p w14:paraId="20F20E38">
            <w:pPr>
              <w:pStyle w:val="6"/>
              <w:spacing w:before="0" w:beforeAutospacing="0" w:after="0" w:afterAutospacing="0" w:line="240" w:lineRule="auto"/>
              <w:ind w:firstLine="0"/>
              <w:contextualSpacing/>
              <w:jc w:val="center"/>
              <w:rPr>
                <w:rFonts w:hint="eastAsia" w:cs="宋体"/>
                <w:color w:val="auto"/>
                <w:highlight w:val="none"/>
              </w:rPr>
            </w:pPr>
            <w:r>
              <w:rPr>
                <w:rFonts w:hint="eastAsia" w:cs="宋体"/>
                <w:color w:val="auto"/>
                <w:highlight w:val="none"/>
              </w:rPr>
              <w:t>业绩要求</w:t>
            </w:r>
          </w:p>
        </w:tc>
      </w:tr>
      <w:tr w14:paraId="21F81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715" w:type="dxa"/>
            <w:noWrap w:val="0"/>
            <w:vAlign w:val="center"/>
          </w:tcPr>
          <w:p w14:paraId="7A0F399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SJ1</w:t>
            </w:r>
          </w:p>
          <w:p w14:paraId="65175B7D">
            <w:pPr>
              <w:spacing w:line="360" w:lineRule="exact"/>
              <w:jc w:val="center"/>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rPr>
              <w:t>SJ2</w:t>
            </w:r>
          </w:p>
        </w:tc>
        <w:tc>
          <w:tcPr>
            <w:tcW w:w="7571" w:type="dxa"/>
            <w:noWrap w:val="0"/>
            <w:vAlign w:val="center"/>
          </w:tcPr>
          <w:p w14:paraId="4FDFA520">
            <w:pPr>
              <w:spacing w:line="360" w:lineRule="exact"/>
              <w:rPr>
                <w:rFonts w:ascii="宋体" w:hAnsi="宋体"/>
                <w:color w:val="auto"/>
                <w:sz w:val="24"/>
                <w:highlight w:val="none"/>
              </w:rPr>
            </w:pPr>
            <w:r>
              <w:rPr>
                <w:rFonts w:hint="eastAsia" w:ascii="宋体" w:hAnsi="宋体"/>
                <w:color w:val="auto"/>
                <w:sz w:val="24"/>
                <w:highlight w:val="none"/>
              </w:rPr>
              <w:t>1.独立投标的：</w:t>
            </w:r>
          </w:p>
          <w:p w14:paraId="360DD52B">
            <w:pPr>
              <w:spacing w:line="360" w:lineRule="exact"/>
              <w:rPr>
                <w:rFonts w:hint="eastAsia" w:ascii="宋体" w:hAnsi="宋体"/>
                <w:color w:val="auto"/>
                <w:sz w:val="24"/>
                <w:highlight w:val="none"/>
              </w:rPr>
            </w:pPr>
            <w:r>
              <w:rPr>
                <w:rFonts w:hint="eastAsia" w:ascii="宋体" w:hAnsi="宋体"/>
                <w:color w:val="auto"/>
                <w:sz w:val="24"/>
                <w:highlight w:val="none"/>
              </w:rPr>
              <w:t>（1）投标人至少</w:t>
            </w:r>
            <w:r>
              <w:rPr>
                <w:rFonts w:hint="eastAsia" w:ascii="宋体" w:hAnsi="宋体"/>
                <w:color w:val="auto"/>
                <w:sz w:val="24"/>
                <w:highlight w:val="none"/>
                <w:lang w:val="en-US" w:eastAsia="zh-CN"/>
              </w:rPr>
              <w:t>承担</w:t>
            </w:r>
            <w:r>
              <w:rPr>
                <w:rFonts w:hint="eastAsia" w:ascii="宋体" w:hAnsi="宋体"/>
                <w:color w:val="auto"/>
                <w:sz w:val="24"/>
                <w:highlight w:val="none"/>
              </w:rPr>
              <w:t>过一项审计内容的投资额在</w:t>
            </w:r>
            <w:r>
              <w:rPr>
                <w:rFonts w:hint="eastAsia" w:ascii="宋体" w:hAnsi="宋体"/>
                <w:color w:val="auto"/>
                <w:sz w:val="24"/>
                <w:highlight w:val="none"/>
                <w:lang w:val="en-US" w:eastAsia="zh-CN"/>
              </w:rPr>
              <w:t>6亿</w:t>
            </w:r>
            <w:r>
              <w:rPr>
                <w:rFonts w:hint="eastAsia" w:ascii="宋体" w:hAnsi="宋体"/>
                <w:color w:val="auto"/>
                <w:sz w:val="24"/>
                <w:highlight w:val="none"/>
              </w:rPr>
              <w:t>元以上的交通基础设施项目跟踪审计业务，且</w:t>
            </w:r>
            <w:r>
              <w:rPr>
                <w:rFonts w:hint="eastAsia" w:ascii="宋体" w:hAnsi="宋体"/>
                <w:color w:val="auto"/>
                <w:sz w:val="24"/>
                <w:highlight w:val="none"/>
                <w:lang w:eastAsia="zh-CN"/>
              </w:rPr>
              <w:t>每项审计业务</w:t>
            </w:r>
            <w:r>
              <w:rPr>
                <w:rFonts w:hint="eastAsia" w:ascii="宋体" w:hAnsi="宋体"/>
                <w:color w:val="auto"/>
                <w:sz w:val="24"/>
                <w:highlight w:val="none"/>
              </w:rPr>
              <w:t>出具了不少于3期（出具日期在20</w:t>
            </w:r>
            <w:r>
              <w:rPr>
                <w:rFonts w:hint="eastAsia" w:ascii="宋体" w:hAnsi="宋体"/>
                <w:color w:val="auto"/>
                <w:sz w:val="24"/>
                <w:highlight w:val="none"/>
                <w:lang w:val="en-US" w:eastAsia="zh-CN"/>
              </w:rPr>
              <w:t>20</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月1日至今）财务审计报告（含正在实施的审计项目）。</w:t>
            </w:r>
          </w:p>
          <w:p w14:paraId="359E443F">
            <w:pPr>
              <w:spacing w:line="360" w:lineRule="exact"/>
              <w:rPr>
                <w:rFonts w:ascii="宋体" w:hAnsi="宋体"/>
                <w:color w:val="auto"/>
                <w:sz w:val="24"/>
                <w:highlight w:val="none"/>
              </w:rPr>
            </w:pPr>
            <w:r>
              <w:rPr>
                <w:rFonts w:hint="eastAsia" w:ascii="宋体" w:hAnsi="宋体"/>
                <w:color w:val="auto"/>
                <w:sz w:val="24"/>
                <w:highlight w:val="none"/>
              </w:rPr>
              <w:t>（2）投标人至少</w:t>
            </w:r>
            <w:r>
              <w:rPr>
                <w:rFonts w:hint="eastAsia" w:ascii="宋体" w:hAnsi="宋体"/>
                <w:color w:val="auto"/>
                <w:sz w:val="24"/>
                <w:highlight w:val="none"/>
                <w:lang w:val="en-US" w:eastAsia="zh-CN"/>
              </w:rPr>
              <w:t>承担</w:t>
            </w:r>
            <w:r>
              <w:rPr>
                <w:rFonts w:hint="eastAsia" w:ascii="宋体" w:hAnsi="宋体"/>
                <w:color w:val="auto"/>
                <w:sz w:val="24"/>
                <w:highlight w:val="none"/>
              </w:rPr>
              <w:t>过一项审计内容的投资额在</w:t>
            </w:r>
            <w:r>
              <w:rPr>
                <w:rFonts w:hint="eastAsia" w:ascii="宋体" w:hAnsi="宋体"/>
                <w:color w:val="auto"/>
                <w:sz w:val="24"/>
                <w:highlight w:val="none"/>
                <w:lang w:val="en-US" w:eastAsia="zh-CN"/>
              </w:rPr>
              <w:t>3亿</w:t>
            </w:r>
            <w:r>
              <w:rPr>
                <w:rFonts w:hint="eastAsia" w:ascii="宋体" w:hAnsi="宋体"/>
                <w:color w:val="auto"/>
                <w:sz w:val="24"/>
                <w:highlight w:val="none"/>
              </w:rPr>
              <w:t>元以上的交通基础设施项目跟踪审计业务，</w:t>
            </w:r>
            <w:r>
              <w:rPr>
                <w:rFonts w:hint="eastAsia" w:ascii="宋体" w:hAnsi="宋体"/>
                <w:color w:val="auto"/>
                <w:sz w:val="24"/>
                <w:highlight w:val="none"/>
                <w:lang w:eastAsia="zh-CN"/>
              </w:rPr>
              <w:t>且每项审计业务出具了</w:t>
            </w:r>
            <w:r>
              <w:rPr>
                <w:rFonts w:hint="eastAsia" w:ascii="宋体" w:hAnsi="宋体"/>
                <w:color w:val="auto"/>
                <w:sz w:val="24"/>
                <w:highlight w:val="none"/>
              </w:rPr>
              <w:t>不少于3期（出具日期在20</w:t>
            </w:r>
            <w:r>
              <w:rPr>
                <w:rFonts w:hint="eastAsia" w:ascii="宋体" w:hAnsi="宋体"/>
                <w:color w:val="auto"/>
                <w:sz w:val="24"/>
                <w:highlight w:val="none"/>
                <w:lang w:val="en-US" w:eastAsia="zh-CN"/>
              </w:rPr>
              <w:t>20</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月1日至今）工程造价审计或审核报告（含正在实施的审计项目）。</w:t>
            </w:r>
          </w:p>
          <w:p w14:paraId="2EF155A6">
            <w:pPr>
              <w:spacing w:line="360" w:lineRule="exact"/>
              <w:rPr>
                <w:rFonts w:ascii="宋体" w:hAnsi="宋体"/>
                <w:color w:val="auto"/>
                <w:sz w:val="24"/>
                <w:highlight w:val="none"/>
              </w:rPr>
            </w:pPr>
            <w:r>
              <w:rPr>
                <w:rFonts w:hint="eastAsia" w:ascii="宋体" w:hAnsi="宋体"/>
                <w:color w:val="auto"/>
                <w:sz w:val="24"/>
                <w:highlight w:val="none"/>
              </w:rPr>
              <w:t>2.以联合体形式投标的：</w:t>
            </w:r>
          </w:p>
          <w:p w14:paraId="36826C74">
            <w:pPr>
              <w:spacing w:line="360" w:lineRule="exact"/>
              <w:rPr>
                <w:rFonts w:ascii="宋体" w:hAnsi="宋体"/>
                <w:color w:val="auto"/>
                <w:sz w:val="24"/>
                <w:highlight w:val="none"/>
              </w:rPr>
            </w:pPr>
            <w:r>
              <w:rPr>
                <w:rFonts w:hint="eastAsia" w:ascii="宋体" w:hAnsi="宋体"/>
                <w:color w:val="auto"/>
                <w:sz w:val="24"/>
                <w:highlight w:val="none"/>
              </w:rPr>
              <w:t>（1）联合体牵头人至少</w:t>
            </w:r>
            <w:r>
              <w:rPr>
                <w:rFonts w:hint="eastAsia" w:ascii="宋体" w:hAnsi="宋体"/>
                <w:color w:val="auto"/>
                <w:sz w:val="24"/>
                <w:highlight w:val="none"/>
                <w:lang w:val="en-US" w:eastAsia="zh-CN"/>
              </w:rPr>
              <w:t>承担</w:t>
            </w:r>
            <w:r>
              <w:rPr>
                <w:rFonts w:hint="eastAsia" w:ascii="宋体" w:hAnsi="宋体"/>
                <w:color w:val="auto"/>
                <w:sz w:val="24"/>
                <w:highlight w:val="none"/>
              </w:rPr>
              <w:t>过一项审计内容的投资额在</w:t>
            </w:r>
            <w:r>
              <w:rPr>
                <w:rFonts w:hint="eastAsia" w:ascii="宋体" w:hAnsi="宋体"/>
                <w:color w:val="auto"/>
                <w:sz w:val="24"/>
                <w:highlight w:val="none"/>
                <w:lang w:val="en-US" w:eastAsia="zh-CN"/>
              </w:rPr>
              <w:t>6亿</w:t>
            </w:r>
            <w:r>
              <w:rPr>
                <w:rFonts w:hint="eastAsia" w:ascii="宋体" w:hAnsi="宋体"/>
                <w:color w:val="auto"/>
                <w:sz w:val="24"/>
                <w:highlight w:val="none"/>
              </w:rPr>
              <w:t>元以上的交通基础设施项目跟踪审计业务，</w:t>
            </w:r>
            <w:r>
              <w:rPr>
                <w:rFonts w:hint="eastAsia" w:ascii="宋体" w:hAnsi="宋体"/>
                <w:color w:val="auto"/>
                <w:sz w:val="24"/>
                <w:highlight w:val="none"/>
                <w:lang w:eastAsia="zh-CN"/>
              </w:rPr>
              <w:t>且每项审计业务出具了</w:t>
            </w:r>
            <w:r>
              <w:rPr>
                <w:rFonts w:hint="eastAsia" w:ascii="宋体" w:hAnsi="宋体"/>
                <w:color w:val="auto"/>
                <w:sz w:val="24"/>
                <w:highlight w:val="none"/>
              </w:rPr>
              <w:t>不少于3期（出具日期在20</w:t>
            </w:r>
            <w:r>
              <w:rPr>
                <w:rFonts w:hint="eastAsia" w:ascii="宋体" w:hAnsi="宋体"/>
                <w:color w:val="auto"/>
                <w:sz w:val="24"/>
                <w:highlight w:val="none"/>
                <w:lang w:val="en-US" w:eastAsia="zh-CN"/>
              </w:rPr>
              <w:t>20</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月1日至今）财务审计报告（含正在实施的审计项目）。</w:t>
            </w:r>
          </w:p>
          <w:p w14:paraId="2DD389A7">
            <w:pPr>
              <w:pStyle w:val="4"/>
              <w:rPr>
                <w:rFonts w:hint="eastAsia" w:ascii="宋体" w:hAnsi="宋体"/>
                <w:color w:val="auto"/>
                <w:sz w:val="24"/>
                <w:highlight w:val="none"/>
              </w:rPr>
            </w:pPr>
            <w:r>
              <w:rPr>
                <w:rFonts w:hint="eastAsia" w:ascii="宋体" w:hAnsi="宋体"/>
                <w:color w:val="auto"/>
                <w:sz w:val="24"/>
                <w:highlight w:val="none"/>
              </w:rPr>
              <w:t>（2）联合体成员至少</w:t>
            </w:r>
            <w:r>
              <w:rPr>
                <w:rFonts w:hint="eastAsia" w:ascii="宋体" w:hAnsi="宋体"/>
                <w:color w:val="auto"/>
                <w:sz w:val="24"/>
                <w:highlight w:val="none"/>
                <w:lang w:val="en-US" w:eastAsia="zh-CN"/>
              </w:rPr>
              <w:t>承担</w:t>
            </w:r>
            <w:r>
              <w:rPr>
                <w:rFonts w:hint="eastAsia" w:ascii="宋体" w:hAnsi="宋体"/>
                <w:color w:val="auto"/>
                <w:sz w:val="24"/>
                <w:highlight w:val="none"/>
              </w:rPr>
              <w:t>过一项审计内容的投资额在</w:t>
            </w:r>
            <w:r>
              <w:rPr>
                <w:rFonts w:hint="eastAsia" w:ascii="宋体" w:hAnsi="宋体"/>
                <w:color w:val="auto"/>
                <w:sz w:val="24"/>
                <w:highlight w:val="none"/>
                <w:lang w:val="en-US" w:eastAsia="zh-CN"/>
              </w:rPr>
              <w:t>3亿</w:t>
            </w:r>
            <w:r>
              <w:rPr>
                <w:rFonts w:hint="eastAsia" w:ascii="宋体" w:hAnsi="宋体"/>
                <w:color w:val="auto"/>
                <w:sz w:val="24"/>
                <w:highlight w:val="none"/>
              </w:rPr>
              <w:t>元以上的交通基础设施项目跟踪审计业务，</w:t>
            </w:r>
            <w:r>
              <w:rPr>
                <w:rFonts w:hint="eastAsia" w:ascii="宋体" w:hAnsi="宋体"/>
                <w:color w:val="auto"/>
                <w:sz w:val="24"/>
                <w:highlight w:val="none"/>
                <w:lang w:eastAsia="zh-CN"/>
              </w:rPr>
              <w:t>且每项审计业务出具了</w:t>
            </w:r>
            <w:r>
              <w:rPr>
                <w:rFonts w:hint="eastAsia" w:ascii="宋体" w:hAnsi="宋体"/>
                <w:color w:val="auto"/>
                <w:sz w:val="24"/>
                <w:highlight w:val="none"/>
              </w:rPr>
              <w:t>不少于3期（出具日期在20</w:t>
            </w:r>
            <w:r>
              <w:rPr>
                <w:rFonts w:hint="eastAsia" w:ascii="宋体" w:hAnsi="宋体"/>
                <w:color w:val="auto"/>
                <w:sz w:val="24"/>
                <w:highlight w:val="none"/>
                <w:lang w:val="en-US" w:eastAsia="zh-CN"/>
              </w:rPr>
              <w:t>20</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月1日至今）工程造价审计或审核报告（含正在实施的审计项目）。</w:t>
            </w:r>
          </w:p>
          <w:p w14:paraId="2DE490B4">
            <w:pPr>
              <w:pStyle w:val="4"/>
              <w:rPr>
                <w:rFonts w:hint="eastAsia" w:ascii="宋体" w:hAnsi="宋体"/>
                <w:color w:val="auto"/>
                <w:sz w:val="24"/>
                <w:highlight w:val="none"/>
                <w:lang w:val="en-US" w:eastAsia="zh-CN"/>
              </w:rPr>
            </w:pPr>
            <w:r>
              <w:rPr>
                <w:rFonts w:hint="eastAsia" w:ascii="宋体" w:hAnsi="宋体"/>
                <w:b/>
                <w:bCs/>
                <w:color w:val="auto"/>
                <w:sz w:val="24"/>
                <w:highlight w:val="none"/>
                <w:lang w:val="en-US" w:eastAsia="zh-CN"/>
              </w:rPr>
              <w:t>注：在同一交通基础设施项目中联合体牵头人和联合体成员均承担审计业务的，可分别确认审计业绩。</w:t>
            </w:r>
          </w:p>
        </w:tc>
      </w:tr>
    </w:tbl>
    <w:p w14:paraId="64A985A9">
      <w:pPr>
        <w:adjustRightInd w:val="0"/>
        <w:jc w:val="center"/>
        <w:rPr>
          <w:rFonts w:hint="eastAsia" w:ascii="宋体" w:hAnsi="宋体" w:cs="宋体"/>
          <w:b/>
          <w:color w:val="auto"/>
          <w:sz w:val="24"/>
          <w:szCs w:val="24"/>
          <w:highlight w:val="none"/>
        </w:rPr>
      </w:pPr>
    </w:p>
    <w:p w14:paraId="50EE6BFD">
      <w:pPr>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附录</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 xml:space="preserve"> 资格审查条件（</w:t>
      </w:r>
      <w:bookmarkStart w:id="6" w:name="_Hlk93740552"/>
      <w:r>
        <w:rPr>
          <w:rFonts w:hint="eastAsia" w:ascii="宋体" w:hAnsi="宋体" w:cs="宋体"/>
          <w:b/>
          <w:color w:val="auto"/>
          <w:sz w:val="24"/>
          <w:szCs w:val="24"/>
          <w:highlight w:val="none"/>
        </w:rPr>
        <w:t>信誉最低要求</w:t>
      </w:r>
      <w:bookmarkEnd w:id="6"/>
      <w:r>
        <w:rPr>
          <w:rFonts w:hint="eastAsia" w:ascii="宋体" w:hAnsi="宋体" w:cs="宋体"/>
          <w:b/>
          <w:color w:val="auto"/>
          <w:sz w:val="24"/>
          <w:szCs w:val="24"/>
          <w:highlight w:val="none"/>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7256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jc w:val="center"/>
        </w:trPr>
        <w:tc>
          <w:tcPr>
            <w:tcW w:w="9286" w:type="dxa"/>
            <w:noWrap w:val="0"/>
            <w:vAlign w:val="center"/>
          </w:tcPr>
          <w:p w14:paraId="261BF180">
            <w:pPr>
              <w:pStyle w:val="6"/>
              <w:spacing w:before="0" w:beforeAutospacing="0" w:after="0" w:afterAutospacing="0" w:line="240" w:lineRule="auto"/>
              <w:ind w:firstLine="0"/>
              <w:contextualSpacing/>
              <w:jc w:val="center"/>
              <w:rPr>
                <w:rFonts w:hint="eastAsia" w:cs="宋体"/>
                <w:color w:val="auto"/>
                <w:highlight w:val="none"/>
              </w:rPr>
            </w:pPr>
            <w:r>
              <w:rPr>
                <w:rFonts w:hint="eastAsia" w:cs="宋体"/>
                <w:color w:val="auto"/>
                <w:highlight w:val="none"/>
              </w:rPr>
              <w:t>信誉要求</w:t>
            </w:r>
          </w:p>
        </w:tc>
      </w:tr>
      <w:tr w14:paraId="37973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14:paraId="3F8739DB">
            <w:pPr>
              <w:spacing w:line="360" w:lineRule="exact"/>
              <w:jc w:val="left"/>
              <w:rPr>
                <w:rFonts w:ascii="宋体" w:hAnsi="宋体"/>
                <w:color w:val="auto"/>
                <w:sz w:val="24"/>
                <w:highlight w:val="none"/>
              </w:rPr>
            </w:pPr>
            <w:r>
              <w:rPr>
                <w:rFonts w:hint="eastAsia" w:ascii="宋体" w:hAnsi="宋体"/>
                <w:color w:val="auto"/>
                <w:sz w:val="24"/>
                <w:highlight w:val="none"/>
              </w:rPr>
              <w:t>1.投标人在近3年（202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月1日至今）中不曾在高速公路项目审计合同中违约而被驱逐或因任何原因而使审计合同被解除；</w:t>
            </w:r>
          </w:p>
          <w:p w14:paraId="75CCDD0A">
            <w:pPr>
              <w:pStyle w:val="4"/>
              <w:rPr>
                <w:rFonts w:ascii="宋体" w:hAnsi="宋体" w:eastAsia="宋体"/>
                <w:color w:val="auto"/>
                <w:sz w:val="24"/>
                <w:szCs w:val="22"/>
                <w:highlight w:val="none"/>
              </w:rPr>
            </w:pPr>
            <w:r>
              <w:rPr>
                <w:rFonts w:hint="eastAsia" w:ascii="宋体" w:hAnsi="宋体" w:eastAsia="宋体"/>
                <w:color w:val="auto"/>
                <w:sz w:val="24"/>
                <w:szCs w:val="22"/>
                <w:highlight w:val="none"/>
              </w:rPr>
              <w:t>2.投标人未受到审计、财政、监察、税务、工商、证券监管、银行监管、交通主管部门等有关部门查处且尚未解除从业限制。</w:t>
            </w:r>
          </w:p>
          <w:p w14:paraId="23AAAD1A">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注：以联合体形式投标的，联合体所有成员均需满足</w:t>
            </w:r>
            <w:r>
              <w:rPr>
                <w:rFonts w:hint="eastAsia" w:ascii="宋体" w:hAnsi="宋体" w:cs="宋体"/>
                <w:color w:val="auto"/>
                <w:sz w:val="24"/>
                <w:szCs w:val="24"/>
                <w:highlight w:val="none"/>
                <w:lang w:val="en-US" w:eastAsia="zh-CN"/>
              </w:rPr>
              <w:t>以上全部</w:t>
            </w:r>
            <w:r>
              <w:rPr>
                <w:rFonts w:hint="eastAsia" w:ascii="宋体" w:hAnsi="宋体" w:cs="宋体"/>
                <w:color w:val="auto"/>
                <w:sz w:val="24"/>
                <w:szCs w:val="24"/>
                <w:highlight w:val="none"/>
              </w:rPr>
              <w:t>要求。</w:t>
            </w:r>
          </w:p>
        </w:tc>
      </w:tr>
    </w:tbl>
    <w:p w14:paraId="3CA1AB64">
      <w:pPr>
        <w:adjustRightInd w:val="0"/>
        <w:jc w:val="center"/>
        <w:rPr>
          <w:rFonts w:hint="eastAsia" w:ascii="宋体" w:hAnsi="宋体" w:cs="宋体"/>
          <w:b/>
          <w:color w:val="auto"/>
          <w:sz w:val="24"/>
          <w:szCs w:val="24"/>
          <w:highlight w:val="none"/>
        </w:rPr>
      </w:pPr>
    </w:p>
    <w:p w14:paraId="208D1FF9">
      <w:pPr>
        <w:adjustRightInd w:val="0"/>
        <w:jc w:val="center"/>
        <w:rPr>
          <w:rFonts w:hint="eastAsia" w:ascii="宋体" w:hAnsi="宋体" w:cs="宋体"/>
          <w:b/>
          <w:color w:val="auto"/>
          <w:sz w:val="24"/>
          <w:szCs w:val="24"/>
          <w:highlight w:val="none"/>
        </w:rPr>
      </w:pPr>
      <w:bookmarkStart w:id="7" w:name="_Hlk515531639"/>
      <w:r>
        <w:rPr>
          <w:rFonts w:hint="eastAsia" w:ascii="宋体" w:hAnsi="宋体" w:cs="宋体"/>
          <w:b/>
          <w:color w:val="auto"/>
          <w:sz w:val="24"/>
          <w:szCs w:val="24"/>
          <w:highlight w:val="none"/>
        </w:rPr>
        <w:t>附录</w:t>
      </w:r>
      <w:r>
        <w:rPr>
          <w:rFonts w:hint="eastAsia" w:ascii="宋体" w:hAnsi="宋体" w:cs="宋体"/>
          <w:b/>
          <w:color w:val="auto"/>
          <w:sz w:val="24"/>
          <w:szCs w:val="24"/>
          <w:highlight w:val="none"/>
          <w:lang w:val="en-US" w:eastAsia="zh-CN"/>
        </w:rPr>
        <w:t xml:space="preserve">4 </w:t>
      </w:r>
      <w:r>
        <w:rPr>
          <w:rFonts w:hint="eastAsia" w:ascii="宋体" w:hAnsi="宋体" w:cs="宋体"/>
          <w:b/>
          <w:color w:val="auto"/>
          <w:sz w:val="24"/>
          <w:szCs w:val="24"/>
          <w:highlight w:val="none"/>
        </w:rPr>
        <w:t>资格审查条件（专业人员及拟投入本项目的主要审计人员最低要求）</w:t>
      </w:r>
      <w:bookmarkEnd w:id="7"/>
    </w:p>
    <w:p w14:paraId="5754A914">
      <w:pPr>
        <w:pStyle w:val="4"/>
        <w:jc w:val="center"/>
        <w:rPr>
          <w:rFonts w:hint="eastAsia" w:ascii="宋体" w:hAnsi="宋体" w:eastAsia="宋体" w:cs="宋体"/>
          <w:b/>
          <w:bCs/>
          <w:color w:val="auto"/>
          <w:sz w:val="24"/>
          <w:szCs w:val="22"/>
          <w:highlight w:val="none"/>
        </w:rPr>
      </w:pPr>
      <w:r>
        <w:rPr>
          <w:rFonts w:hint="eastAsia" w:ascii="宋体" w:hAnsi="宋体" w:cs="宋体"/>
          <w:b/>
          <w:color w:val="auto"/>
          <w:sz w:val="24"/>
          <w:szCs w:val="24"/>
          <w:highlight w:val="none"/>
        </w:rPr>
        <w:t>附录</w:t>
      </w:r>
      <w:r>
        <w:rPr>
          <w:rFonts w:hint="eastAsia" w:ascii="宋体" w:hAnsi="宋体" w:cs="宋体"/>
          <w:b/>
          <w:color w:val="auto"/>
          <w:sz w:val="24"/>
          <w:szCs w:val="24"/>
          <w:highlight w:val="none"/>
          <w:lang w:val="en-US" w:eastAsia="zh-CN"/>
        </w:rPr>
        <w:t>4</w:t>
      </w:r>
      <w:r>
        <w:rPr>
          <w:rFonts w:hint="eastAsia" w:ascii="宋体" w:hAnsi="宋体" w:eastAsia="宋体" w:cs="宋体"/>
          <w:b/>
          <w:bCs/>
          <w:color w:val="auto"/>
          <w:sz w:val="24"/>
          <w:szCs w:val="22"/>
          <w:highlight w:val="none"/>
        </w:rPr>
        <w:t>-1 投标人拥有的专业人员最低要求</w:t>
      </w:r>
    </w:p>
    <w:p w14:paraId="180EB336">
      <w:pPr>
        <w:pStyle w:val="4"/>
        <w:rPr>
          <w:rFonts w:hint="eastAsia"/>
          <w:color w:val="auto"/>
          <w:sz w:val="24"/>
          <w:szCs w:val="22"/>
          <w:highlight w:val="none"/>
        </w:rPr>
      </w:pPr>
    </w:p>
    <w:tbl>
      <w:tblPr>
        <w:tblStyle w:val="7"/>
        <w:tblW w:w="92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74"/>
        <w:gridCol w:w="7912"/>
      </w:tblGrid>
      <w:tr w14:paraId="01F2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78" w:hRule="atLeast"/>
          <w:jc w:val="center"/>
        </w:trPr>
        <w:tc>
          <w:tcPr>
            <w:tcW w:w="740" w:type="pct"/>
            <w:noWrap w:val="0"/>
            <w:vAlign w:val="top"/>
          </w:tcPr>
          <w:p w14:paraId="1AB0CAAA">
            <w:pPr>
              <w:spacing w:line="400" w:lineRule="exact"/>
              <w:jc w:val="center"/>
              <w:rPr>
                <w:rFonts w:hint="eastAsia"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标段号</w:t>
            </w:r>
          </w:p>
        </w:tc>
        <w:tc>
          <w:tcPr>
            <w:tcW w:w="4259" w:type="pct"/>
            <w:noWrap w:val="0"/>
            <w:vAlign w:val="center"/>
          </w:tcPr>
          <w:p w14:paraId="592BFB94">
            <w:pPr>
              <w:spacing w:line="400" w:lineRule="exact"/>
              <w:jc w:val="center"/>
              <w:rPr>
                <w:rFonts w:hint="eastAsia" w:ascii="宋体" w:hAnsi="宋体" w:cs="宋体"/>
                <w:b/>
                <w:bCs/>
                <w:color w:val="auto"/>
                <w:sz w:val="24"/>
                <w:highlight w:val="none"/>
                <w:shd w:val="clear" w:color="auto" w:fill="FFFFFF"/>
              </w:rPr>
            </w:pPr>
            <w:r>
              <w:rPr>
                <w:rFonts w:hint="eastAsia" w:ascii="宋体" w:hAnsi="宋体"/>
                <w:b/>
                <w:color w:val="auto"/>
                <w:sz w:val="24"/>
                <w:highlight w:val="none"/>
              </w:rPr>
              <w:t>投标人拥有的专业人员最低要求</w:t>
            </w:r>
          </w:p>
        </w:tc>
      </w:tr>
      <w:tr w14:paraId="5DB89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740" w:type="pct"/>
            <w:noWrap w:val="0"/>
            <w:vAlign w:val="center"/>
          </w:tcPr>
          <w:p w14:paraId="33DF09AA">
            <w:pPr>
              <w:spacing w:line="360" w:lineRule="exact"/>
              <w:jc w:val="center"/>
              <w:rPr>
                <w:rFonts w:ascii="宋体" w:hAnsi="宋体"/>
                <w:color w:val="auto"/>
                <w:sz w:val="24"/>
                <w:highlight w:val="none"/>
              </w:rPr>
            </w:pPr>
            <w:r>
              <w:rPr>
                <w:rFonts w:hint="eastAsia" w:ascii="宋体" w:hAnsi="宋体"/>
                <w:color w:val="auto"/>
                <w:sz w:val="24"/>
                <w:highlight w:val="none"/>
              </w:rPr>
              <w:t>SJ1</w:t>
            </w:r>
          </w:p>
        </w:tc>
        <w:tc>
          <w:tcPr>
            <w:tcW w:w="4259" w:type="pct"/>
            <w:vMerge w:val="restart"/>
            <w:noWrap w:val="0"/>
            <w:vAlign w:val="center"/>
          </w:tcPr>
          <w:p w14:paraId="5299E619">
            <w:pPr>
              <w:spacing w:line="360" w:lineRule="exact"/>
              <w:jc w:val="left"/>
              <w:rPr>
                <w:rFonts w:hint="eastAsia" w:ascii="宋体" w:hAnsi="宋体"/>
                <w:color w:val="auto"/>
                <w:sz w:val="24"/>
                <w:highlight w:val="none"/>
              </w:rPr>
            </w:pPr>
            <w:r>
              <w:rPr>
                <w:rFonts w:hint="eastAsia" w:ascii="宋体" w:hAnsi="宋体"/>
                <w:color w:val="auto"/>
                <w:sz w:val="24"/>
                <w:highlight w:val="none"/>
              </w:rPr>
              <w:t>1.独立投标的：</w:t>
            </w:r>
          </w:p>
          <w:p w14:paraId="276380DD">
            <w:pPr>
              <w:spacing w:line="360" w:lineRule="exact"/>
              <w:jc w:val="left"/>
              <w:rPr>
                <w:rFonts w:hint="eastAsia" w:ascii="宋体" w:hAnsi="宋体"/>
                <w:color w:val="auto"/>
                <w:sz w:val="24"/>
                <w:highlight w:val="none"/>
              </w:rPr>
            </w:pPr>
            <w:r>
              <w:rPr>
                <w:rFonts w:hint="eastAsia" w:ascii="宋体" w:hAnsi="宋体"/>
                <w:color w:val="auto"/>
                <w:sz w:val="24"/>
                <w:highlight w:val="none"/>
              </w:rPr>
              <w:t>要求投标人拥有10名（含10名）以上执业注册会计师（含分所人员）及15名（含15名）以上</w:t>
            </w:r>
            <w:r>
              <w:rPr>
                <w:rFonts w:hint="eastAsia" w:ascii="宋体" w:hAnsi="宋体"/>
                <w:color w:val="auto"/>
                <w:sz w:val="24"/>
                <w:highlight w:val="none"/>
                <w:lang w:eastAsia="zh-CN"/>
              </w:rPr>
              <w:t>一级</w:t>
            </w:r>
            <w:r>
              <w:rPr>
                <w:rFonts w:hint="eastAsia" w:ascii="宋体" w:hAnsi="宋体"/>
                <w:color w:val="auto"/>
                <w:sz w:val="24"/>
                <w:highlight w:val="none"/>
              </w:rPr>
              <w:t>注册造价工程师(或交通运输部公路工程甲级造价人员)。</w:t>
            </w:r>
          </w:p>
          <w:p w14:paraId="22958B79">
            <w:pPr>
              <w:spacing w:line="360" w:lineRule="exact"/>
              <w:jc w:val="left"/>
              <w:rPr>
                <w:rFonts w:hint="eastAsia" w:ascii="宋体" w:hAnsi="宋体"/>
                <w:color w:val="auto"/>
                <w:sz w:val="24"/>
                <w:highlight w:val="none"/>
              </w:rPr>
            </w:pPr>
            <w:r>
              <w:rPr>
                <w:rFonts w:hint="eastAsia" w:ascii="宋体" w:hAnsi="宋体"/>
                <w:color w:val="auto"/>
                <w:sz w:val="24"/>
                <w:highlight w:val="none"/>
              </w:rPr>
              <w:t>2.以联合体形式投标的：</w:t>
            </w:r>
          </w:p>
          <w:p w14:paraId="5E25AD85">
            <w:pPr>
              <w:spacing w:line="360" w:lineRule="exact"/>
              <w:jc w:val="left"/>
              <w:rPr>
                <w:rFonts w:ascii="宋体" w:hAnsi="宋体"/>
                <w:color w:val="auto"/>
                <w:sz w:val="24"/>
                <w:highlight w:val="none"/>
              </w:rPr>
            </w:pPr>
            <w:r>
              <w:rPr>
                <w:rFonts w:hint="eastAsia" w:ascii="宋体" w:hAnsi="宋体"/>
                <w:color w:val="auto"/>
                <w:sz w:val="24"/>
                <w:highlight w:val="none"/>
              </w:rPr>
              <w:t>要求联合体牵头人拥有10名（含10名）以上执业注册会计师（含分所人员）；联合体成员拥有15名（含15名）以上</w:t>
            </w:r>
            <w:r>
              <w:rPr>
                <w:rFonts w:hint="eastAsia" w:ascii="宋体" w:hAnsi="宋体"/>
                <w:color w:val="auto"/>
                <w:sz w:val="24"/>
                <w:highlight w:val="none"/>
                <w:lang w:eastAsia="zh-CN"/>
              </w:rPr>
              <w:t>一级</w:t>
            </w:r>
            <w:r>
              <w:rPr>
                <w:rFonts w:hint="eastAsia" w:ascii="宋体" w:hAnsi="宋体"/>
                <w:color w:val="auto"/>
                <w:sz w:val="24"/>
                <w:highlight w:val="none"/>
              </w:rPr>
              <w:t>注册造价工程师(或交通运输部公路工程甲级造价人员)。</w:t>
            </w:r>
          </w:p>
        </w:tc>
      </w:tr>
      <w:tr w14:paraId="2A374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2" w:hRule="atLeast"/>
          <w:jc w:val="center"/>
        </w:trPr>
        <w:tc>
          <w:tcPr>
            <w:tcW w:w="740" w:type="pct"/>
            <w:noWrap w:val="0"/>
            <w:vAlign w:val="center"/>
          </w:tcPr>
          <w:p w14:paraId="2958D3FF">
            <w:pPr>
              <w:spacing w:line="360" w:lineRule="exact"/>
              <w:jc w:val="center"/>
              <w:rPr>
                <w:rFonts w:ascii="宋体" w:hAnsi="宋体"/>
                <w:color w:val="auto"/>
                <w:sz w:val="24"/>
                <w:highlight w:val="none"/>
              </w:rPr>
            </w:pPr>
            <w:r>
              <w:rPr>
                <w:rFonts w:hint="eastAsia" w:ascii="宋体" w:hAnsi="宋体"/>
                <w:color w:val="auto"/>
                <w:sz w:val="24"/>
                <w:highlight w:val="none"/>
              </w:rPr>
              <w:t>SJ2</w:t>
            </w:r>
          </w:p>
        </w:tc>
        <w:tc>
          <w:tcPr>
            <w:tcW w:w="4259" w:type="pct"/>
            <w:vMerge w:val="continue"/>
            <w:noWrap w:val="0"/>
            <w:vAlign w:val="center"/>
          </w:tcPr>
          <w:p w14:paraId="266BB516">
            <w:pPr>
              <w:spacing w:line="360" w:lineRule="exact"/>
              <w:jc w:val="left"/>
              <w:rPr>
                <w:rFonts w:ascii="宋体" w:hAnsi="宋体"/>
                <w:color w:val="auto"/>
                <w:sz w:val="24"/>
                <w:highlight w:val="none"/>
              </w:rPr>
            </w:pPr>
          </w:p>
        </w:tc>
      </w:tr>
    </w:tbl>
    <w:p w14:paraId="2A5276C1">
      <w:pPr>
        <w:pStyle w:val="4"/>
        <w:jc w:val="center"/>
        <w:rPr>
          <w:rFonts w:hint="eastAsia"/>
          <w:color w:val="auto"/>
          <w:sz w:val="24"/>
          <w:szCs w:val="22"/>
          <w:highlight w:val="none"/>
        </w:rPr>
      </w:pPr>
    </w:p>
    <w:p w14:paraId="14896E38">
      <w:pPr>
        <w:spacing w:line="360" w:lineRule="auto"/>
        <w:jc w:val="center"/>
        <w:rPr>
          <w:rFonts w:hint="eastAsia"/>
          <w:color w:val="auto"/>
          <w:sz w:val="24"/>
          <w:szCs w:val="22"/>
          <w:highlight w:val="none"/>
        </w:rPr>
      </w:pPr>
      <w:r>
        <w:rPr>
          <w:rFonts w:hint="eastAsia" w:ascii="宋体" w:hAnsi="宋体" w:cs="宋体"/>
          <w:b/>
          <w:color w:val="auto"/>
          <w:sz w:val="24"/>
          <w:szCs w:val="24"/>
          <w:highlight w:val="none"/>
        </w:rPr>
        <w:t>附录</w:t>
      </w:r>
      <w:r>
        <w:rPr>
          <w:rFonts w:hint="eastAsia" w:ascii="宋体" w:hAnsi="宋体" w:cs="宋体"/>
          <w:b/>
          <w:color w:val="auto"/>
          <w:sz w:val="24"/>
          <w:szCs w:val="24"/>
          <w:highlight w:val="none"/>
          <w:lang w:val="en-US" w:eastAsia="zh-CN"/>
        </w:rPr>
        <w:t>4</w:t>
      </w:r>
      <w:r>
        <w:rPr>
          <w:rFonts w:hint="eastAsia" w:ascii="宋体" w:hAnsi="宋体"/>
          <w:b/>
          <w:color w:val="auto"/>
          <w:sz w:val="24"/>
          <w:highlight w:val="none"/>
        </w:rPr>
        <w:t>-2 拟投入本项目的主要审计人员最低要求</w:t>
      </w:r>
    </w:p>
    <w:p w14:paraId="2112E855">
      <w:pPr>
        <w:pStyle w:val="4"/>
        <w:rPr>
          <w:rFonts w:hint="eastAsia"/>
          <w:color w:val="auto"/>
          <w:sz w:val="24"/>
          <w:szCs w:val="22"/>
          <w:highlight w:val="none"/>
        </w:rPr>
      </w:pPr>
    </w:p>
    <w:tbl>
      <w:tblPr>
        <w:tblStyle w:val="7"/>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1301"/>
        <w:gridCol w:w="728"/>
        <w:gridCol w:w="1990"/>
        <w:gridCol w:w="1522"/>
        <w:gridCol w:w="2444"/>
      </w:tblGrid>
      <w:tr w14:paraId="5CF9D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14:paraId="474749FA">
            <w:pPr>
              <w:jc w:val="center"/>
              <w:rPr>
                <w:rFonts w:hint="eastAsia" w:ascii="宋体" w:hAnsi="宋体" w:eastAsia="宋体" w:cs="宋体"/>
                <w:color w:val="auto"/>
                <w:sz w:val="24"/>
                <w:szCs w:val="24"/>
                <w:highlight w:val="none"/>
                <w:lang w:val="en-US" w:eastAsia="zh-CN"/>
              </w:rPr>
            </w:pPr>
            <w:bookmarkStart w:id="8" w:name="_Hlk168383512"/>
            <w:r>
              <w:rPr>
                <w:rFonts w:hint="eastAsia"/>
                <w:color w:val="auto"/>
                <w:sz w:val="24"/>
                <w:szCs w:val="22"/>
                <w:highlight w:val="none"/>
              </w:rPr>
              <w:t>标段</w:t>
            </w:r>
            <w:r>
              <w:rPr>
                <w:rFonts w:hint="eastAsia"/>
                <w:color w:val="auto"/>
                <w:sz w:val="24"/>
                <w:szCs w:val="22"/>
                <w:highlight w:val="none"/>
                <w:lang w:val="en-US" w:eastAsia="zh-CN"/>
              </w:rPr>
              <w:t>号</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AF448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审计岗位</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82DC609">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人数</w:t>
            </w:r>
          </w:p>
          <w:p w14:paraId="0547F79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3BE43D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4D3F8B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注册（发证）年限</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3C94BA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业绩要求</w:t>
            </w:r>
          </w:p>
        </w:tc>
      </w:tr>
      <w:tr w14:paraId="5F0D3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restart"/>
            <w:tcBorders>
              <w:top w:val="single" w:color="auto" w:sz="4" w:space="0"/>
              <w:left w:val="single" w:color="auto" w:sz="4" w:space="0"/>
              <w:right w:val="single" w:color="auto" w:sz="4" w:space="0"/>
            </w:tcBorders>
            <w:noWrap w:val="0"/>
            <w:vAlign w:val="center"/>
          </w:tcPr>
          <w:p w14:paraId="2E490361">
            <w:pPr>
              <w:jc w:val="center"/>
              <w:rPr>
                <w:rFonts w:hint="eastAsia"/>
                <w:color w:val="auto"/>
                <w:sz w:val="24"/>
                <w:szCs w:val="22"/>
                <w:highlight w:val="none"/>
              </w:rPr>
            </w:pPr>
            <w:r>
              <w:rPr>
                <w:rFonts w:hint="eastAsia"/>
                <w:color w:val="auto"/>
                <w:sz w:val="24"/>
                <w:szCs w:val="22"/>
                <w:highlight w:val="none"/>
              </w:rPr>
              <w:t>SJ1</w:t>
            </w:r>
          </w:p>
          <w:p w14:paraId="4A582E14">
            <w:pPr>
              <w:jc w:val="center"/>
              <w:rPr>
                <w:rFonts w:hint="eastAsia" w:ascii="宋体" w:hAnsi="宋体" w:eastAsia="宋体" w:cs="宋体"/>
                <w:color w:val="auto"/>
                <w:sz w:val="24"/>
                <w:szCs w:val="24"/>
                <w:highlight w:val="none"/>
              </w:rPr>
            </w:pPr>
            <w:r>
              <w:rPr>
                <w:rFonts w:hint="eastAsia"/>
                <w:color w:val="auto"/>
                <w:sz w:val="24"/>
                <w:szCs w:val="22"/>
                <w:highlight w:val="none"/>
                <w:lang w:val="en-US" w:eastAsia="zh-CN"/>
              </w:rPr>
              <w:t>SJ2</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0BA81A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项目负责人（主审）</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185C6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04FD0E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注册会计师</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6F3DD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792BA7CD">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担任过一项</w:t>
            </w:r>
            <w:r>
              <w:rPr>
                <w:rFonts w:hint="eastAsia" w:ascii="宋体" w:hAnsi="宋体"/>
                <w:color w:val="auto"/>
                <w:sz w:val="24"/>
                <w:highlight w:val="none"/>
              </w:rPr>
              <w:t>审计内容的投资额在</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亿元以上的交通基础设施项目审计业务的项目负责人。</w:t>
            </w:r>
          </w:p>
        </w:tc>
      </w:tr>
      <w:tr w14:paraId="6866D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continue"/>
            <w:tcBorders>
              <w:left w:val="single" w:color="auto" w:sz="4" w:space="0"/>
              <w:right w:val="single" w:color="auto" w:sz="4" w:space="0"/>
            </w:tcBorders>
            <w:noWrap w:val="0"/>
            <w:vAlign w:val="center"/>
          </w:tcPr>
          <w:p w14:paraId="33D99E35">
            <w:pPr>
              <w:jc w:val="center"/>
              <w:rPr>
                <w:rFonts w:hint="eastAsia" w:ascii="宋体" w:hAnsi="宋体" w:eastAsia="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0887B6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造价审核</w:t>
            </w:r>
          </w:p>
          <w:p w14:paraId="3E7F08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主管</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4B1BE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71CA8D79">
            <w:pPr>
              <w:jc w:val="center"/>
              <w:rPr>
                <w:rFonts w:hint="eastAsia" w:ascii="宋体" w:hAnsi="宋体" w:eastAsia="宋体" w:cs="宋体"/>
                <w:color w:val="auto"/>
                <w:sz w:val="24"/>
                <w:szCs w:val="24"/>
                <w:highlight w:val="none"/>
              </w:rPr>
            </w:pPr>
            <w:r>
              <w:rPr>
                <w:rFonts w:hint="eastAsia" w:ascii="宋体" w:hAnsi="宋体"/>
                <w:color w:val="auto"/>
                <w:sz w:val="24"/>
                <w:highlight w:val="none"/>
                <w:lang w:eastAsia="zh-CN"/>
              </w:rPr>
              <w:t>一级</w:t>
            </w:r>
            <w:r>
              <w:rPr>
                <w:rFonts w:hint="eastAsia" w:ascii="宋体" w:hAnsi="宋体" w:eastAsia="宋体" w:cs="宋体"/>
                <w:color w:val="auto"/>
                <w:sz w:val="24"/>
                <w:szCs w:val="24"/>
                <w:highlight w:val="none"/>
              </w:rPr>
              <w:t>注册造价</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师(或交通运输部公路工程甲级造价人员)</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E65A8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7E1DDA9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08BA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continue"/>
            <w:tcBorders>
              <w:left w:val="single" w:color="auto" w:sz="4" w:space="0"/>
              <w:right w:val="single" w:color="auto" w:sz="4" w:space="0"/>
            </w:tcBorders>
            <w:noWrap w:val="0"/>
            <w:vAlign w:val="center"/>
          </w:tcPr>
          <w:p w14:paraId="6F8AC3D9">
            <w:pPr>
              <w:jc w:val="center"/>
              <w:rPr>
                <w:rFonts w:hint="eastAsia" w:ascii="宋体" w:hAnsi="宋体" w:eastAsia="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066A5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注册造价</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师</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055BF2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CA7B10B">
            <w:pPr>
              <w:jc w:val="center"/>
              <w:rPr>
                <w:rFonts w:hint="eastAsia" w:ascii="宋体" w:hAnsi="宋体" w:eastAsia="宋体" w:cs="宋体"/>
                <w:color w:val="auto"/>
                <w:sz w:val="24"/>
                <w:szCs w:val="24"/>
                <w:highlight w:val="none"/>
              </w:rPr>
            </w:pPr>
            <w:r>
              <w:rPr>
                <w:rFonts w:hint="eastAsia" w:ascii="宋体" w:hAnsi="宋体"/>
                <w:color w:val="auto"/>
                <w:sz w:val="24"/>
                <w:highlight w:val="none"/>
                <w:lang w:eastAsia="zh-CN"/>
              </w:rPr>
              <w:t>一级</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eastAsia="zh-CN"/>
              </w:rPr>
              <w:t>造价工程师</w:t>
            </w:r>
            <w:r>
              <w:rPr>
                <w:rFonts w:hint="eastAsia" w:ascii="宋体" w:hAnsi="宋体" w:eastAsia="宋体" w:cs="宋体"/>
                <w:color w:val="auto"/>
                <w:sz w:val="24"/>
                <w:szCs w:val="24"/>
                <w:highlight w:val="none"/>
              </w:rPr>
              <w:t>(或交通运输部公路工程甲级造价人员)</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B58A5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74EB51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B524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301" w:type="dxa"/>
            <w:vMerge w:val="continue"/>
            <w:tcBorders>
              <w:left w:val="single" w:color="auto" w:sz="4" w:space="0"/>
              <w:bottom w:val="single" w:color="auto" w:sz="4" w:space="0"/>
              <w:right w:val="single" w:color="auto" w:sz="4" w:space="0"/>
            </w:tcBorders>
            <w:noWrap w:val="0"/>
            <w:vAlign w:val="center"/>
          </w:tcPr>
          <w:p w14:paraId="0D925C4B">
            <w:pPr>
              <w:jc w:val="center"/>
              <w:rPr>
                <w:rFonts w:hint="eastAsia" w:ascii="宋体" w:hAnsi="宋体" w:eastAsia="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56B918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注册会计师</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58E4C4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CC6239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注册会计师</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0528541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年及以上</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69203DA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p>
        </w:tc>
      </w:tr>
      <w:bookmarkEnd w:id="8"/>
    </w:tbl>
    <w:p w14:paraId="6AA234CE">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注册会计师</w:t>
      </w:r>
      <w:r>
        <w:rPr>
          <w:rFonts w:hint="eastAsia" w:ascii="宋体" w:hAnsi="宋体" w:eastAsia="宋体" w:cs="宋体"/>
          <w:color w:val="auto"/>
          <w:sz w:val="24"/>
          <w:szCs w:val="24"/>
          <w:highlight w:val="none"/>
          <w:lang w:val="en-US" w:eastAsia="zh-CN"/>
        </w:rPr>
        <w:t>和</w:t>
      </w:r>
      <w:r>
        <w:rPr>
          <w:rFonts w:hint="eastAsia" w:ascii="宋体" w:hAnsi="宋体" w:cs="宋体"/>
          <w:color w:val="auto"/>
          <w:sz w:val="24"/>
          <w:szCs w:val="24"/>
          <w:highlight w:val="none"/>
          <w:lang w:val="en-US" w:eastAsia="zh-CN"/>
        </w:rPr>
        <w:t>注册造价</w:t>
      </w:r>
      <w:r>
        <w:rPr>
          <w:rFonts w:hint="eastAsia" w:ascii="宋体" w:hAnsi="宋体" w:eastAsia="宋体" w:cs="宋体"/>
          <w:color w:val="auto"/>
          <w:sz w:val="24"/>
          <w:szCs w:val="24"/>
          <w:highlight w:val="none"/>
          <w:lang w:val="en-US" w:eastAsia="zh-CN"/>
        </w:rPr>
        <w:t>工程</w:t>
      </w:r>
      <w:r>
        <w:rPr>
          <w:rFonts w:hint="eastAsia" w:ascii="宋体" w:hAnsi="宋体" w:cs="宋体"/>
          <w:color w:val="auto"/>
          <w:sz w:val="24"/>
          <w:szCs w:val="24"/>
          <w:highlight w:val="none"/>
          <w:lang w:val="en-US" w:eastAsia="zh-CN"/>
        </w:rPr>
        <w:t>师岗位中的人员不能同时兼任项目负责人（主审）</w:t>
      </w:r>
      <w:r>
        <w:rPr>
          <w:rFonts w:hint="eastAsia" w:ascii="宋体" w:hAnsi="宋体" w:eastAsia="宋体" w:cs="宋体"/>
          <w:color w:val="auto"/>
          <w:sz w:val="24"/>
          <w:szCs w:val="24"/>
          <w:highlight w:val="none"/>
          <w:lang w:val="en-US" w:eastAsia="zh-CN"/>
        </w:rPr>
        <w:t>和</w:t>
      </w:r>
      <w:r>
        <w:rPr>
          <w:rFonts w:hint="eastAsia" w:ascii="宋体" w:hAnsi="宋体" w:cs="宋体"/>
          <w:color w:val="auto"/>
          <w:sz w:val="24"/>
          <w:szCs w:val="24"/>
          <w:highlight w:val="none"/>
          <w:lang w:val="en-US" w:eastAsia="zh-CN"/>
        </w:rPr>
        <w:t>造价审核主管。</w:t>
      </w:r>
    </w:p>
    <w:p w14:paraId="02ED153C">
      <w:pPr>
        <w:spacing w:line="360" w:lineRule="auto"/>
        <w:rPr>
          <w:b/>
          <w:color w:val="auto"/>
          <w:sz w:val="24"/>
          <w:highlight w:val="none"/>
        </w:rPr>
      </w:pPr>
      <w:r>
        <w:rPr>
          <w:color w:val="auto"/>
          <w:highlight w:val="none"/>
        </w:rPr>
        <w:br w:type="page"/>
      </w:r>
      <w:bookmarkStart w:id="9" w:name="_Toc32256"/>
      <w:bookmarkStart w:id="10" w:name="_Toc172307956"/>
      <w:bookmarkStart w:id="11" w:name="_Toc6205"/>
      <w:r>
        <w:rPr>
          <w:rFonts w:hint="eastAsia"/>
          <w:b/>
          <w:color w:val="auto"/>
          <w:sz w:val="24"/>
          <w:highlight w:val="none"/>
        </w:rPr>
        <w:t>附件2：随机确定评标基准价计算方法的规则与程序</w:t>
      </w:r>
      <w:bookmarkEnd w:id="9"/>
      <w:bookmarkEnd w:id="10"/>
      <w:bookmarkEnd w:id="11"/>
    </w:p>
    <w:p w14:paraId="0F5679F9">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一、随机抽取规则</w:t>
      </w:r>
    </w:p>
    <w:p w14:paraId="2B90D1D3">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参与随机确定评标基准价计算方法的各方当事人（以下简称“各方”）应当严格遵守以下规则：</w:t>
      </w:r>
    </w:p>
    <w:p w14:paraId="4C7D951F">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（一）各方必须严格遵守公开、公平、公正和诚实信用原则；</w:t>
      </w:r>
    </w:p>
    <w:p w14:paraId="10478D92">
      <w:pPr>
        <w:adjustRightInd w:val="0"/>
        <w:snapToGrid w:val="0"/>
        <w:spacing w:line="360" w:lineRule="auto"/>
        <w:ind w:firstLine="480" w:firstLineChars="200"/>
        <w:jc w:val="left"/>
        <w:rPr>
          <w:color w:val="auto"/>
          <w:sz w:val="24"/>
          <w:highlight w:val="none"/>
        </w:rPr>
      </w:pPr>
      <w:r>
        <w:rPr>
          <w:color w:val="auto"/>
          <w:sz w:val="24"/>
          <w:highlight w:val="none"/>
        </w:rPr>
        <w:t>（二）确定随机确定评标基准价计算方法的活动在招标人的主持下进行，招标人做好影像记录，并存档备查；</w:t>
      </w:r>
    </w:p>
    <w:p w14:paraId="3CA829C4">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（三）用于随机抽取的器具由招标人提供；</w:t>
      </w:r>
    </w:p>
    <w:p w14:paraId="2E07859F">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（四）各方必须严格遵守现场纪律，确保随机抽取活动有序进行；</w:t>
      </w:r>
    </w:p>
    <w:p w14:paraId="618107EB">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（五）投标人对随机抽取过程有异议的，在</w:t>
      </w:r>
      <w:r>
        <w:rPr>
          <w:rFonts w:hint="eastAsia" w:ascii="宋体" w:hAnsi="宋体" w:eastAsia="宋体" w:cs="宋体"/>
          <w:color w:val="auto"/>
          <w:kern w:val="0"/>
          <w:sz w:val="24"/>
          <w:highlight w:val="none"/>
        </w:rPr>
        <w:t>“电子招标投标交易平台”</w:t>
      </w:r>
      <w:r>
        <w:rPr>
          <w:rFonts w:hint="eastAsia" w:ascii="宋体" w:hAnsi="宋体" w:eastAsia="宋体" w:cs="宋体"/>
          <w:bCs/>
          <w:color w:val="auto"/>
          <w:sz w:val="24"/>
          <w:highlight w:val="none"/>
        </w:rPr>
        <w:t>的开标大厅点异议按钮在线提出异议，招标人当场作出答复，并作好记录。</w:t>
      </w:r>
    </w:p>
    <w:p w14:paraId="43DC789A">
      <w:pPr>
        <w:adjustRightIn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二、随机抽取确定评标基准价计算方法的程序</w:t>
      </w:r>
    </w:p>
    <w:p w14:paraId="2739B901">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（一）确定随机抽取代码球</w:t>
      </w:r>
    </w:p>
    <w:p w14:paraId="2C0FF1F3">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用抽取器具随机确定抽取代码球一套，作为本次随机抽取确定评标基准价计算方法的代码球。</w:t>
      </w:r>
    </w:p>
    <w:p w14:paraId="4723F448">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（二）本次招标共设置三种评标基准价计算方法（详见评标办法）。</w:t>
      </w:r>
    </w:p>
    <w:p w14:paraId="48310735">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确定评标基准价计算方法的编号及代码球，1号球代表评标基准价计算方法一；2号球代表评标基准价计算方法二；3号球代表评标基准价计算方法三。</w:t>
      </w:r>
    </w:p>
    <w:p w14:paraId="0E63BA28">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（三）在开标现场，将编号1、2、3代码球全部放入随机抽取器具中，由抽取器具随机抽取产生本次招标评标基准价计算方法。</w:t>
      </w:r>
    </w:p>
    <w:p w14:paraId="36CD64FC">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（四）确定评标基准价计算方法需要的系数（如有）。</w:t>
      </w:r>
    </w:p>
    <w:p w14:paraId="77021DF5">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如果确定的评标基准价计算方法为方法</w:t>
      </w:r>
      <w:r>
        <w:rPr>
          <w:rFonts w:hint="eastAsia" w:ascii="宋体" w:hAnsi="宋体" w:eastAsia="宋体" w:cs="宋体"/>
          <w:bCs/>
          <w:color w:val="auto"/>
          <w:sz w:val="24"/>
          <w:highlight w:val="none"/>
          <w:lang w:val="en-US" w:eastAsia="zh-CN"/>
        </w:rPr>
        <w:t>三</w:t>
      </w:r>
      <w:r>
        <w:rPr>
          <w:rFonts w:hint="eastAsia" w:ascii="宋体" w:hAnsi="宋体" w:eastAsia="宋体" w:cs="宋体"/>
          <w:bCs/>
          <w:color w:val="auto"/>
          <w:sz w:val="24"/>
          <w:highlight w:val="none"/>
        </w:rPr>
        <w:t>，需要再抽取评标基准价系数K。K值取值范围为0.975、0.980、0.985、0.990、0.995共5个数值。1号球代表K值为0.975；2号球代表K值为0.980；3号球代表K值为0.985；4号球代表K值为0.990；5号球代表K值为0.995。在开标现场通过随机抽取方式确定一个评标基准价系数K，并当场公布。</w:t>
      </w:r>
    </w:p>
    <w:p w14:paraId="77A632CA">
      <w:pPr>
        <w:adjustRightInd w:val="0"/>
        <w:spacing w:line="360" w:lineRule="auto"/>
        <w:ind w:firstLine="480" w:firstLineChars="200"/>
        <w:jc w:val="left"/>
        <w:rPr>
          <w:bCs/>
          <w:color w:val="auto"/>
          <w:sz w:val="24"/>
          <w:highlight w:val="none"/>
        </w:rPr>
      </w:pPr>
      <w:r>
        <w:rPr>
          <w:bCs/>
          <w:color w:val="auto"/>
          <w:sz w:val="24"/>
          <w:highlight w:val="none"/>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42B5237B">
      <w:pPr>
        <w:adjustRightIn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三、随机抽取结果的确认</w:t>
      </w:r>
    </w:p>
    <w:p w14:paraId="21EA8B06">
      <w:pPr>
        <w:adjustRightIn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随机抽取结束后，招标人当场宣布随机抽取结果，抽取结果由招标人代表签字确认。投标人代表在开标记录表上用CA数字证书进行确认，若投标人未及时在开标记录表上确认，视为该投标人默认抽取结果。</w:t>
      </w:r>
    </w:p>
    <w:p w14:paraId="02B1C407">
      <w:pPr>
        <w:spacing w:line="360" w:lineRule="auto"/>
        <w:rPr>
          <w:b/>
          <w:color w:val="auto"/>
          <w:sz w:val="24"/>
          <w:highlight w:val="none"/>
        </w:rPr>
      </w:pPr>
      <w:r>
        <w:rPr>
          <w:color w:val="auto"/>
          <w:highlight w:val="none"/>
        </w:rPr>
        <w:br w:type="page"/>
      </w:r>
      <w:r>
        <w:rPr>
          <w:b/>
          <w:color w:val="auto"/>
          <w:sz w:val="24"/>
          <w:highlight w:val="none"/>
        </w:rPr>
        <w:t>附件</w:t>
      </w:r>
      <w:r>
        <w:rPr>
          <w:rFonts w:hint="eastAsia"/>
          <w:b/>
          <w:color w:val="auto"/>
          <w:sz w:val="24"/>
          <w:highlight w:val="none"/>
        </w:rPr>
        <w:t>3</w:t>
      </w:r>
      <w:r>
        <w:rPr>
          <w:b/>
          <w:color w:val="auto"/>
          <w:sz w:val="24"/>
          <w:highlight w:val="none"/>
        </w:rPr>
        <w:t>：评标办法</w:t>
      </w:r>
    </w:p>
    <w:p w14:paraId="3EF99DAC">
      <w:pPr>
        <w:pStyle w:val="11"/>
        <w:spacing w:line="276" w:lineRule="auto"/>
        <w:rPr>
          <w:rFonts w:ascii="Times New Roman" w:hAnsi="Times New Roman" w:eastAsia="宋体"/>
          <w:color w:val="auto"/>
          <w:sz w:val="30"/>
          <w:szCs w:val="30"/>
          <w:highlight w:val="none"/>
        </w:rPr>
      </w:pPr>
      <w:bookmarkStart w:id="12" w:name="_Hlk93740604"/>
      <w:bookmarkStart w:id="13" w:name="_Toc502992691"/>
      <w:bookmarkStart w:id="14" w:name="_Toc18708"/>
      <w:bookmarkStart w:id="15" w:name="_Toc459307890"/>
      <w:bookmarkStart w:id="16" w:name="_Toc509659998"/>
      <w:bookmarkStart w:id="17" w:name="_Toc509660966"/>
      <w:bookmarkStart w:id="18" w:name="_Toc514238202"/>
      <w:bookmarkStart w:id="19" w:name="_Toc450319202"/>
      <w:bookmarkStart w:id="20" w:name="_Toc445222503"/>
      <w:bookmarkStart w:id="21" w:name="_Toc444271617"/>
      <w:bookmarkStart w:id="22" w:name="_Toc444088432"/>
      <w:bookmarkStart w:id="23" w:name="_Toc445382083"/>
      <w:r>
        <w:rPr>
          <w:rFonts w:ascii="Times New Roman" w:hAnsi="Times New Roman" w:eastAsia="宋体"/>
          <w:color w:val="auto"/>
          <w:sz w:val="30"/>
          <w:szCs w:val="30"/>
          <w:highlight w:val="none"/>
        </w:rPr>
        <w:t>评标办法</w:t>
      </w:r>
      <w:bookmarkEnd w:id="12"/>
      <w:r>
        <w:rPr>
          <w:rFonts w:ascii="Times New Roman" w:hAnsi="Times New Roman" w:eastAsia="宋体"/>
          <w:color w:val="auto"/>
          <w:sz w:val="30"/>
          <w:szCs w:val="30"/>
          <w:highlight w:val="none"/>
        </w:rPr>
        <w:t>（综合评估法）</w:t>
      </w:r>
      <w:bookmarkEnd w:id="13"/>
      <w:bookmarkEnd w:id="14"/>
      <w:bookmarkEnd w:id="15"/>
      <w:bookmarkEnd w:id="16"/>
      <w:bookmarkEnd w:id="17"/>
      <w:bookmarkEnd w:id="18"/>
      <w:bookmarkEnd w:id="19"/>
    </w:p>
    <w:bookmarkEnd w:id="0"/>
    <w:bookmarkEnd w:id="20"/>
    <w:bookmarkEnd w:id="21"/>
    <w:bookmarkEnd w:id="22"/>
    <w:bookmarkEnd w:id="23"/>
    <w:p w14:paraId="47768A25">
      <w:pPr>
        <w:pStyle w:val="11"/>
        <w:spacing w:line="276" w:lineRule="auto"/>
        <w:rPr>
          <w:rFonts w:ascii="Times New Roman" w:hAnsi="Times New Roman" w:eastAsia="宋体"/>
          <w:color w:val="auto"/>
          <w:sz w:val="24"/>
          <w:szCs w:val="30"/>
          <w:highlight w:val="none"/>
        </w:rPr>
      </w:pPr>
      <w:bookmarkStart w:id="24" w:name="_Toc20123"/>
      <w:bookmarkStart w:id="25" w:name="_Toc259638685"/>
      <w:r>
        <w:rPr>
          <w:rFonts w:ascii="Times New Roman" w:hAnsi="Times New Roman" w:eastAsia="宋体"/>
          <w:color w:val="auto"/>
          <w:sz w:val="24"/>
          <w:szCs w:val="30"/>
          <w:highlight w:val="none"/>
        </w:rPr>
        <w:t>评标办法前附表</w:t>
      </w:r>
      <w:bookmarkEnd w:id="24"/>
    </w:p>
    <w:tbl>
      <w:tblPr>
        <w:tblStyle w:val="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254"/>
        <w:gridCol w:w="7250"/>
      </w:tblGrid>
      <w:tr w14:paraId="37EF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839" w:type="dxa"/>
            <w:noWrap w:val="0"/>
            <w:vAlign w:val="center"/>
          </w:tcPr>
          <w:p w14:paraId="42E95748">
            <w:pPr>
              <w:jc w:val="center"/>
              <w:rPr>
                <w:color w:val="auto"/>
                <w:sz w:val="24"/>
                <w:szCs w:val="24"/>
                <w:highlight w:val="none"/>
              </w:rPr>
            </w:pPr>
            <w:r>
              <w:rPr>
                <w:color w:val="auto"/>
                <w:sz w:val="24"/>
                <w:szCs w:val="24"/>
                <w:highlight w:val="none"/>
              </w:rPr>
              <w:t>条款号</w:t>
            </w:r>
          </w:p>
        </w:tc>
        <w:tc>
          <w:tcPr>
            <w:tcW w:w="1254" w:type="dxa"/>
            <w:noWrap w:val="0"/>
            <w:vAlign w:val="center"/>
          </w:tcPr>
          <w:p w14:paraId="00E37EEF">
            <w:pPr>
              <w:jc w:val="center"/>
              <w:rPr>
                <w:color w:val="auto"/>
                <w:sz w:val="24"/>
                <w:szCs w:val="24"/>
                <w:highlight w:val="none"/>
              </w:rPr>
            </w:pPr>
            <w:r>
              <w:rPr>
                <w:color w:val="auto"/>
                <w:sz w:val="24"/>
                <w:szCs w:val="24"/>
                <w:highlight w:val="none"/>
              </w:rPr>
              <w:t>条款名称</w:t>
            </w:r>
          </w:p>
        </w:tc>
        <w:tc>
          <w:tcPr>
            <w:tcW w:w="7250" w:type="dxa"/>
            <w:noWrap w:val="0"/>
            <w:vAlign w:val="center"/>
          </w:tcPr>
          <w:p w14:paraId="46353CF2">
            <w:pPr>
              <w:jc w:val="center"/>
              <w:rPr>
                <w:color w:val="auto"/>
                <w:sz w:val="24"/>
                <w:szCs w:val="24"/>
                <w:highlight w:val="none"/>
              </w:rPr>
            </w:pPr>
            <w:r>
              <w:rPr>
                <w:color w:val="auto"/>
                <w:sz w:val="24"/>
                <w:szCs w:val="24"/>
                <w:highlight w:val="none"/>
              </w:rPr>
              <w:t>评审因素与评审标准</w:t>
            </w:r>
          </w:p>
        </w:tc>
      </w:tr>
      <w:tr w14:paraId="727D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9" w:type="dxa"/>
            <w:noWrap w:val="0"/>
            <w:vAlign w:val="center"/>
          </w:tcPr>
          <w:p w14:paraId="225202DB">
            <w:pPr>
              <w:jc w:val="center"/>
              <w:rPr>
                <w:color w:val="auto"/>
                <w:sz w:val="24"/>
                <w:szCs w:val="24"/>
                <w:highlight w:val="none"/>
              </w:rPr>
            </w:pPr>
            <w:r>
              <w:rPr>
                <w:color w:val="auto"/>
                <w:sz w:val="24"/>
                <w:szCs w:val="24"/>
                <w:highlight w:val="none"/>
              </w:rPr>
              <w:t>1</w:t>
            </w:r>
          </w:p>
        </w:tc>
        <w:tc>
          <w:tcPr>
            <w:tcW w:w="1254" w:type="dxa"/>
            <w:noWrap w:val="0"/>
            <w:vAlign w:val="center"/>
          </w:tcPr>
          <w:p w14:paraId="7AE09AA0">
            <w:pPr>
              <w:jc w:val="center"/>
              <w:rPr>
                <w:color w:val="auto"/>
                <w:sz w:val="24"/>
                <w:szCs w:val="24"/>
                <w:highlight w:val="none"/>
              </w:rPr>
            </w:pPr>
            <w:r>
              <w:rPr>
                <w:color w:val="auto"/>
                <w:sz w:val="24"/>
                <w:szCs w:val="24"/>
                <w:highlight w:val="none"/>
              </w:rPr>
              <w:t>评标办法</w:t>
            </w:r>
          </w:p>
        </w:tc>
        <w:tc>
          <w:tcPr>
            <w:tcW w:w="7250" w:type="dxa"/>
            <w:noWrap w:val="0"/>
            <w:vAlign w:val="center"/>
          </w:tcPr>
          <w:p w14:paraId="04E87476">
            <w:pPr>
              <w:tabs>
                <w:tab w:val="left" w:pos="3060"/>
              </w:tabs>
              <w:ind w:firstLine="240" w:firstLineChars="100"/>
              <w:rPr>
                <w:bCs/>
                <w:color w:val="auto"/>
                <w:sz w:val="24"/>
                <w:szCs w:val="24"/>
                <w:highlight w:val="none"/>
              </w:rPr>
            </w:pPr>
            <w:r>
              <w:rPr>
                <w:bCs/>
                <w:color w:val="auto"/>
                <w:sz w:val="24"/>
                <w:szCs w:val="24"/>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78102B79">
            <w:pPr>
              <w:tabs>
                <w:tab w:val="left" w:pos="3060"/>
              </w:tabs>
              <w:ind w:firstLine="240" w:firstLineChars="100"/>
              <w:rPr>
                <w:bCs/>
                <w:color w:val="auto"/>
                <w:sz w:val="24"/>
                <w:szCs w:val="24"/>
                <w:highlight w:val="none"/>
              </w:rPr>
            </w:pPr>
            <w:r>
              <w:rPr>
                <w:bCs/>
                <w:color w:val="auto"/>
                <w:sz w:val="24"/>
                <w:szCs w:val="24"/>
                <w:highlight w:val="none"/>
              </w:rPr>
              <w:t>（1）评标价低的投标人优先；</w:t>
            </w:r>
          </w:p>
          <w:p w14:paraId="00C31189">
            <w:pPr>
              <w:tabs>
                <w:tab w:val="left" w:pos="3060"/>
              </w:tabs>
              <w:ind w:firstLine="240" w:firstLineChars="100"/>
              <w:rPr>
                <w:bCs/>
                <w:color w:val="auto"/>
                <w:sz w:val="24"/>
                <w:szCs w:val="24"/>
                <w:highlight w:val="none"/>
              </w:rPr>
            </w:pPr>
            <w:r>
              <w:rPr>
                <w:bCs/>
                <w:color w:val="auto"/>
                <w:sz w:val="24"/>
                <w:szCs w:val="24"/>
                <w:highlight w:val="none"/>
              </w:rPr>
              <w:t>（2）审计实施方案得分较高的投标人优先；</w:t>
            </w:r>
          </w:p>
          <w:p w14:paraId="3F291287">
            <w:pPr>
              <w:tabs>
                <w:tab w:val="left" w:pos="3060"/>
              </w:tabs>
              <w:ind w:firstLine="240" w:firstLineChars="100"/>
              <w:rPr>
                <w:rFonts w:hint="eastAsia"/>
                <w:bCs/>
                <w:color w:val="auto"/>
                <w:sz w:val="24"/>
                <w:szCs w:val="24"/>
                <w:highlight w:val="none"/>
              </w:rPr>
            </w:pPr>
            <w:r>
              <w:rPr>
                <w:bCs/>
                <w:color w:val="auto"/>
                <w:sz w:val="24"/>
                <w:szCs w:val="24"/>
                <w:highlight w:val="none"/>
              </w:rPr>
              <w:t>（3）</w:t>
            </w:r>
            <w:r>
              <w:rPr>
                <w:rFonts w:hint="eastAsia" w:ascii="宋体" w:hAnsi="宋体" w:eastAsia="宋体" w:cs="宋体"/>
                <w:color w:val="auto"/>
                <w:sz w:val="24"/>
                <w:szCs w:val="24"/>
                <w:highlight w:val="none"/>
              </w:rPr>
              <w:t>满足资格审查条件（业绩最低要求）的业绩累计合同金额高的优先</w:t>
            </w:r>
            <w:r>
              <w:rPr>
                <w:rFonts w:hint="eastAsia"/>
                <w:bCs/>
                <w:color w:val="auto"/>
                <w:sz w:val="24"/>
                <w:szCs w:val="24"/>
                <w:highlight w:val="none"/>
              </w:rPr>
              <w:t>。</w:t>
            </w:r>
          </w:p>
          <w:p w14:paraId="6E917EF8">
            <w:pPr>
              <w:pStyle w:val="4"/>
              <w:rPr>
                <w:rFonts w:hint="default" w:eastAsia="宋体"/>
                <w:color w:val="auto"/>
                <w:highlight w:val="none"/>
                <w:lang w:val="en-US" w:eastAsia="zh-CN"/>
              </w:rPr>
            </w:pPr>
            <w:r>
              <w:rPr>
                <w:rFonts w:hint="eastAsia" w:cs="宋体"/>
                <w:color w:val="auto"/>
                <w:sz w:val="24"/>
                <w:szCs w:val="24"/>
                <w:highlight w:val="none"/>
                <w:lang w:eastAsia="zh-CN"/>
              </w:rPr>
              <w:t>注：本项目按标段号SJ1、SJ</w:t>
            </w:r>
            <w:r>
              <w:rPr>
                <w:rFonts w:hint="eastAsia" w:cs="宋体"/>
                <w:color w:val="auto"/>
                <w:sz w:val="24"/>
                <w:szCs w:val="24"/>
                <w:highlight w:val="none"/>
                <w:lang w:val="en-US" w:eastAsia="zh-CN"/>
              </w:rPr>
              <w:t>2</w:t>
            </w:r>
            <w:r>
              <w:rPr>
                <w:rFonts w:hint="eastAsia" w:cs="宋体"/>
                <w:color w:val="auto"/>
                <w:sz w:val="24"/>
                <w:szCs w:val="24"/>
                <w:highlight w:val="none"/>
                <w:lang w:eastAsia="zh-CN"/>
              </w:rPr>
              <w:t>的顺序逐一进行评审，如同一投标人参与两个标段的投标且得分均排名第一时，只推荐为前一标段的第一中标候选人。</w:t>
            </w:r>
          </w:p>
        </w:tc>
      </w:tr>
      <w:tr w14:paraId="0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39" w:type="dxa"/>
            <w:noWrap w:val="0"/>
            <w:vAlign w:val="center"/>
          </w:tcPr>
          <w:p w14:paraId="399293DA">
            <w:pPr>
              <w:jc w:val="center"/>
              <w:rPr>
                <w:color w:val="auto"/>
                <w:sz w:val="24"/>
                <w:szCs w:val="24"/>
                <w:highlight w:val="none"/>
              </w:rPr>
            </w:pPr>
            <w:r>
              <w:rPr>
                <w:color w:val="auto"/>
                <w:sz w:val="24"/>
                <w:szCs w:val="24"/>
                <w:highlight w:val="none"/>
              </w:rPr>
              <w:t>2.1.1</w:t>
            </w:r>
          </w:p>
          <w:p w14:paraId="177C2333">
            <w:pPr>
              <w:jc w:val="center"/>
              <w:rPr>
                <w:color w:val="auto"/>
                <w:sz w:val="24"/>
                <w:szCs w:val="24"/>
                <w:highlight w:val="none"/>
              </w:rPr>
            </w:pPr>
            <w:r>
              <w:rPr>
                <w:color w:val="auto"/>
                <w:sz w:val="24"/>
                <w:szCs w:val="24"/>
                <w:highlight w:val="none"/>
              </w:rPr>
              <w:t>2.1.3</w:t>
            </w:r>
          </w:p>
        </w:tc>
        <w:tc>
          <w:tcPr>
            <w:tcW w:w="1254" w:type="dxa"/>
            <w:noWrap w:val="0"/>
            <w:vAlign w:val="center"/>
          </w:tcPr>
          <w:p w14:paraId="1604432C">
            <w:pPr>
              <w:jc w:val="center"/>
              <w:rPr>
                <w:color w:val="auto"/>
                <w:sz w:val="24"/>
                <w:szCs w:val="24"/>
                <w:highlight w:val="none"/>
              </w:rPr>
            </w:pPr>
            <w:r>
              <w:rPr>
                <w:color w:val="auto"/>
                <w:sz w:val="24"/>
                <w:szCs w:val="24"/>
                <w:highlight w:val="none"/>
              </w:rPr>
              <w:t>形式评审与响应性评审标准</w:t>
            </w:r>
          </w:p>
        </w:tc>
        <w:tc>
          <w:tcPr>
            <w:tcW w:w="7250" w:type="dxa"/>
            <w:noWrap w:val="0"/>
            <w:vAlign w:val="top"/>
          </w:tcPr>
          <w:p w14:paraId="5B93D4DA">
            <w:pPr>
              <w:tabs>
                <w:tab w:val="left" w:pos="3060"/>
              </w:tabs>
              <w:rPr>
                <w:b/>
                <w:color w:val="auto"/>
                <w:sz w:val="24"/>
                <w:szCs w:val="24"/>
                <w:highlight w:val="none"/>
              </w:rPr>
            </w:pPr>
            <w:r>
              <w:rPr>
                <w:b/>
                <w:color w:val="auto"/>
                <w:sz w:val="24"/>
                <w:szCs w:val="24"/>
                <w:highlight w:val="none"/>
              </w:rPr>
              <w:t>第一个信封（商务文件）评审标准：</w:t>
            </w:r>
          </w:p>
          <w:p w14:paraId="49D01E7D">
            <w:pPr>
              <w:tabs>
                <w:tab w:val="left" w:pos="3060"/>
              </w:tabs>
              <w:rPr>
                <w:bCs/>
                <w:color w:val="auto"/>
                <w:sz w:val="24"/>
                <w:szCs w:val="24"/>
                <w:highlight w:val="none"/>
              </w:rPr>
            </w:pPr>
            <w:r>
              <w:rPr>
                <w:bCs/>
                <w:color w:val="auto"/>
                <w:sz w:val="24"/>
                <w:szCs w:val="24"/>
                <w:highlight w:val="none"/>
              </w:rPr>
              <w:t>（1）投标文件按照招标文件规定的格式、内容填写，字迹清晰可辨：</w:t>
            </w:r>
          </w:p>
          <w:p w14:paraId="2F656B78">
            <w:pPr>
              <w:tabs>
                <w:tab w:val="left" w:pos="3060"/>
              </w:tabs>
              <w:rPr>
                <w:bCs/>
                <w:color w:val="auto"/>
                <w:sz w:val="24"/>
                <w:szCs w:val="24"/>
                <w:highlight w:val="none"/>
              </w:rPr>
            </w:pPr>
            <w:r>
              <w:rPr>
                <w:bCs/>
                <w:color w:val="auto"/>
                <w:sz w:val="24"/>
                <w:szCs w:val="24"/>
                <w:highlight w:val="none"/>
              </w:rPr>
              <w:t>a.投标函按招标文件规定填报了补遗书编号（如有）、</w:t>
            </w:r>
            <w:r>
              <w:rPr>
                <w:rFonts w:hint="eastAsia"/>
                <w:bCs/>
                <w:color w:val="auto"/>
                <w:sz w:val="24"/>
                <w:szCs w:val="24"/>
                <w:highlight w:val="none"/>
                <w:lang w:val="en-US" w:eastAsia="zh-CN"/>
              </w:rPr>
              <w:t>标段号、</w:t>
            </w:r>
            <w:r>
              <w:rPr>
                <w:color w:val="auto"/>
                <w:sz w:val="24"/>
                <w:szCs w:val="24"/>
                <w:highlight w:val="none"/>
              </w:rPr>
              <w:t>项目负责人（主审）</w:t>
            </w:r>
            <w:r>
              <w:rPr>
                <w:bCs/>
                <w:color w:val="auto"/>
                <w:sz w:val="24"/>
                <w:szCs w:val="24"/>
                <w:highlight w:val="none"/>
              </w:rPr>
              <w:t>、</w:t>
            </w:r>
            <w:r>
              <w:rPr>
                <w:color w:val="auto"/>
                <w:sz w:val="24"/>
                <w:szCs w:val="24"/>
                <w:highlight w:val="none"/>
              </w:rPr>
              <w:t>造价审核主管，未对项目名称、服务期限、质量要求、安全目标、项目实施地点进行修改</w:t>
            </w:r>
            <w:r>
              <w:rPr>
                <w:bCs/>
                <w:color w:val="auto"/>
                <w:sz w:val="24"/>
                <w:szCs w:val="24"/>
                <w:highlight w:val="none"/>
              </w:rPr>
              <w:t>；</w:t>
            </w:r>
          </w:p>
          <w:p w14:paraId="1644A711">
            <w:pPr>
              <w:tabs>
                <w:tab w:val="left" w:pos="3060"/>
              </w:tabs>
              <w:rPr>
                <w:bCs/>
                <w:color w:val="auto"/>
                <w:sz w:val="24"/>
                <w:szCs w:val="24"/>
                <w:highlight w:val="none"/>
              </w:rPr>
            </w:pPr>
            <w:r>
              <w:rPr>
                <w:bCs/>
                <w:color w:val="auto"/>
                <w:sz w:val="24"/>
                <w:szCs w:val="24"/>
                <w:highlight w:val="none"/>
              </w:rPr>
              <w:t>b.投标文件组成齐全完整，内容均按规定填写。</w:t>
            </w:r>
          </w:p>
          <w:p w14:paraId="3F470354">
            <w:pPr>
              <w:tabs>
                <w:tab w:val="left" w:pos="3060"/>
              </w:tabs>
              <w:rPr>
                <w:bCs/>
                <w:color w:val="auto"/>
                <w:sz w:val="24"/>
                <w:szCs w:val="24"/>
                <w:highlight w:val="none"/>
              </w:rPr>
            </w:pPr>
            <w:r>
              <w:rPr>
                <w:bCs/>
                <w:color w:val="auto"/>
                <w:sz w:val="24"/>
                <w:szCs w:val="24"/>
                <w:highlight w:val="none"/>
              </w:rPr>
              <w:t>（2）投标文件上法定代表人或其授权代理人的签字、投标人的单位章盖章齐全，符合招标文件规定。</w:t>
            </w:r>
          </w:p>
          <w:p w14:paraId="5D412F32">
            <w:pPr>
              <w:tabs>
                <w:tab w:val="left" w:pos="3060"/>
              </w:tabs>
              <w:rPr>
                <w:color w:val="auto"/>
                <w:sz w:val="24"/>
                <w:szCs w:val="24"/>
                <w:highlight w:val="none"/>
              </w:rPr>
            </w:pPr>
            <w:r>
              <w:rPr>
                <w:color w:val="auto"/>
                <w:sz w:val="24"/>
                <w:szCs w:val="24"/>
                <w:highlight w:val="none"/>
              </w:rPr>
              <w:t>（3）投标人按照招标文件的规定提供了投标保证金，并符合投标人须知前附表3.4.1项的相关规定。</w:t>
            </w:r>
          </w:p>
          <w:p w14:paraId="2D184E5E">
            <w:pPr>
              <w:tabs>
                <w:tab w:val="left" w:pos="3060"/>
              </w:tabs>
              <w:rPr>
                <w:color w:val="auto"/>
                <w:sz w:val="24"/>
                <w:szCs w:val="24"/>
                <w:highlight w:val="none"/>
              </w:rPr>
            </w:pPr>
            <w:r>
              <w:rPr>
                <w:color w:val="auto"/>
                <w:sz w:val="24"/>
                <w:szCs w:val="24"/>
                <w:highlight w:val="none"/>
              </w:rPr>
              <w:t>（4）投标人法定代表人授权委托代理人签署投标文件的，须提交授权委托书，授权委托书的签字盖章符合招标文件规定。</w:t>
            </w:r>
          </w:p>
          <w:p w14:paraId="12076B13">
            <w:pPr>
              <w:tabs>
                <w:tab w:val="left" w:pos="3060"/>
              </w:tabs>
              <w:rPr>
                <w:color w:val="auto"/>
                <w:sz w:val="24"/>
                <w:szCs w:val="24"/>
                <w:highlight w:val="none"/>
              </w:rPr>
            </w:pPr>
            <w:r>
              <w:rPr>
                <w:color w:val="auto"/>
                <w:sz w:val="24"/>
                <w:szCs w:val="24"/>
                <w:highlight w:val="none"/>
              </w:rPr>
              <w:t>（5）投标人法定代表人亲自签署投标文件的，提供了法定代表人身份证明</w:t>
            </w:r>
            <w:r>
              <w:rPr>
                <w:rFonts w:hint="eastAsia"/>
                <w:color w:val="auto"/>
                <w:sz w:val="24"/>
                <w:szCs w:val="24"/>
                <w:highlight w:val="none"/>
                <w:lang w:eastAsia="zh-CN"/>
              </w:rPr>
              <w:t>，</w:t>
            </w:r>
            <w:r>
              <w:rPr>
                <w:color w:val="auto"/>
                <w:sz w:val="24"/>
                <w:szCs w:val="24"/>
                <w:highlight w:val="none"/>
              </w:rPr>
              <w:t>法定代表人身份证明的签字盖章符合招标文件规定。</w:t>
            </w:r>
          </w:p>
          <w:p w14:paraId="2742C12C">
            <w:pPr>
              <w:tabs>
                <w:tab w:val="left" w:pos="3060"/>
              </w:tabs>
              <w:rPr>
                <w:color w:val="auto"/>
                <w:sz w:val="24"/>
                <w:szCs w:val="24"/>
                <w:highlight w:val="none"/>
                <w:shd w:val="clear" w:color="auto" w:fill="C00000"/>
              </w:rPr>
            </w:pPr>
            <w:r>
              <w:rPr>
                <w:color w:val="auto"/>
                <w:sz w:val="24"/>
                <w:szCs w:val="24"/>
                <w:highlight w:val="none"/>
              </w:rPr>
              <w:t>（6）投标人以联合体形式投标时，联合体满足招标文件的要求；</w:t>
            </w:r>
          </w:p>
          <w:p w14:paraId="7B7130E4">
            <w:pPr>
              <w:tabs>
                <w:tab w:val="left" w:pos="3060"/>
              </w:tabs>
              <w:rPr>
                <w:color w:val="auto"/>
                <w:sz w:val="24"/>
                <w:szCs w:val="24"/>
                <w:highlight w:val="none"/>
              </w:rPr>
            </w:pPr>
            <w:r>
              <w:rPr>
                <w:color w:val="auto"/>
                <w:sz w:val="24"/>
                <w:szCs w:val="24"/>
                <w:highlight w:val="none"/>
              </w:rPr>
              <w:t>投标人按照招标文件提供的格式和要求签订了联合体协议书，明确各方承担连带责任，并明确了联合体牵头人。</w:t>
            </w:r>
          </w:p>
          <w:p w14:paraId="7B8A60BF">
            <w:pPr>
              <w:tabs>
                <w:tab w:val="left" w:pos="3060"/>
              </w:tabs>
              <w:rPr>
                <w:color w:val="auto"/>
                <w:sz w:val="24"/>
                <w:szCs w:val="24"/>
                <w:highlight w:val="none"/>
              </w:rPr>
            </w:pPr>
            <w:r>
              <w:rPr>
                <w:color w:val="auto"/>
                <w:sz w:val="24"/>
                <w:szCs w:val="24"/>
                <w:highlight w:val="none"/>
              </w:rPr>
              <w:t>（7）</w:t>
            </w:r>
            <w:r>
              <w:rPr>
                <w:rFonts w:hint="eastAsia" w:ascii="宋体" w:hAnsi="宋体" w:eastAsia="宋体" w:cs="宋体"/>
                <w:color w:val="auto"/>
                <w:sz w:val="24"/>
                <w:szCs w:val="24"/>
                <w:highlight w:val="none"/>
                <w:lang w:eastAsia="zh-CN"/>
              </w:rPr>
              <w:t>投标人未对本项目进行分包</w:t>
            </w:r>
            <w:r>
              <w:rPr>
                <w:color w:val="auto"/>
                <w:sz w:val="24"/>
                <w:szCs w:val="24"/>
                <w:highlight w:val="none"/>
              </w:rPr>
              <w:t>。</w:t>
            </w:r>
          </w:p>
          <w:p w14:paraId="2C961A29">
            <w:pPr>
              <w:tabs>
                <w:tab w:val="left" w:pos="3060"/>
              </w:tabs>
              <w:rPr>
                <w:color w:val="auto"/>
                <w:sz w:val="24"/>
                <w:szCs w:val="24"/>
                <w:highlight w:val="none"/>
              </w:rPr>
            </w:pPr>
            <w:r>
              <w:rPr>
                <w:color w:val="auto"/>
                <w:sz w:val="24"/>
                <w:szCs w:val="24"/>
                <w:highlight w:val="none"/>
              </w:rPr>
              <w:t>（8）</w:t>
            </w:r>
            <w:r>
              <w:rPr>
                <w:rFonts w:hint="eastAsia" w:ascii="宋体" w:hAnsi="宋体" w:eastAsia="宋体" w:cs="宋体"/>
                <w:color w:val="auto"/>
                <w:sz w:val="24"/>
                <w:szCs w:val="24"/>
                <w:highlight w:val="none"/>
                <w:lang w:eastAsia="zh-CN"/>
              </w:rPr>
              <w:t>同一投标人对同一标段未提交两个以上不同的投标文件</w:t>
            </w:r>
            <w:r>
              <w:rPr>
                <w:color w:val="auto"/>
                <w:sz w:val="24"/>
                <w:szCs w:val="24"/>
                <w:highlight w:val="none"/>
              </w:rPr>
              <w:t>。</w:t>
            </w:r>
          </w:p>
          <w:p w14:paraId="677BB0FE">
            <w:pPr>
              <w:tabs>
                <w:tab w:val="left" w:pos="3060"/>
              </w:tabs>
              <w:rPr>
                <w:color w:val="auto"/>
                <w:sz w:val="24"/>
                <w:szCs w:val="24"/>
                <w:highlight w:val="none"/>
              </w:rPr>
            </w:pPr>
            <w:r>
              <w:rPr>
                <w:color w:val="auto"/>
                <w:sz w:val="24"/>
                <w:szCs w:val="24"/>
                <w:highlight w:val="none"/>
              </w:rPr>
              <w:t>（9）投标文件第一信封中未出现有关投标报价的内容。</w:t>
            </w:r>
          </w:p>
          <w:p w14:paraId="373CC3D7">
            <w:pPr>
              <w:tabs>
                <w:tab w:val="left" w:pos="3060"/>
              </w:tabs>
              <w:rPr>
                <w:color w:val="auto"/>
                <w:sz w:val="24"/>
                <w:szCs w:val="24"/>
                <w:highlight w:val="none"/>
              </w:rPr>
            </w:pPr>
            <w:r>
              <w:rPr>
                <w:color w:val="auto"/>
                <w:sz w:val="24"/>
                <w:szCs w:val="24"/>
                <w:highlight w:val="none"/>
              </w:rPr>
              <w:t>（10）投标文件载明的招标项目完成期限未超过招标文件规定。</w:t>
            </w:r>
          </w:p>
          <w:p w14:paraId="5D1CCA61">
            <w:pPr>
              <w:tabs>
                <w:tab w:val="left" w:pos="3060"/>
              </w:tabs>
              <w:rPr>
                <w:color w:val="auto"/>
                <w:sz w:val="24"/>
                <w:szCs w:val="24"/>
                <w:highlight w:val="none"/>
              </w:rPr>
            </w:pPr>
            <w:r>
              <w:rPr>
                <w:color w:val="auto"/>
                <w:sz w:val="24"/>
                <w:szCs w:val="24"/>
                <w:highlight w:val="none"/>
              </w:rPr>
              <w:t>（11）投标文件对招标文件的实质性要求和条件作出响应。</w:t>
            </w:r>
          </w:p>
          <w:p w14:paraId="4EA9EC9B">
            <w:pPr>
              <w:pStyle w:val="4"/>
              <w:rPr>
                <w:rFonts w:hint="default"/>
                <w:color w:val="auto"/>
                <w:sz w:val="24"/>
                <w:szCs w:val="24"/>
                <w:highlight w:val="none"/>
                <w:lang w:val="en-US" w:eastAsia="zh-CN"/>
              </w:rPr>
            </w:pPr>
            <w:r>
              <w:rPr>
                <w:rFonts w:hint="eastAsia"/>
                <w:color w:val="auto"/>
                <w:sz w:val="24"/>
                <w:szCs w:val="24"/>
                <w:highlight w:val="none"/>
                <w:lang w:val="en-US" w:eastAsia="zh-CN"/>
              </w:rPr>
              <w:t>（12）</w:t>
            </w:r>
            <w:r>
              <w:rPr>
                <w:rFonts w:hint="eastAsia" w:ascii="宋体" w:hAnsi="宋体" w:eastAsia="宋体" w:cs="宋体"/>
                <w:color w:val="auto"/>
                <w:sz w:val="24"/>
                <w:szCs w:val="24"/>
                <w:highlight w:val="none"/>
                <w:lang w:eastAsia="zh-CN" w:bidi="ar"/>
              </w:rPr>
              <w:t>递交的投标文件与所投标段一致</w:t>
            </w:r>
            <w:r>
              <w:rPr>
                <w:rFonts w:hint="eastAsia" w:ascii="宋体" w:hAnsi="宋体" w:eastAsia="宋体" w:cs="宋体"/>
                <w:color w:val="auto"/>
                <w:sz w:val="24"/>
                <w:szCs w:val="24"/>
                <w:highlight w:val="none"/>
                <w:lang w:eastAsia="zh-CN"/>
              </w:rPr>
              <w:t>。</w:t>
            </w:r>
          </w:p>
          <w:p w14:paraId="6E1987CD">
            <w:pPr>
              <w:tabs>
                <w:tab w:val="left" w:pos="3060"/>
              </w:tabs>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3</w:t>
            </w:r>
            <w:r>
              <w:rPr>
                <w:color w:val="auto"/>
                <w:sz w:val="24"/>
                <w:szCs w:val="24"/>
                <w:highlight w:val="none"/>
              </w:rPr>
              <w:t>）权利义务符合招标文件规定：</w:t>
            </w:r>
          </w:p>
          <w:p w14:paraId="7794919A">
            <w:pPr>
              <w:tabs>
                <w:tab w:val="left" w:pos="3060"/>
              </w:tabs>
              <w:rPr>
                <w:color w:val="auto"/>
                <w:sz w:val="24"/>
                <w:szCs w:val="24"/>
                <w:highlight w:val="none"/>
              </w:rPr>
            </w:pPr>
            <w:r>
              <w:rPr>
                <w:color w:val="auto"/>
                <w:sz w:val="24"/>
                <w:szCs w:val="24"/>
                <w:highlight w:val="none"/>
              </w:rPr>
              <w:t>a.投标人应接受招标文件规定的风险划分原则，未提出新的风险划分办法；</w:t>
            </w:r>
          </w:p>
          <w:p w14:paraId="7692E8D8">
            <w:pPr>
              <w:tabs>
                <w:tab w:val="left" w:pos="3060"/>
              </w:tabs>
              <w:rPr>
                <w:color w:val="auto"/>
                <w:sz w:val="24"/>
                <w:szCs w:val="24"/>
                <w:highlight w:val="none"/>
              </w:rPr>
            </w:pPr>
            <w:r>
              <w:rPr>
                <w:color w:val="auto"/>
                <w:sz w:val="24"/>
                <w:szCs w:val="24"/>
                <w:highlight w:val="none"/>
              </w:rPr>
              <w:t>b.投标人未增加发包人的责任范围，或减少投标人义务；</w:t>
            </w:r>
          </w:p>
          <w:p w14:paraId="09489047">
            <w:pPr>
              <w:tabs>
                <w:tab w:val="left" w:pos="3060"/>
              </w:tabs>
              <w:rPr>
                <w:color w:val="auto"/>
                <w:sz w:val="24"/>
                <w:szCs w:val="24"/>
                <w:highlight w:val="none"/>
              </w:rPr>
            </w:pPr>
            <w:r>
              <w:rPr>
                <w:color w:val="auto"/>
                <w:sz w:val="24"/>
                <w:szCs w:val="24"/>
                <w:highlight w:val="none"/>
              </w:rPr>
              <w:t>c.投标人未提出不同的支付办法；</w:t>
            </w:r>
          </w:p>
          <w:p w14:paraId="0CDD6DC3">
            <w:pPr>
              <w:tabs>
                <w:tab w:val="left" w:pos="3060"/>
              </w:tabs>
              <w:rPr>
                <w:color w:val="auto"/>
                <w:sz w:val="24"/>
                <w:szCs w:val="24"/>
                <w:highlight w:val="none"/>
              </w:rPr>
            </w:pPr>
            <w:r>
              <w:rPr>
                <w:color w:val="auto"/>
                <w:sz w:val="24"/>
                <w:szCs w:val="24"/>
                <w:highlight w:val="none"/>
              </w:rPr>
              <w:t>d.投标人对合同纠纷、事故处理办法未提出异议；</w:t>
            </w:r>
          </w:p>
          <w:p w14:paraId="68595974">
            <w:pPr>
              <w:tabs>
                <w:tab w:val="left" w:pos="3060"/>
              </w:tabs>
              <w:rPr>
                <w:color w:val="auto"/>
                <w:sz w:val="24"/>
                <w:szCs w:val="24"/>
                <w:highlight w:val="none"/>
              </w:rPr>
            </w:pPr>
            <w:r>
              <w:rPr>
                <w:color w:val="auto"/>
                <w:sz w:val="24"/>
                <w:szCs w:val="24"/>
                <w:highlight w:val="none"/>
              </w:rPr>
              <w:t>e.投标人在投标活动中无欺诈行为；</w:t>
            </w:r>
          </w:p>
          <w:p w14:paraId="7A2838E3">
            <w:pPr>
              <w:tabs>
                <w:tab w:val="left" w:pos="3060"/>
              </w:tabs>
              <w:rPr>
                <w:color w:val="auto"/>
                <w:sz w:val="24"/>
                <w:szCs w:val="24"/>
                <w:highlight w:val="none"/>
              </w:rPr>
            </w:pPr>
            <w:r>
              <w:rPr>
                <w:color w:val="auto"/>
                <w:sz w:val="24"/>
                <w:szCs w:val="24"/>
                <w:highlight w:val="none"/>
              </w:rPr>
              <w:t>f.投标人未对合同条款有重要保留。</w:t>
            </w:r>
          </w:p>
          <w:p w14:paraId="5E954695">
            <w:pPr>
              <w:tabs>
                <w:tab w:val="left" w:pos="3060"/>
              </w:tabs>
              <w:rPr>
                <w:b/>
                <w:color w:val="auto"/>
                <w:sz w:val="24"/>
                <w:szCs w:val="24"/>
                <w:highlight w:val="none"/>
              </w:rPr>
            </w:pPr>
            <w:r>
              <w:rPr>
                <w:b/>
                <w:color w:val="auto"/>
                <w:sz w:val="24"/>
                <w:szCs w:val="24"/>
                <w:highlight w:val="none"/>
              </w:rPr>
              <w:t>第一个信封（技术文件）评审标准</w:t>
            </w:r>
            <w:r>
              <w:rPr>
                <w:rFonts w:hint="eastAsia"/>
                <w:b/>
                <w:color w:val="auto"/>
                <w:sz w:val="24"/>
                <w:szCs w:val="24"/>
                <w:highlight w:val="none"/>
                <w:lang w:eastAsia="zh-CN"/>
              </w:rPr>
              <w:t>（</w:t>
            </w:r>
            <w:r>
              <w:rPr>
                <w:rFonts w:hint="eastAsia"/>
                <w:b/>
                <w:color w:val="auto"/>
                <w:sz w:val="24"/>
                <w:szCs w:val="24"/>
                <w:highlight w:val="none"/>
                <w:lang w:val="en-US" w:eastAsia="zh-CN"/>
              </w:rPr>
              <w:t>暗标</w:t>
            </w:r>
            <w:r>
              <w:rPr>
                <w:rFonts w:hint="eastAsia"/>
                <w:b/>
                <w:color w:val="auto"/>
                <w:sz w:val="24"/>
                <w:szCs w:val="24"/>
                <w:highlight w:val="none"/>
                <w:lang w:eastAsia="zh-CN"/>
              </w:rPr>
              <w:t>）</w:t>
            </w:r>
            <w:r>
              <w:rPr>
                <w:b/>
                <w:color w:val="auto"/>
                <w:sz w:val="24"/>
                <w:szCs w:val="24"/>
                <w:highlight w:val="none"/>
              </w:rPr>
              <w:t>：</w:t>
            </w:r>
          </w:p>
          <w:p w14:paraId="758C2B78">
            <w:pPr>
              <w:tabs>
                <w:tab w:val="left" w:pos="3060"/>
              </w:tabs>
              <w:rPr>
                <w:bCs/>
                <w:color w:val="auto"/>
                <w:sz w:val="24"/>
                <w:szCs w:val="24"/>
                <w:highlight w:val="none"/>
              </w:rPr>
            </w:pPr>
            <w:r>
              <w:rPr>
                <w:bCs/>
                <w:color w:val="auto"/>
                <w:sz w:val="24"/>
                <w:szCs w:val="24"/>
                <w:highlight w:val="none"/>
              </w:rPr>
              <w:t>（1）审计实施方案（暗标）符合招标文件第二章“投标人须知”第3.7.3款的投标文件技术部分暗标编制要求。</w:t>
            </w:r>
          </w:p>
          <w:p w14:paraId="470DD2C6">
            <w:pPr>
              <w:tabs>
                <w:tab w:val="left" w:pos="3060"/>
              </w:tabs>
              <w:rPr>
                <w:b/>
                <w:color w:val="auto"/>
                <w:sz w:val="24"/>
                <w:szCs w:val="24"/>
                <w:highlight w:val="none"/>
              </w:rPr>
            </w:pPr>
            <w:r>
              <w:rPr>
                <w:b/>
                <w:color w:val="auto"/>
                <w:sz w:val="24"/>
                <w:szCs w:val="24"/>
                <w:highlight w:val="none"/>
              </w:rPr>
              <w:t>第二个信封（报价文件）评审标准：</w:t>
            </w:r>
          </w:p>
          <w:p w14:paraId="7DB8C70B">
            <w:pPr>
              <w:tabs>
                <w:tab w:val="left" w:pos="3060"/>
              </w:tabs>
              <w:rPr>
                <w:bCs/>
                <w:color w:val="auto"/>
                <w:sz w:val="24"/>
                <w:szCs w:val="24"/>
                <w:highlight w:val="none"/>
              </w:rPr>
            </w:pPr>
            <w:r>
              <w:rPr>
                <w:bCs/>
                <w:color w:val="auto"/>
                <w:sz w:val="24"/>
                <w:szCs w:val="24"/>
                <w:highlight w:val="none"/>
              </w:rPr>
              <w:t>（1）投标文件按照招标文件规定的格式、内容填写，字迹清晰可辨，内容齐全完整。</w:t>
            </w:r>
          </w:p>
          <w:p w14:paraId="5CD16A07">
            <w:pPr>
              <w:tabs>
                <w:tab w:val="left" w:pos="3060"/>
              </w:tabs>
              <w:rPr>
                <w:bCs/>
                <w:color w:val="auto"/>
                <w:sz w:val="24"/>
                <w:szCs w:val="24"/>
                <w:highlight w:val="none"/>
              </w:rPr>
            </w:pPr>
            <w:r>
              <w:rPr>
                <w:bCs/>
                <w:color w:val="auto"/>
                <w:sz w:val="24"/>
                <w:szCs w:val="24"/>
                <w:highlight w:val="none"/>
              </w:rPr>
              <w:t>a.投标函按招标文件规定填报了补遗书编号（如有）、</w:t>
            </w:r>
            <w:r>
              <w:rPr>
                <w:rFonts w:hint="eastAsia"/>
                <w:bCs/>
                <w:color w:val="auto"/>
                <w:sz w:val="24"/>
                <w:szCs w:val="24"/>
                <w:highlight w:val="none"/>
                <w:lang w:val="en-US" w:eastAsia="zh-CN"/>
              </w:rPr>
              <w:t>标段号、</w:t>
            </w:r>
            <w:r>
              <w:rPr>
                <w:bCs/>
                <w:color w:val="auto"/>
                <w:sz w:val="24"/>
                <w:szCs w:val="24"/>
                <w:highlight w:val="none"/>
              </w:rPr>
              <w:t>投标价（包括大写金额和小写金额），未对项目名称进行修改；</w:t>
            </w:r>
          </w:p>
          <w:p w14:paraId="543AABFA">
            <w:pPr>
              <w:tabs>
                <w:tab w:val="left" w:pos="3060"/>
              </w:tabs>
              <w:rPr>
                <w:bCs/>
                <w:color w:val="auto"/>
                <w:sz w:val="24"/>
                <w:szCs w:val="24"/>
                <w:highlight w:val="none"/>
              </w:rPr>
            </w:pPr>
            <w:r>
              <w:rPr>
                <w:bCs/>
                <w:color w:val="auto"/>
                <w:sz w:val="24"/>
                <w:szCs w:val="24"/>
                <w:highlight w:val="none"/>
              </w:rPr>
              <w:t>b．投标文件组成齐全完整，内容均按规定填写。</w:t>
            </w:r>
          </w:p>
          <w:p w14:paraId="0C593D35">
            <w:pPr>
              <w:tabs>
                <w:tab w:val="left" w:pos="3060"/>
              </w:tabs>
              <w:rPr>
                <w:bCs/>
                <w:color w:val="auto"/>
                <w:sz w:val="24"/>
                <w:szCs w:val="24"/>
                <w:highlight w:val="none"/>
              </w:rPr>
            </w:pPr>
            <w:r>
              <w:rPr>
                <w:bCs/>
                <w:color w:val="auto"/>
                <w:sz w:val="24"/>
                <w:szCs w:val="24"/>
                <w:highlight w:val="none"/>
              </w:rPr>
              <w:t>（2）投标文件上法定代表人或其授权代理人的签字、投标人的单位章盖章齐全，符合招标文件规定。</w:t>
            </w:r>
          </w:p>
          <w:p w14:paraId="2E67DA93">
            <w:pPr>
              <w:tabs>
                <w:tab w:val="left" w:pos="3060"/>
              </w:tabs>
              <w:rPr>
                <w:bCs/>
                <w:color w:val="auto"/>
                <w:sz w:val="24"/>
                <w:szCs w:val="24"/>
                <w:highlight w:val="none"/>
              </w:rPr>
            </w:pPr>
            <w:r>
              <w:rPr>
                <w:bCs/>
                <w:color w:val="auto"/>
                <w:sz w:val="24"/>
                <w:szCs w:val="24"/>
                <w:highlight w:val="none"/>
              </w:rPr>
              <w:t>（3）投标报价未超过招标文件设定的最高投标限价</w:t>
            </w:r>
            <w:r>
              <w:rPr>
                <w:rFonts w:hint="eastAsia"/>
                <w:bCs/>
                <w:color w:val="auto"/>
                <w:sz w:val="24"/>
                <w:szCs w:val="24"/>
                <w:highlight w:val="none"/>
                <w:lang w:val="en-US" w:eastAsia="zh-CN"/>
              </w:rPr>
              <w:t>及分项限价</w:t>
            </w:r>
            <w:r>
              <w:rPr>
                <w:bCs/>
                <w:color w:val="auto"/>
                <w:sz w:val="24"/>
                <w:szCs w:val="24"/>
                <w:highlight w:val="none"/>
              </w:rPr>
              <w:t>。</w:t>
            </w:r>
          </w:p>
          <w:p w14:paraId="538E31B5">
            <w:pPr>
              <w:tabs>
                <w:tab w:val="left" w:pos="3060"/>
              </w:tabs>
              <w:rPr>
                <w:bCs/>
                <w:color w:val="auto"/>
                <w:sz w:val="24"/>
                <w:szCs w:val="24"/>
                <w:highlight w:val="none"/>
              </w:rPr>
            </w:pPr>
            <w:r>
              <w:rPr>
                <w:bCs/>
                <w:color w:val="auto"/>
                <w:sz w:val="24"/>
                <w:szCs w:val="24"/>
                <w:highlight w:val="none"/>
              </w:rPr>
              <w:t>（4）投标报价的大写金额能够确定具体数值。</w:t>
            </w:r>
          </w:p>
          <w:p w14:paraId="64D2E072">
            <w:pPr>
              <w:tabs>
                <w:tab w:val="left" w:pos="3060"/>
              </w:tabs>
              <w:rPr>
                <w:bCs/>
                <w:color w:val="auto"/>
                <w:sz w:val="24"/>
                <w:szCs w:val="24"/>
                <w:highlight w:val="none"/>
              </w:rPr>
            </w:pPr>
            <w:r>
              <w:rPr>
                <w:bCs/>
                <w:color w:val="auto"/>
                <w:sz w:val="24"/>
                <w:szCs w:val="24"/>
                <w:highlight w:val="none"/>
              </w:rPr>
              <w:t>（5）同一投标人</w:t>
            </w:r>
            <w:r>
              <w:rPr>
                <w:rFonts w:hint="eastAsia"/>
                <w:bCs/>
                <w:color w:val="auto"/>
                <w:sz w:val="24"/>
                <w:szCs w:val="24"/>
                <w:highlight w:val="none"/>
                <w:lang w:val="en-US" w:eastAsia="zh-CN"/>
              </w:rPr>
              <w:t>对同一标段</w:t>
            </w:r>
            <w:r>
              <w:rPr>
                <w:bCs/>
                <w:color w:val="auto"/>
                <w:sz w:val="24"/>
                <w:szCs w:val="24"/>
                <w:highlight w:val="none"/>
              </w:rPr>
              <w:t>未提交两个以上不同的投标报价。</w:t>
            </w:r>
          </w:p>
          <w:p w14:paraId="5DB4E17F">
            <w:pPr>
              <w:pStyle w:val="4"/>
              <w:rPr>
                <w:rFonts w:hint="default" w:eastAsia="宋体"/>
                <w:color w:val="auto"/>
                <w:highlight w:val="none"/>
                <w:lang w:val="en-US" w:eastAsia="zh-CN"/>
              </w:rPr>
            </w:pPr>
            <w:r>
              <w:rPr>
                <w:rFonts w:hint="eastAsia" w:ascii="Times New Roman" w:hAnsi="Times New Roman" w:eastAsia="宋体" w:cs="Times New Roman"/>
                <w:bCs/>
                <w:color w:val="auto"/>
                <w:kern w:val="28"/>
                <w:sz w:val="24"/>
                <w:szCs w:val="24"/>
                <w:highlight w:val="none"/>
                <w:lang w:val="en-US" w:eastAsia="zh-CN" w:bidi="ar-SA"/>
              </w:rPr>
              <w:t>（6）未对效益审减费进行修改。</w:t>
            </w:r>
          </w:p>
        </w:tc>
      </w:tr>
      <w:tr w14:paraId="2358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14:paraId="2CBF5794">
            <w:pPr>
              <w:jc w:val="center"/>
              <w:rPr>
                <w:color w:val="auto"/>
                <w:sz w:val="24"/>
                <w:szCs w:val="24"/>
                <w:highlight w:val="none"/>
              </w:rPr>
            </w:pPr>
            <w:r>
              <w:rPr>
                <w:color w:val="auto"/>
                <w:sz w:val="24"/>
                <w:szCs w:val="24"/>
                <w:highlight w:val="none"/>
              </w:rPr>
              <w:t>2.1.2</w:t>
            </w:r>
          </w:p>
        </w:tc>
        <w:tc>
          <w:tcPr>
            <w:tcW w:w="1254" w:type="dxa"/>
            <w:noWrap w:val="0"/>
            <w:vAlign w:val="center"/>
          </w:tcPr>
          <w:p w14:paraId="1BAD15D7">
            <w:pPr>
              <w:jc w:val="center"/>
              <w:rPr>
                <w:color w:val="auto"/>
                <w:sz w:val="24"/>
                <w:szCs w:val="24"/>
                <w:highlight w:val="none"/>
              </w:rPr>
            </w:pPr>
            <w:r>
              <w:rPr>
                <w:color w:val="auto"/>
                <w:sz w:val="24"/>
                <w:szCs w:val="24"/>
                <w:highlight w:val="none"/>
              </w:rPr>
              <w:t>资格评审标准</w:t>
            </w:r>
          </w:p>
        </w:tc>
        <w:tc>
          <w:tcPr>
            <w:tcW w:w="7250" w:type="dxa"/>
            <w:noWrap w:val="0"/>
            <w:vAlign w:val="top"/>
          </w:tcPr>
          <w:p w14:paraId="0F6E4A8C">
            <w:pPr>
              <w:tabs>
                <w:tab w:val="left" w:pos="3060"/>
              </w:tabs>
              <w:rPr>
                <w:color w:val="auto"/>
                <w:sz w:val="24"/>
                <w:szCs w:val="24"/>
                <w:highlight w:val="none"/>
              </w:rPr>
            </w:pPr>
            <w:r>
              <w:rPr>
                <w:color w:val="auto"/>
                <w:sz w:val="24"/>
                <w:szCs w:val="24"/>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1EF3BD63">
            <w:pPr>
              <w:tabs>
                <w:tab w:val="left" w:pos="3060"/>
              </w:tabs>
              <w:rPr>
                <w:color w:val="auto"/>
                <w:sz w:val="24"/>
                <w:szCs w:val="24"/>
                <w:highlight w:val="none"/>
              </w:rPr>
            </w:pPr>
            <w:r>
              <w:rPr>
                <w:color w:val="auto"/>
                <w:sz w:val="24"/>
                <w:szCs w:val="24"/>
                <w:highlight w:val="none"/>
              </w:rPr>
              <w:t>（2）投标人的资质等级符合招标文件规定；</w:t>
            </w:r>
          </w:p>
          <w:p w14:paraId="3DDC6E16">
            <w:pPr>
              <w:tabs>
                <w:tab w:val="left" w:pos="3060"/>
              </w:tabs>
              <w:rPr>
                <w:color w:val="auto"/>
                <w:sz w:val="24"/>
                <w:szCs w:val="24"/>
                <w:highlight w:val="none"/>
              </w:rPr>
            </w:pPr>
            <w:r>
              <w:rPr>
                <w:color w:val="auto"/>
                <w:sz w:val="24"/>
                <w:szCs w:val="24"/>
                <w:highlight w:val="none"/>
              </w:rPr>
              <w:t>（3）投标人的类似项目业绩符合招标文件规定；</w:t>
            </w:r>
          </w:p>
          <w:p w14:paraId="6FAFE41F">
            <w:pPr>
              <w:tabs>
                <w:tab w:val="left" w:pos="3060"/>
              </w:tabs>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4</w:t>
            </w:r>
            <w:r>
              <w:rPr>
                <w:color w:val="auto"/>
                <w:sz w:val="24"/>
                <w:szCs w:val="24"/>
                <w:highlight w:val="none"/>
              </w:rPr>
              <w:t>）投标人的信誉符合招标文件规定；</w:t>
            </w:r>
          </w:p>
          <w:p w14:paraId="7E42F651">
            <w:pPr>
              <w:tabs>
                <w:tab w:val="left" w:pos="3060"/>
              </w:tabs>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5</w:t>
            </w:r>
            <w:r>
              <w:rPr>
                <w:color w:val="auto"/>
                <w:sz w:val="24"/>
                <w:szCs w:val="24"/>
                <w:highlight w:val="none"/>
              </w:rPr>
              <w:t>）投标人的主要人员、其他人员资格符合招标文件规定；</w:t>
            </w:r>
          </w:p>
          <w:p w14:paraId="3A1B8D4B">
            <w:pPr>
              <w:tabs>
                <w:tab w:val="left" w:pos="3060"/>
              </w:tabs>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6</w:t>
            </w:r>
            <w:r>
              <w:rPr>
                <w:color w:val="auto"/>
                <w:sz w:val="24"/>
                <w:szCs w:val="24"/>
                <w:highlight w:val="none"/>
              </w:rPr>
              <w:t>）投标人不存在第二章“投标人须知”第1.4.3项或第1.4.4项规定的任何一种情形。</w:t>
            </w:r>
          </w:p>
          <w:p w14:paraId="36DABF6F">
            <w:pPr>
              <w:tabs>
                <w:tab w:val="left" w:pos="3060"/>
              </w:tabs>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7</w:t>
            </w:r>
            <w:r>
              <w:rPr>
                <w:color w:val="auto"/>
                <w:sz w:val="24"/>
                <w:szCs w:val="24"/>
                <w:highlight w:val="none"/>
              </w:rPr>
              <w:t>）以联合体形式参与投标的，联合体各方均未再以自己名义单独或参加其他联合体</w:t>
            </w:r>
            <w:r>
              <w:rPr>
                <w:rFonts w:hint="eastAsia"/>
                <w:color w:val="auto"/>
                <w:sz w:val="24"/>
                <w:szCs w:val="24"/>
                <w:highlight w:val="none"/>
                <w:lang w:val="en-US" w:eastAsia="zh-CN"/>
              </w:rPr>
              <w:t>在本标段</w:t>
            </w:r>
            <w:r>
              <w:rPr>
                <w:color w:val="auto"/>
                <w:sz w:val="24"/>
                <w:szCs w:val="24"/>
                <w:highlight w:val="none"/>
              </w:rPr>
              <w:t>的投标。</w:t>
            </w:r>
          </w:p>
        </w:tc>
      </w:tr>
      <w:tr w14:paraId="33F3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14:paraId="43555E8D">
            <w:pPr>
              <w:jc w:val="center"/>
              <w:rPr>
                <w:color w:val="auto"/>
                <w:sz w:val="24"/>
                <w:szCs w:val="24"/>
                <w:highlight w:val="none"/>
              </w:rPr>
            </w:pPr>
            <w:r>
              <w:rPr>
                <w:color w:val="auto"/>
                <w:sz w:val="24"/>
                <w:szCs w:val="24"/>
                <w:highlight w:val="none"/>
              </w:rPr>
              <w:t>2.2.1</w:t>
            </w:r>
          </w:p>
        </w:tc>
        <w:tc>
          <w:tcPr>
            <w:tcW w:w="1254" w:type="dxa"/>
            <w:noWrap w:val="0"/>
            <w:vAlign w:val="center"/>
          </w:tcPr>
          <w:p w14:paraId="4E64193B">
            <w:pPr>
              <w:jc w:val="center"/>
              <w:rPr>
                <w:color w:val="auto"/>
                <w:sz w:val="24"/>
                <w:szCs w:val="24"/>
                <w:highlight w:val="none"/>
              </w:rPr>
            </w:pPr>
            <w:r>
              <w:rPr>
                <w:color w:val="auto"/>
                <w:sz w:val="24"/>
                <w:szCs w:val="24"/>
                <w:highlight w:val="none"/>
              </w:rPr>
              <w:t>分值</w:t>
            </w:r>
          </w:p>
          <w:p w14:paraId="586D581A">
            <w:pPr>
              <w:jc w:val="center"/>
              <w:rPr>
                <w:color w:val="auto"/>
                <w:sz w:val="24"/>
                <w:szCs w:val="24"/>
                <w:highlight w:val="none"/>
              </w:rPr>
            </w:pPr>
            <w:r>
              <w:rPr>
                <w:color w:val="auto"/>
                <w:sz w:val="24"/>
                <w:szCs w:val="24"/>
                <w:highlight w:val="none"/>
              </w:rPr>
              <w:t>构成</w:t>
            </w:r>
          </w:p>
        </w:tc>
        <w:tc>
          <w:tcPr>
            <w:tcW w:w="7250" w:type="dxa"/>
            <w:noWrap w:val="0"/>
            <w:vAlign w:val="center"/>
          </w:tcPr>
          <w:p w14:paraId="0ECEE332">
            <w:pPr>
              <w:autoSpaceDE w:val="0"/>
              <w:autoSpaceDN w:val="0"/>
              <w:adjustRightInd w:val="0"/>
              <w:ind w:left="107"/>
              <w:jc w:val="left"/>
              <w:rPr>
                <w:b/>
                <w:color w:val="auto"/>
                <w:kern w:val="0"/>
                <w:sz w:val="24"/>
                <w:szCs w:val="24"/>
                <w:highlight w:val="none"/>
              </w:rPr>
            </w:pPr>
            <w:r>
              <w:rPr>
                <w:b/>
                <w:color w:val="auto"/>
                <w:kern w:val="0"/>
                <w:sz w:val="24"/>
                <w:szCs w:val="24"/>
                <w:highlight w:val="none"/>
              </w:rPr>
              <w:t>第一信封（商务及技术文件）评分分值构成：</w:t>
            </w:r>
          </w:p>
          <w:p w14:paraId="0DCD04E5">
            <w:pPr>
              <w:autoSpaceDE w:val="0"/>
              <w:autoSpaceDN w:val="0"/>
              <w:adjustRightInd w:val="0"/>
              <w:jc w:val="left"/>
              <w:rPr>
                <w:rFonts w:hint="eastAsia"/>
                <w:color w:val="auto"/>
                <w:kern w:val="0"/>
                <w:sz w:val="24"/>
                <w:szCs w:val="24"/>
                <w:highlight w:val="none"/>
              </w:rPr>
            </w:pPr>
            <w:r>
              <w:rPr>
                <w:rFonts w:hint="eastAsia"/>
                <w:color w:val="auto"/>
                <w:kern w:val="0"/>
                <w:sz w:val="24"/>
                <w:szCs w:val="24"/>
                <w:highlight w:val="none"/>
              </w:rPr>
              <w:t>（1）投标人拥有的专业人员情况及拟投入本项目的主要审计人员情况（明标部分）：</w:t>
            </w:r>
          </w:p>
          <w:p w14:paraId="04B91CAE">
            <w:pPr>
              <w:autoSpaceDE w:val="0"/>
              <w:autoSpaceDN w:val="0"/>
              <w:adjustRightInd w:val="0"/>
              <w:ind w:left="107"/>
              <w:jc w:val="left"/>
              <w:rPr>
                <w:rFonts w:hint="eastAsia"/>
                <w:color w:val="auto"/>
                <w:kern w:val="0"/>
                <w:sz w:val="24"/>
                <w:szCs w:val="24"/>
                <w:highlight w:val="none"/>
              </w:rPr>
            </w:pPr>
            <w:r>
              <w:rPr>
                <w:rFonts w:hint="eastAsia"/>
                <w:color w:val="auto"/>
                <w:kern w:val="0"/>
                <w:sz w:val="24"/>
                <w:szCs w:val="24"/>
                <w:highlight w:val="none"/>
              </w:rPr>
              <w:t>①投标人拥有的专业人员情况：5分</w:t>
            </w:r>
          </w:p>
          <w:p w14:paraId="505EF4C9">
            <w:pPr>
              <w:autoSpaceDE w:val="0"/>
              <w:autoSpaceDN w:val="0"/>
              <w:adjustRightInd w:val="0"/>
              <w:ind w:left="107"/>
              <w:jc w:val="left"/>
              <w:rPr>
                <w:rFonts w:hint="eastAsia"/>
                <w:color w:val="auto"/>
                <w:kern w:val="0"/>
                <w:sz w:val="24"/>
                <w:szCs w:val="24"/>
                <w:highlight w:val="none"/>
              </w:rPr>
            </w:pPr>
            <w:r>
              <w:rPr>
                <w:rFonts w:hint="eastAsia"/>
                <w:color w:val="auto"/>
                <w:kern w:val="0"/>
                <w:sz w:val="24"/>
                <w:szCs w:val="24"/>
                <w:highlight w:val="none"/>
              </w:rPr>
              <w:t>②拟投入本项目的主要审计人员情况：10分</w:t>
            </w:r>
          </w:p>
          <w:p w14:paraId="3D4AA2AC">
            <w:pPr>
              <w:autoSpaceDE w:val="0"/>
              <w:autoSpaceDN w:val="0"/>
              <w:adjustRightInd w:val="0"/>
              <w:jc w:val="left"/>
              <w:rPr>
                <w:rFonts w:hint="eastAsia"/>
                <w:color w:val="auto"/>
                <w:kern w:val="0"/>
                <w:sz w:val="24"/>
                <w:szCs w:val="24"/>
                <w:highlight w:val="none"/>
              </w:rPr>
            </w:pPr>
            <w:r>
              <w:rPr>
                <w:rFonts w:hint="eastAsia"/>
                <w:color w:val="auto"/>
                <w:kern w:val="0"/>
                <w:sz w:val="24"/>
                <w:szCs w:val="24"/>
                <w:highlight w:val="none"/>
              </w:rPr>
              <w:t>（2）审计业绩（明标部分）：20分</w:t>
            </w:r>
          </w:p>
          <w:p w14:paraId="1B96BCB1">
            <w:pPr>
              <w:autoSpaceDE w:val="0"/>
              <w:autoSpaceDN w:val="0"/>
              <w:adjustRightInd w:val="0"/>
              <w:jc w:val="left"/>
              <w:rPr>
                <w:color w:val="auto"/>
                <w:kern w:val="0"/>
                <w:sz w:val="24"/>
                <w:szCs w:val="24"/>
                <w:highlight w:val="none"/>
              </w:rPr>
            </w:pPr>
            <w:r>
              <w:rPr>
                <w:rFonts w:hint="eastAsia"/>
                <w:color w:val="auto"/>
                <w:kern w:val="0"/>
                <w:sz w:val="24"/>
                <w:szCs w:val="24"/>
                <w:highlight w:val="none"/>
              </w:rPr>
              <w:t>（3）审计实施方案（暗标部分）：35分</w:t>
            </w:r>
          </w:p>
          <w:p w14:paraId="38E7093C">
            <w:pPr>
              <w:autoSpaceDE w:val="0"/>
              <w:autoSpaceDN w:val="0"/>
              <w:adjustRightInd w:val="0"/>
              <w:ind w:left="107"/>
              <w:jc w:val="left"/>
              <w:rPr>
                <w:b/>
                <w:color w:val="auto"/>
                <w:kern w:val="0"/>
                <w:sz w:val="24"/>
                <w:szCs w:val="24"/>
                <w:highlight w:val="none"/>
              </w:rPr>
            </w:pPr>
            <w:r>
              <w:rPr>
                <w:b/>
                <w:color w:val="auto"/>
                <w:kern w:val="0"/>
                <w:sz w:val="24"/>
                <w:szCs w:val="24"/>
                <w:highlight w:val="none"/>
              </w:rPr>
              <w:t>第二信封（报价文件）评分分值构成：</w:t>
            </w:r>
          </w:p>
          <w:p w14:paraId="00382C2F">
            <w:pPr>
              <w:autoSpaceDE w:val="0"/>
              <w:autoSpaceDN w:val="0"/>
              <w:adjustRightInd w:val="0"/>
              <w:jc w:val="left"/>
              <w:rPr>
                <w:color w:val="auto"/>
                <w:sz w:val="24"/>
                <w:szCs w:val="24"/>
                <w:highlight w:val="none"/>
              </w:rPr>
            </w:pPr>
            <w:r>
              <w:rPr>
                <w:rFonts w:hint="eastAsia"/>
                <w:color w:val="auto"/>
                <w:sz w:val="24"/>
                <w:szCs w:val="24"/>
                <w:highlight w:val="none"/>
              </w:rPr>
              <w:t>（4）评标价（明标部分）：30分</w:t>
            </w:r>
          </w:p>
        </w:tc>
      </w:tr>
      <w:tr w14:paraId="5EB1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9" w:type="dxa"/>
            <w:noWrap w:val="0"/>
            <w:vAlign w:val="center"/>
          </w:tcPr>
          <w:p w14:paraId="46BCA7AF">
            <w:pPr>
              <w:ind w:right="113"/>
              <w:jc w:val="center"/>
              <w:rPr>
                <w:color w:val="auto"/>
                <w:sz w:val="24"/>
                <w:szCs w:val="24"/>
                <w:highlight w:val="none"/>
              </w:rPr>
            </w:pPr>
            <w:r>
              <w:rPr>
                <w:color w:val="auto"/>
                <w:sz w:val="24"/>
                <w:szCs w:val="24"/>
                <w:highlight w:val="none"/>
              </w:rPr>
              <w:t>2.2.2</w:t>
            </w:r>
          </w:p>
        </w:tc>
        <w:tc>
          <w:tcPr>
            <w:tcW w:w="1254" w:type="dxa"/>
            <w:noWrap w:val="0"/>
            <w:vAlign w:val="center"/>
          </w:tcPr>
          <w:p w14:paraId="712BE495">
            <w:pPr>
              <w:ind w:left="2"/>
              <w:jc w:val="center"/>
              <w:rPr>
                <w:color w:val="auto"/>
                <w:sz w:val="24"/>
                <w:szCs w:val="24"/>
                <w:highlight w:val="none"/>
              </w:rPr>
            </w:pPr>
            <w:r>
              <w:rPr>
                <w:color w:val="auto"/>
                <w:sz w:val="24"/>
                <w:szCs w:val="24"/>
                <w:highlight w:val="none"/>
              </w:rPr>
              <w:t>评标基准价计算</w:t>
            </w:r>
          </w:p>
          <w:p w14:paraId="13BE1524">
            <w:pPr>
              <w:ind w:left="2"/>
              <w:jc w:val="center"/>
              <w:rPr>
                <w:color w:val="auto"/>
                <w:sz w:val="24"/>
                <w:szCs w:val="24"/>
                <w:highlight w:val="none"/>
              </w:rPr>
            </w:pPr>
            <w:r>
              <w:rPr>
                <w:color w:val="auto"/>
                <w:sz w:val="24"/>
                <w:szCs w:val="24"/>
                <w:highlight w:val="none"/>
              </w:rPr>
              <w:t>方法</w:t>
            </w:r>
          </w:p>
        </w:tc>
        <w:tc>
          <w:tcPr>
            <w:tcW w:w="7250" w:type="dxa"/>
            <w:noWrap w:val="0"/>
            <w:vAlign w:val="center"/>
          </w:tcPr>
          <w:p w14:paraId="06D6EEBA">
            <w:pPr>
              <w:ind w:right="113"/>
              <w:rPr>
                <w:rFonts w:hint="eastAsia"/>
                <w:color w:val="auto"/>
                <w:sz w:val="24"/>
                <w:szCs w:val="24"/>
                <w:highlight w:val="none"/>
              </w:rPr>
            </w:pPr>
            <w:r>
              <w:rPr>
                <w:rFonts w:hint="eastAsia"/>
                <w:color w:val="auto"/>
                <w:sz w:val="24"/>
                <w:szCs w:val="24"/>
                <w:highlight w:val="none"/>
              </w:rPr>
              <w:t xml:space="preserve">评标基准价的计算： </w:t>
            </w:r>
          </w:p>
          <w:p w14:paraId="589BC055">
            <w:pPr>
              <w:ind w:right="113"/>
              <w:rPr>
                <w:rFonts w:hint="eastAsia"/>
                <w:color w:val="auto"/>
                <w:sz w:val="24"/>
                <w:szCs w:val="24"/>
                <w:highlight w:val="none"/>
              </w:rPr>
            </w:pPr>
            <w:r>
              <w:rPr>
                <w:rFonts w:hint="eastAsia"/>
                <w:color w:val="auto"/>
                <w:sz w:val="24"/>
                <w:szCs w:val="24"/>
                <w:highlight w:val="none"/>
              </w:rPr>
              <w:t>所有通过第一个信封评审的投标文件，由评标委员会开启第二个信封，并当场计算并宣布评标基准价。</w:t>
            </w:r>
          </w:p>
          <w:p w14:paraId="1786C712">
            <w:pPr>
              <w:ind w:right="113"/>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评标价的确定：</w:t>
            </w:r>
          </w:p>
          <w:p w14:paraId="469AA01F">
            <w:pPr>
              <w:ind w:right="113"/>
              <w:rPr>
                <w:rFonts w:hint="eastAsia"/>
                <w:color w:val="auto"/>
                <w:sz w:val="24"/>
                <w:szCs w:val="24"/>
                <w:highlight w:val="none"/>
              </w:rPr>
            </w:pPr>
            <w:r>
              <w:rPr>
                <w:rFonts w:hint="eastAsia"/>
                <w:color w:val="auto"/>
                <w:sz w:val="24"/>
                <w:szCs w:val="24"/>
                <w:highlight w:val="none"/>
              </w:rPr>
              <w:t>评标价=投标函文字报价</w:t>
            </w:r>
          </w:p>
          <w:p w14:paraId="4FAE9CDC">
            <w:pPr>
              <w:ind w:right="113"/>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评标基准价的确定：</w:t>
            </w:r>
          </w:p>
          <w:p w14:paraId="036AC9CA">
            <w:pPr>
              <w:ind w:right="113"/>
              <w:rPr>
                <w:rFonts w:hint="eastAsia"/>
                <w:color w:val="auto"/>
                <w:sz w:val="24"/>
                <w:szCs w:val="24"/>
                <w:highlight w:val="none"/>
              </w:rPr>
            </w:pPr>
            <w:r>
              <w:rPr>
                <w:rFonts w:hint="eastAsia"/>
                <w:color w:val="auto"/>
                <w:sz w:val="24"/>
                <w:szCs w:val="24"/>
                <w:highlight w:val="none"/>
              </w:rPr>
              <w:t>方法一：将评标价(除按第二章“投标人须知”第 5.2.4项规定开标现场被宣布为不进入评标基准价计算的投标报价之外)所有投标人评标价平均值作为评标基准价。</w:t>
            </w:r>
          </w:p>
          <w:p w14:paraId="79D3B388">
            <w:pPr>
              <w:ind w:right="113"/>
              <w:rPr>
                <w:rFonts w:hint="eastAsia"/>
                <w:color w:val="auto"/>
                <w:sz w:val="24"/>
                <w:szCs w:val="24"/>
                <w:highlight w:val="none"/>
              </w:rPr>
            </w:pPr>
            <w:r>
              <w:rPr>
                <w:rFonts w:hint="eastAsia"/>
                <w:color w:val="auto"/>
                <w:sz w:val="24"/>
                <w:szCs w:val="24"/>
                <w:highlight w:val="none"/>
              </w:rPr>
              <w:t>平均值直接作为评标基准价。</w:t>
            </w:r>
          </w:p>
          <w:p w14:paraId="2758C9E5">
            <w:pPr>
              <w:ind w:right="113"/>
              <w:rPr>
                <w:rFonts w:hint="eastAsia"/>
                <w:color w:val="auto"/>
                <w:sz w:val="24"/>
                <w:szCs w:val="24"/>
                <w:highlight w:val="none"/>
              </w:rPr>
            </w:pPr>
            <w:r>
              <w:rPr>
                <w:rFonts w:hint="eastAsia"/>
                <w:color w:val="auto"/>
                <w:sz w:val="24"/>
                <w:szCs w:val="24"/>
                <w:highlight w:val="none"/>
              </w:rPr>
              <w:t>方法二：将评标价（除按第二章“投标人须知”第5.2.4项规定开标现场被宣布为不进入评标基准价计算的投标报价之外）去掉n1个最高评标价和n2个最低评标价后</w:t>
            </w:r>
            <w:r>
              <w:rPr>
                <w:rFonts w:hint="eastAsia"/>
                <w:color w:val="auto"/>
                <w:sz w:val="24"/>
                <w:szCs w:val="24"/>
                <w:highlight w:val="none"/>
                <w:lang w:val="en-US" w:eastAsia="zh-CN"/>
              </w:rPr>
              <w:t>的</w:t>
            </w:r>
            <w:r>
              <w:rPr>
                <w:rFonts w:hint="eastAsia"/>
                <w:color w:val="auto"/>
                <w:sz w:val="24"/>
                <w:szCs w:val="24"/>
                <w:highlight w:val="none"/>
              </w:rPr>
              <w:t xml:space="preserve">平均值作为评标基准价。 </w:t>
            </w:r>
          </w:p>
          <w:p w14:paraId="7A5D8193">
            <w:pPr>
              <w:ind w:right="113"/>
              <w:rPr>
                <w:rFonts w:hint="eastAsia"/>
                <w:color w:val="auto"/>
                <w:sz w:val="24"/>
                <w:szCs w:val="24"/>
                <w:highlight w:val="none"/>
              </w:rPr>
            </w:pPr>
            <w:r>
              <w:rPr>
                <w:rFonts w:hint="eastAsia"/>
                <w:color w:val="auto"/>
                <w:sz w:val="24"/>
                <w:szCs w:val="24"/>
                <w:highlight w:val="none"/>
              </w:rPr>
              <w:t>方法三：将评标价（除按第二章“投标人须知”第5.2.4项规定开标现场被宣布为不进入评标基准价计算的投标报价之外）去掉n1个最高评标价和n2个最低评标价后</w:t>
            </w:r>
            <w:r>
              <w:rPr>
                <w:rFonts w:hint="eastAsia"/>
                <w:color w:val="auto"/>
                <w:sz w:val="24"/>
                <w:szCs w:val="24"/>
                <w:highlight w:val="none"/>
                <w:lang w:val="en-US" w:eastAsia="zh-CN"/>
              </w:rPr>
              <w:t>的</w:t>
            </w:r>
            <w:r>
              <w:rPr>
                <w:rFonts w:hint="eastAsia"/>
                <w:color w:val="auto"/>
                <w:sz w:val="24"/>
                <w:szCs w:val="24"/>
                <w:highlight w:val="none"/>
              </w:rPr>
              <w:t>平均值，乘以评标基准价系数K，作为评标基准价。招标人设置评标基准价系数K（取0.975、0.980、0.985、0.990、0.995 共 5 个数值）。在开标现场随机抽取确定。</w:t>
            </w:r>
          </w:p>
          <w:p w14:paraId="18AA3904">
            <w:pPr>
              <w:ind w:right="113"/>
              <w:rPr>
                <w:rFonts w:hint="eastAsia"/>
                <w:color w:val="auto"/>
                <w:sz w:val="24"/>
                <w:szCs w:val="24"/>
                <w:highlight w:val="none"/>
              </w:rPr>
            </w:pPr>
            <w:r>
              <w:rPr>
                <w:rFonts w:hint="eastAsia"/>
                <w:color w:val="auto"/>
                <w:sz w:val="24"/>
                <w:szCs w:val="24"/>
                <w:highlight w:val="none"/>
              </w:rPr>
              <w:t>方法二与方法三注：如果参与评标价平均值计算的投标人数量＜6家时，计算评标价平均值时不去</w:t>
            </w:r>
            <w:r>
              <w:rPr>
                <w:rFonts w:hint="eastAsia"/>
                <w:color w:val="auto"/>
                <w:sz w:val="24"/>
                <w:szCs w:val="24"/>
                <w:highlight w:val="none"/>
                <w:lang w:val="en-US" w:eastAsia="zh-CN"/>
              </w:rPr>
              <w:t>掉</w:t>
            </w:r>
            <w:r>
              <w:rPr>
                <w:rFonts w:hint="eastAsia"/>
                <w:color w:val="auto"/>
                <w:sz w:val="24"/>
                <w:szCs w:val="24"/>
                <w:highlight w:val="none"/>
              </w:rPr>
              <w:t xml:space="preserve">最高值和最低值（n1=0，n2=0）。 </w:t>
            </w:r>
          </w:p>
          <w:p w14:paraId="69A49E50">
            <w:pPr>
              <w:ind w:right="113"/>
              <w:rPr>
                <w:rFonts w:hint="eastAsia"/>
                <w:color w:val="auto"/>
                <w:sz w:val="24"/>
                <w:szCs w:val="24"/>
                <w:highlight w:val="none"/>
              </w:rPr>
            </w:pPr>
            <w:r>
              <w:rPr>
                <w:rFonts w:hint="eastAsia"/>
                <w:color w:val="auto"/>
                <w:sz w:val="24"/>
                <w:szCs w:val="24"/>
                <w:highlight w:val="none"/>
              </w:rPr>
              <w:t xml:space="preserve">如果6家≤参与评标价平均值计算的投标人数量＜10家时，计算评标价平均值时去掉1个最高值和1个最低值（n1=1，n2=1）。 </w:t>
            </w:r>
          </w:p>
          <w:p w14:paraId="64AA69A2">
            <w:pPr>
              <w:ind w:right="113"/>
              <w:rPr>
                <w:rFonts w:hint="eastAsia"/>
                <w:color w:val="auto"/>
                <w:sz w:val="24"/>
                <w:szCs w:val="24"/>
                <w:highlight w:val="none"/>
              </w:rPr>
            </w:pPr>
            <w:r>
              <w:rPr>
                <w:rFonts w:hint="eastAsia"/>
                <w:color w:val="auto"/>
                <w:sz w:val="24"/>
                <w:szCs w:val="24"/>
                <w:highlight w:val="none"/>
              </w:rPr>
              <w:t xml:space="preserve">如果10家≤参与评标价平均值计算的投标人数量＜20家时，计算评标价平均值时去掉2个最高值和2个最低值（n1=2，n2=2）； </w:t>
            </w:r>
          </w:p>
          <w:p w14:paraId="68C694E4">
            <w:pPr>
              <w:ind w:right="113"/>
              <w:rPr>
                <w:rFonts w:hint="eastAsia"/>
                <w:color w:val="auto"/>
                <w:sz w:val="24"/>
                <w:szCs w:val="24"/>
                <w:highlight w:val="none"/>
              </w:rPr>
            </w:pPr>
            <w:r>
              <w:rPr>
                <w:rFonts w:hint="eastAsia"/>
                <w:color w:val="auto"/>
                <w:sz w:val="24"/>
                <w:szCs w:val="24"/>
                <w:highlight w:val="none"/>
              </w:rPr>
              <w:t xml:space="preserve">如果20家≤参与评标价平均值计算的投标人数量＜30家时，计算评标价平均值时去掉3个最高值和3个最低值（n1=3，n2=3）； </w:t>
            </w:r>
          </w:p>
          <w:p w14:paraId="33376278">
            <w:pPr>
              <w:ind w:right="113"/>
              <w:rPr>
                <w:rFonts w:hint="eastAsia"/>
                <w:color w:val="auto"/>
                <w:sz w:val="24"/>
                <w:szCs w:val="24"/>
                <w:highlight w:val="none"/>
              </w:rPr>
            </w:pPr>
            <w:r>
              <w:rPr>
                <w:rFonts w:hint="eastAsia"/>
                <w:color w:val="auto"/>
                <w:sz w:val="24"/>
                <w:szCs w:val="24"/>
                <w:highlight w:val="none"/>
              </w:rPr>
              <w:t xml:space="preserve">如果30家≤参与评标价平均值计算的投标人数量时，计算评标价平均值时去掉4个最高值和4个最低值（n1=4，n2=4）；  </w:t>
            </w:r>
          </w:p>
          <w:p w14:paraId="53B3D1C1">
            <w:pPr>
              <w:ind w:right="113"/>
              <w:rPr>
                <w:rFonts w:hint="eastAsia"/>
                <w:color w:val="auto"/>
                <w:sz w:val="24"/>
                <w:szCs w:val="24"/>
                <w:highlight w:val="none"/>
              </w:rPr>
            </w:pPr>
            <w:r>
              <w:rPr>
                <w:rFonts w:hint="eastAsia"/>
                <w:color w:val="auto"/>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3FDC9C8D">
            <w:pPr>
              <w:ind w:right="113"/>
              <w:rPr>
                <w:color w:val="auto"/>
                <w:sz w:val="24"/>
                <w:szCs w:val="24"/>
                <w:highlight w:val="none"/>
              </w:rPr>
            </w:pPr>
            <w:r>
              <w:rPr>
                <w:rFonts w:hint="eastAsia"/>
                <w:color w:val="auto"/>
                <w:sz w:val="24"/>
                <w:szCs w:val="24"/>
                <w:highlight w:val="none"/>
              </w:rPr>
              <w:t>注：评标基准价保留小数点后两位，小数点后第三位四舍五入。</w:t>
            </w:r>
          </w:p>
        </w:tc>
      </w:tr>
      <w:tr w14:paraId="5751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9" w:type="dxa"/>
            <w:noWrap w:val="0"/>
            <w:vAlign w:val="center"/>
          </w:tcPr>
          <w:p w14:paraId="4519372C">
            <w:pPr>
              <w:ind w:right="113"/>
              <w:jc w:val="center"/>
              <w:rPr>
                <w:color w:val="auto"/>
                <w:sz w:val="24"/>
                <w:szCs w:val="24"/>
                <w:highlight w:val="none"/>
              </w:rPr>
            </w:pPr>
            <w:r>
              <w:rPr>
                <w:color w:val="auto"/>
                <w:sz w:val="24"/>
                <w:szCs w:val="24"/>
                <w:highlight w:val="none"/>
              </w:rPr>
              <w:t>2.2.3</w:t>
            </w:r>
          </w:p>
        </w:tc>
        <w:tc>
          <w:tcPr>
            <w:tcW w:w="1254" w:type="dxa"/>
            <w:noWrap w:val="0"/>
            <w:vAlign w:val="center"/>
          </w:tcPr>
          <w:p w14:paraId="355D9DFE">
            <w:pPr>
              <w:ind w:left="-42" w:leftChars="-15" w:right="-77"/>
              <w:jc w:val="center"/>
              <w:rPr>
                <w:color w:val="auto"/>
                <w:sz w:val="24"/>
                <w:szCs w:val="24"/>
                <w:highlight w:val="none"/>
              </w:rPr>
            </w:pPr>
            <w:r>
              <w:rPr>
                <w:color w:val="auto"/>
                <w:sz w:val="24"/>
                <w:szCs w:val="24"/>
                <w:highlight w:val="none"/>
              </w:rPr>
              <w:t>评标价的偏差率计算公式</w:t>
            </w:r>
          </w:p>
        </w:tc>
        <w:tc>
          <w:tcPr>
            <w:tcW w:w="7250" w:type="dxa"/>
            <w:noWrap w:val="0"/>
            <w:vAlign w:val="center"/>
          </w:tcPr>
          <w:p w14:paraId="4C138D24">
            <w:pPr>
              <w:ind w:right="113"/>
              <w:rPr>
                <w:color w:val="auto"/>
                <w:sz w:val="24"/>
                <w:szCs w:val="24"/>
                <w:highlight w:val="none"/>
              </w:rPr>
            </w:pPr>
            <w:r>
              <w:rPr>
                <w:color w:val="auto"/>
                <w:sz w:val="24"/>
                <w:szCs w:val="24"/>
                <w:highlight w:val="none"/>
              </w:rPr>
              <w:t>偏差率=100%×（投标人评标价-评标基准价）/评标基准价</w:t>
            </w:r>
          </w:p>
        </w:tc>
      </w:tr>
      <w:tr w14:paraId="4AE6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9" w:type="dxa"/>
            <w:noWrap w:val="0"/>
            <w:vAlign w:val="center"/>
          </w:tcPr>
          <w:p w14:paraId="27814541">
            <w:pPr>
              <w:ind w:right="113"/>
              <w:jc w:val="center"/>
              <w:rPr>
                <w:color w:val="auto"/>
                <w:sz w:val="24"/>
                <w:szCs w:val="24"/>
                <w:highlight w:val="none"/>
              </w:rPr>
            </w:pPr>
            <w:r>
              <w:rPr>
                <w:color w:val="auto"/>
                <w:sz w:val="24"/>
                <w:szCs w:val="24"/>
                <w:highlight w:val="none"/>
              </w:rPr>
              <w:t>3.6.1</w:t>
            </w:r>
          </w:p>
        </w:tc>
        <w:tc>
          <w:tcPr>
            <w:tcW w:w="1254" w:type="dxa"/>
            <w:noWrap w:val="0"/>
            <w:vAlign w:val="center"/>
          </w:tcPr>
          <w:p w14:paraId="6DD63DDF">
            <w:pPr>
              <w:ind w:left="-42" w:leftChars="-15" w:right="-77"/>
              <w:jc w:val="center"/>
              <w:rPr>
                <w:color w:val="auto"/>
                <w:sz w:val="24"/>
                <w:szCs w:val="24"/>
                <w:highlight w:val="none"/>
              </w:rPr>
            </w:pPr>
            <w:r>
              <w:rPr>
                <w:color w:val="auto"/>
                <w:sz w:val="24"/>
                <w:szCs w:val="24"/>
                <w:highlight w:val="none"/>
              </w:rPr>
              <w:t>投标文件相关信息核查</w:t>
            </w:r>
          </w:p>
        </w:tc>
        <w:tc>
          <w:tcPr>
            <w:tcW w:w="7250" w:type="dxa"/>
            <w:noWrap w:val="0"/>
            <w:vAlign w:val="center"/>
          </w:tcPr>
          <w:p w14:paraId="4D8858EA">
            <w:pPr>
              <w:adjustRightInd w:val="0"/>
              <w:snapToGrid w:val="0"/>
              <w:rPr>
                <w:color w:val="auto"/>
                <w:sz w:val="24"/>
                <w:szCs w:val="24"/>
                <w:highlight w:val="none"/>
              </w:rPr>
            </w:pPr>
            <w:r>
              <w:rPr>
                <w:color w:val="auto"/>
                <w:sz w:val="24"/>
                <w:szCs w:val="24"/>
                <w:highlight w:val="none"/>
              </w:rPr>
              <w:t>本款修改为：</w:t>
            </w:r>
          </w:p>
          <w:p w14:paraId="1313ADD7">
            <w:pPr>
              <w:ind w:firstLine="480" w:firstLineChars="200"/>
              <w:rPr>
                <w:color w:val="auto"/>
                <w:sz w:val="24"/>
                <w:szCs w:val="24"/>
                <w:highlight w:val="none"/>
              </w:rPr>
            </w:pPr>
            <w:r>
              <w:rPr>
                <w:rFonts w:hint="eastAsia" w:ascii="Times New Roman" w:hAnsi="Times New Roman" w:eastAsia="宋体" w:cs="Times New Roman"/>
                <w:color w:val="auto"/>
                <w:sz w:val="24"/>
                <w:szCs w:val="24"/>
                <w:highlight w:val="none"/>
              </w:rPr>
              <w:t>评标委员会应在中国注册会计师协会官网的中国注册会计师协会行业管理信息系统中查询（公共查询）会计师事务所处罚或惩戒信息披露情况、注册会计师信息；在“全国建筑市场监管公共服务平台”</w:t>
            </w:r>
            <w:r>
              <w:rPr>
                <w:rFonts w:hint="eastAsia" w:ascii="Times New Roman" w:hAnsi="Times New Roman" w:eastAsia="宋体"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rPr>
              <w:t>“公路工程造价人员管理系统</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网站上查询</w:t>
            </w:r>
            <w:r>
              <w:rPr>
                <w:rFonts w:hint="eastAsia" w:ascii="Times New Roman" w:hAnsi="Times New Roman" w:eastAsia="宋体" w:cs="Times New Roman"/>
                <w:color w:val="auto"/>
                <w:sz w:val="24"/>
                <w:szCs w:val="24"/>
                <w:highlight w:val="none"/>
                <w:lang w:val="en-US" w:eastAsia="zh-CN"/>
              </w:rPr>
              <w:t>一级注册</w:t>
            </w:r>
            <w:r>
              <w:rPr>
                <w:rFonts w:hint="eastAsia" w:ascii="Times New Roman" w:hAnsi="Times New Roman" w:eastAsia="宋体" w:cs="Times New Roman"/>
                <w:color w:val="auto"/>
                <w:sz w:val="24"/>
                <w:szCs w:val="24"/>
                <w:highlight w:val="none"/>
              </w:rPr>
              <w:t>造价工程师（</w:t>
            </w:r>
            <w:r>
              <w:rPr>
                <w:rFonts w:hint="eastAsia" w:ascii="Times New Roman" w:hAnsi="Times New Roman" w:eastAsia="宋体"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rPr>
              <w:t>交通运输部颁发的公路工程甲级造价人员</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信息</w:t>
            </w:r>
            <w:r>
              <w:rPr>
                <w:rFonts w:hint="eastAsia" w:ascii="Times New Roman" w:hAnsi="Times New Roman" w:eastAsia="宋体" w:cs="Times New Roman"/>
                <w:color w:val="auto"/>
                <w:sz w:val="24"/>
                <w:szCs w:val="24"/>
                <w:highlight w:val="none"/>
                <w:lang w:eastAsia="zh-CN"/>
              </w:rPr>
              <w:t>。</w:t>
            </w:r>
          </w:p>
          <w:p w14:paraId="1AF676BB">
            <w:pPr>
              <w:ind w:firstLine="480" w:firstLineChars="200"/>
              <w:rPr>
                <w:color w:val="auto"/>
                <w:sz w:val="24"/>
                <w:szCs w:val="24"/>
                <w:highlight w:val="none"/>
              </w:rPr>
            </w:pPr>
            <w:r>
              <w:rPr>
                <w:color w:val="auto"/>
                <w:sz w:val="24"/>
                <w:szCs w:val="24"/>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14:paraId="44AE9BB7">
            <w:pPr>
              <w:ind w:firstLine="480" w:firstLineChars="200"/>
              <w:rPr>
                <w:color w:val="auto"/>
                <w:sz w:val="24"/>
                <w:szCs w:val="24"/>
                <w:highlight w:val="none"/>
              </w:rPr>
            </w:pPr>
            <w:r>
              <w:rPr>
                <w:color w:val="auto"/>
                <w:sz w:val="24"/>
                <w:szCs w:val="24"/>
                <w:highlight w:val="none"/>
              </w:rPr>
              <w:t>评标委员会评标时应对投标人的信用情况在“国家企业信用信息公示系统”和“信用中国”网站对投标人的信用情况进行查询，若投标人存在“国家企业信用信息公示系统”被列入严重违法失信企业名单（不含分公司）或在“信用中国”网站“被列入失信被执行人名单、</w:t>
            </w:r>
            <w:r>
              <w:rPr>
                <w:rFonts w:hint="eastAsia"/>
                <w:color w:val="auto"/>
                <w:sz w:val="24"/>
                <w:szCs w:val="24"/>
                <w:highlight w:val="none"/>
                <w:lang w:eastAsia="zh-CN"/>
              </w:rPr>
              <w:t>经营（活动）异常名录</w:t>
            </w:r>
            <w:r>
              <w:rPr>
                <w:color w:val="auto"/>
                <w:sz w:val="24"/>
                <w:szCs w:val="24"/>
                <w:highlight w:val="none"/>
              </w:rPr>
              <w:t>、</w:t>
            </w:r>
            <w:r>
              <w:rPr>
                <w:rFonts w:hint="eastAsia"/>
                <w:color w:val="auto"/>
                <w:sz w:val="24"/>
                <w:szCs w:val="24"/>
                <w:highlight w:val="none"/>
                <w:lang w:eastAsia="zh-CN"/>
              </w:rPr>
              <w:t>重大税收违法失信主体</w:t>
            </w:r>
            <w:r>
              <w:rPr>
                <w:color w:val="auto"/>
                <w:sz w:val="24"/>
                <w:szCs w:val="24"/>
                <w:highlight w:val="none"/>
              </w:rPr>
              <w:t>（或重大税收违法失信主体）、政府采购严重违法失信行为记录名单”情形的（均不含分公司），评标委员会应否决其投标。</w:t>
            </w:r>
          </w:p>
          <w:p w14:paraId="5FE89E23">
            <w:pPr>
              <w:ind w:firstLine="480" w:firstLineChars="200"/>
              <w:rPr>
                <w:color w:val="auto"/>
                <w:sz w:val="24"/>
                <w:szCs w:val="24"/>
                <w:highlight w:val="none"/>
              </w:rPr>
            </w:pPr>
            <w:r>
              <w:rPr>
                <w:color w:val="auto"/>
                <w:sz w:val="24"/>
                <w:szCs w:val="24"/>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7AD4077C">
            <w:pPr>
              <w:pStyle w:val="4"/>
              <w:ind w:firstLine="480" w:firstLineChars="200"/>
              <w:rPr>
                <w:color w:val="auto"/>
                <w:sz w:val="24"/>
                <w:highlight w:val="none"/>
              </w:rPr>
            </w:pPr>
            <w:r>
              <w:rPr>
                <w:color w:val="auto"/>
                <w:sz w:val="24"/>
                <w:highlight w:val="none"/>
              </w:rPr>
              <w:t>如投标人未提供招标文件要求的相关截图或与评标委员会查询结果不符的，</w:t>
            </w:r>
            <w:r>
              <w:rPr>
                <w:rFonts w:hint="eastAsia"/>
                <w:color w:val="auto"/>
                <w:sz w:val="24"/>
                <w:highlight w:val="none"/>
              </w:rPr>
              <w:t>使得投标人的资格条件不符合招标文件规定的，</w:t>
            </w:r>
            <w:r>
              <w:rPr>
                <w:color w:val="auto"/>
                <w:sz w:val="24"/>
                <w:highlight w:val="none"/>
              </w:rPr>
              <w:t>评标委员会</w:t>
            </w:r>
            <w:r>
              <w:rPr>
                <w:rFonts w:hint="eastAsia"/>
                <w:color w:val="auto"/>
                <w:sz w:val="24"/>
                <w:highlight w:val="none"/>
                <w:lang w:val="en-US" w:eastAsia="zh-CN"/>
              </w:rPr>
              <w:t>将</w:t>
            </w:r>
            <w:r>
              <w:rPr>
                <w:color w:val="auto"/>
                <w:sz w:val="24"/>
                <w:highlight w:val="none"/>
              </w:rPr>
              <w:t>否决其投标。</w:t>
            </w:r>
          </w:p>
        </w:tc>
      </w:tr>
    </w:tbl>
    <w:p w14:paraId="51AAF471">
      <w:pPr>
        <w:rPr>
          <w:color w:val="auto"/>
          <w:szCs w:val="21"/>
          <w:highlight w:val="none"/>
        </w:rPr>
      </w:pPr>
      <w:r>
        <w:rPr>
          <w:color w:val="auto"/>
          <w:sz w:val="24"/>
          <w:highlight w:val="none"/>
        </w:rPr>
        <w:br w:type="page"/>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3"/>
        <w:gridCol w:w="1001"/>
        <w:gridCol w:w="719"/>
        <w:gridCol w:w="1150"/>
        <w:gridCol w:w="5533"/>
      </w:tblGrid>
      <w:tr w14:paraId="3C6F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noWrap w:val="0"/>
            <w:vAlign w:val="center"/>
          </w:tcPr>
          <w:p w14:paraId="3429EDCF">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538" w:type="pct"/>
            <w:noWrap w:val="0"/>
            <w:vAlign w:val="center"/>
          </w:tcPr>
          <w:p w14:paraId="011F97D8">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评审因素</w:t>
            </w:r>
          </w:p>
        </w:tc>
        <w:tc>
          <w:tcPr>
            <w:tcW w:w="387" w:type="pct"/>
            <w:tcBorders>
              <w:right w:val="single" w:color="auto" w:sz="4" w:space="0"/>
            </w:tcBorders>
            <w:noWrap w:val="0"/>
            <w:vAlign w:val="center"/>
          </w:tcPr>
          <w:p w14:paraId="316B5B86">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标段号</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5B9A45C4">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评分值</w:t>
            </w:r>
          </w:p>
        </w:tc>
        <w:tc>
          <w:tcPr>
            <w:tcW w:w="2979" w:type="pct"/>
            <w:tcBorders>
              <w:top w:val="single" w:color="auto" w:sz="4" w:space="0"/>
              <w:left w:val="single" w:color="auto" w:sz="4" w:space="0"/>
              <w:bottom w:val="single" w:color="auto" w:sz="4" w:space="0"/>
              <w:right w:val="single" w:color="auto" w:sz="4" w:space="0"/>
            </w:tcBorders>
            <w:noWrap w:val="0"/>
            <w:vAlign w:val="center"/>
          </w:tcPr>
          <w:p w14:paraId="62F76B4D">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评分标准</w:t>
            </w:r>
          </w:p>
        </w:tc>
      </w:tr>
      <w:tr w14:paraId="240E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restart"/>
            <w:noWrap w:val="0"/>
            <w:vAlign w:val="center"/>
          </w:tcPr>
          <w:p w14:paraId="5EEF308C">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2.2.4（1）</w:t>
            </w:r>
            <w:r>
              <w:rPr>
                <w:rFonts w:hint="eastAsia" w:ascii="宋体" w:hAnsi="宋体" w:eastAsia="宋体" w:cs="宋体"/>
                <w:color w:val="auto"/>
                <w:sz w:val="24"/>
                <w:szCs w:val="24"/>
                <w:highlight w:val="none"/>
              </w:rPr>
              <w:t>（明标部分）</w:t>
            </w:r>
          </w:p>
        </w:tc>
        <w:tc>
          <w:tcPr>
            <w:tcW w:w="538" w:type="pct"/>
            <w:vMerge w:val="restart"/>
            <w:noWrap w:val="0"/>
            <w:vAlign w:val="center"/>
          </w:tcPr>
          <w:p w14:paraId="16C70813">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投标人拥有的专业人员情况</w:t>
            </w:r>
          </w:p>
        </w:tc>
        <w:tc>
          <w:tcPr>
            <w:tcW w:w="387" w:type="pct"/>
            <w:vMerge w:val="restart"/>
            <w:tcBorders>
              <w:right w:val="single" w:color="auto" w:sz="4" w:space="0"/>
            </w:tcBorders>
            <w:noWrap w:val="0"/>
            <w:vAlign w:val="center"/>
          </w:tcPr>
          <w:p w14:paraId="75563715">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75AA63F3">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SJ2</w:t>
            </w:r>
          </w:p>
        </w:tc>
        <w:tc>
          <w:tcPr>
            <w:tcW w:w="619" w:type="pct"/>
            <w:vMerge w:val="restart"/>
            <w:tcBorders>
              <w:top w:val="single" w:color="auto" w:sz="4" w:space="0"/>
              <w:left w:val="single" w:color="auto" w:sz="4" w:space="0"/>
              <w:bottom w:val="single" w:color="auto" w:sz="4" w:space="0"/>
              <w:right w:val="single" w:color="auto" w:sz="4" w:space="0"/>
            </w:tcBorders>
            <w:noWrap w:val="0"/>
            <w:vAlign w:val="center"/>
          </w:tcPr>
          <w:p w14:paraId="705E63F0">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注册会计师人数(2.5分)</w:t>
            </w:r>
          </w:p>
        </w:tc>
        <w:tc>
          <w:tcPr>
            <w:tcW w:w="2979" w:type="pct"/>
            <w:tcBorders>
              <w:top w:val="single" w:color="auto" w:sz="4" w:space="0"/>
              <w:left w:val="single" w:color="auto" w:sz="4" w:space="0"/>
              <w:bottom w:val="single" w:color="auto" w:sz="4" w:space="0"/>
              <w:right w:val="single" w:color="auto" w:sz="4" w:space="0"/>
            </w:tcBorders>
            <w:noWrap w:val="0"/>
            <w:vAlign w:val="center"/>
          </w:tcPr>
          <w:p w14:paraId="0B281F30">
            <w:pPr>
              <w:widowControl/>
              <w:spacing w:line="24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投标人拥有的注册会计师人数达到资格审查条件附录5-1 要求的，得1.5分</w:t>
            </w:r>
          </w:p>
        </w:tc>
      </w:tr>
      <w:tr w14:paraId="6955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475854FA">
            <w:pPr>
              <w:spacing w:line="240" w:lineRule="auto"/>
              <w:jc w:val="center"/>
              <w:rPr>
                <w:rFonts w:hint="eastAsia" w:ascii="宋体" w:hAnsi="宋体" w:eastAsia="宋体" w:cs="宋体"/>
                <w:color w:val="auto"/>
                <w:kern w:val="0"/>
                <w:sz w:val="24"/>
                <w:szCs w:val="24"/>
                <w:highlight w:val="none"/>
                <w:lang w:bidi="ar"/>
              </w:rPr>
            </w:pPr>
          </w:p>
        </w:tc>
        <w:tc>
          <w:tcPr>
            <w:tcW w:w="538" w:type="pct"/>
            <w:vMerge w:val="continue"/>
            <w:noWrap w:val="0"/>
            <w:vAlign w:val="center"/>
          </w:tcPr>
          <w:p w14:paraId="1BDEC632">
            <w:pPr>
              <w:spacing w:line="240" w:lineRule="auto"/>
              <w:jc w:val="center"/>
              <w:rPr>
                <w:rFonts w:hint="eastAsia" w:ascii="宋体" w:hAnsi="宋体" w:eastAsia="宋体" w:cs="宋体"/>
                <w:color w:val="auto"/>
                <w:kern w:val="0"/>
                <w:sz w:val="24"/>
                <w:szCs w:val="24"/>
                <w:highlight w:val="none"/>
                <w:lang w:bidi="ar"/>
              </w:rPr>
            </w:pPr>
          </w:p>
        </w:tc>
        <w:tc>
          <w:tcPr>
            <w:tcW w:w="387" w:type="pct"/>
            <w:vMerge w:val="continue"/>
            <w:tcBorders>
              <w:right w:val="single" w:color="auto" w:sz="4" w:space="0"/>
            </w:tcBorders>
            <w:noWrap w:val="0"/>
            <w:vAlign w:val="center"/>
          </w:tcPr>
          <w:p w14:paraId="5F88676E">
            <w:pPr>
              <w:spacing w:line="240" w:lineRule="auto"/>
              <w:jc w:val="center"/>
              <w:rPr>
                <w:rFonts w:hint="eastAsia" w:ascii="宋体" w:hAnsi="宋体" w:eastAsia="宋体" w:cs="宋体"/>
                <w:color w:val="auto"/>
                <w:kern w:val="0"/>
                <w:sz w:val="24"/>
                <w:szCs w:val="24"/>
                <w:highlight w:val="none"/>
                <w:lang w:bidi="ar"/>
              </w:rPr>
            </w:pPr>
          </w:p>
        </w:tc>
        <w:tc>
          <w:tcPr>
            <w:tcW w:w="619" w:type="pct"/>
            <w:vMerge w:val="continue"/>
            <w:tcBorders>
              <w:top w:val="single" w:color="auto" w:sz="4" w:space="0"/>
              <w:left w:val="single" w:color="auto" w:sz="4" w:space="0"/>
              <w:bottom w:val="single" w:color="auto" w:sz="4" w:space="0"/>
              <w:right w:val="single" w:color="auto" w:sz="4" w:space="0"/>
            </w:tcBorders>
            <w:noWrap w:val="0"/>
            <w:vAlign w:val="center"/>
          </w:tcPr>
          <w:p w14:paraId="3E7DF7AE">
            <w:pPr>
              <w:spacing w:line="240" w:lineRule="auto"/>
              <w:jc w:val="center"/>
              <w:rPr>
                <w:rFonts w:hint="eastAsia" w:ascii="宋体" w:hAnsi="宋体" w:eastAsia="宋体" w:cs="宋体"/>
                <w:color w:val="auto"/>
                <w:kern w:val="0"/>
                <w:sz w:val="24"/>
                <w:szCs w:val="24"/>
                <w:highlight w:val="none"/>
                <w:lang w:bidi="ar"/>
              </w:rPr>
            </w:pPr>
          </w:p>
        </w:tc>
        <w:tc>
          <w:tcPr>
            <w:tcW w:w="2979" w:type="pct"/>
            <w:tcBorders>
              <w:top w:val="single" w:color="auto" w:sz="4" w:space="0"/>
              <w:left w:val="single" w:color="auto" w:sz="4" w:space="0"/>
              <w:bottom w:val="single" w:color="auto" w:sz="4" w:space="0"/>
              <w:right w:val="single" w:color="auto" w:sz="4" w:space="0"/>
            </w:tcBorders>
            <w:noWrap w:val="0"/>
            <w:vAlign w:val="center"/>
          </w:tcPr>
          <w:p w14:paraId="649130F5">
            <w:pPr>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每增加1名注册会计师加0.2分，最多加1分。</w:t>
            </w:r>
          </w:p>
          <w:p w14:paraId="39AAA691">
            <w:pPr>
              <w:spacing w:line="24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（以联合体形式投标的此处为联合体牵头人每增加1名注册会计师加0.2分，最多加1分）</w:t>
            </w:r>
          </w:p>
        </w:tc>
      </w:tr>
      <w:tr w14:paraId="505C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526C3FAA">
            <w:pPr>
              <w:spacing w:line="240" w:lineRule="auto"/>
              <w:jc w:val="center"/>
              <w:rPr>
                <w:rFonts w:hint="eastAsia" w:ascii="宋体" w:hAnsi="宋体" w:eastAsia="宋体" w:cs="宋体"/>
                <w:color w:val="auto"/>
                <w:kern w:val="0"/>
                <w:sz w:val="24"/>
                <w:szCs w:val="24"/>
                <w:highlight w:val="none"/>
                <w:lang w:bidi="ar"/>
              </w:rPr>
            </w:pPr>
          </w:p>
        </w:tc>
        <w:tc>
          <w:tcPr>
            <w:tcW w:w="538" w:type="pct"/>
            <w:vMerge w:val="continue"/>
            <w:noWrap w:val="0"/>
            <w:vAlign w:val="center"/>
          </w:tcPr>
          <w:p w14:paraId="7BF52A9C">
            <w:pPr>
              <w:spacing w:line="240" w:lineRule="auto"/>
              <w:jc w:val="center"/>
              <w:rPr>
                <w:rFonts w:hint="eastAsia" w:ascii="宋体" w:hAnsi="宋体" w:eastAsia="宋体" w:cs="宋体"/>
                <w:color w:val="auto"/>
                <w:kern w:val="0"/>
                <w:sz w:val="24"/>
                <w:szCs w:val="24"/>
                <w:highlight w:val="none"/>
                <w:lang w:bidi="ar"/>
              </w:rPr>
            </w:pPr>
          </w:p>
        </w:tc>
        <w:tc>
          <w:tcPr>
            <w:tcW w:w="387" w:type="pct"/>
            <w:vMerge w:val="continue"/>
            <w:tcBorders>
              <w:right w:val="single" w:color="auto" w:sz="4" w:space="0"/>
            </w:tcBorders>
            <w:noWrap w:val="0"/>
            <w:vAlign w:val="center"/>
          </w:tcPr>
          <w:p w14:paraId="69F538B7">
            <w:pPr>
              <w:spacing w:line="240" w:lineRule="auto"/>
              <w:jc w:val="center"/>
              <w:rPr>
                <w:rFonts w:hint="eastAsia" w:ascii="宋体" w:hAnsi="宋体" w:eastAsia="宋体" w:cs="宋体"/>
                <w:color w:val="auto"/>
                <w:kern w:val="0"/>
                <w:sz w:val="24"/>
                <w:szCs w:val="24"/>
                <w:highlight w:val="none"/>
                <w:lang w:bidi="ar"/>
              </w:rPr>
            </w:pPr>
          </w:p>
        </w:tc>
        <w:tc>
          <w:tcPr>
            <w:tcW w:w="619" w:type="pct"/>
            <w:vMerge w:val="restart"/>
            <w:tcBorders>
              <w:top w:val="single" w:color="auto" w:sz="4" w:space="0"/>
              <w:left w:val="single" w:color="auto" w:sz="4" w:space="0"/>
              <w:bottom w:val="single" w:color="auto" w:sz="4" w:space="0"/>
              <w:right w:val="single" w:color="auto" w:sz="4" w:space="0"/>
            </w:tcBorders>
            <w:noWrap w:val="0"/>
            <w:vAlign w:val="center"/>
          </w:tcPr>
          <w:p w14:paraId="6E666045">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color w:val="auto"/>
                <w:sz w:val="24"/>
                <w:highlight w:val="none"/>
                <w:lang w:eastAsia="zh-CN"/>
              </w:rPr>
              <w:t>一级</w:t>
            </w:r>
            <w:r>
              <w:rPr>
                <w:rFonts w:hint="eastAsia" w:ascii="宋体" w:hAnsi="宋体" w:eastAsia="宋体" w:cs="宋体"/>
                <w:color w:val="auto"/>
                <w:kern w:val="0"/>
                <w:sz w:val="24"/>
                <w:szCs w:val="24"/>
                <w:highlight w:val="none"/>
                <w:lang w:bidi="ar"/>
              </w:rPr>
              <w:t>注册</w:t>
            </w:r>
            <w:r>
              <w:rPr>
                <w:rFonts w:hint="eastAsia" w:ascii="宋体" w:hAnsi="宋体" w:eastAsia="宋体" w:cs="宋体"/>
                <w:color w:val="auto"/>
                <w:kern w:val="0"/>
                <w:sz w:val="24"/>
                <w:szCs w:val="24"/>
                <w:highlight w:val="none"/>
                <w:lang w:eastAsia="zh-CN" w:bidi="ar"/>
              </w:rPr>
              <w:t>造价工程师</w:t>
            </w:r>
            <w:r>
              <w:rPr>
                <w:rFonts w:hint="eastAsia" w:ascii="宋体" w:hAnsi="宋体" w:eastAsia="宋体" w:cs="宋体"/>
                <w:color w:val="auto"/>
                <w:kern w:val="0"/>
                <w:sz w:val="24"/>
                <w:szCs w:val="24"/>
                <w:highlight w:val="none"/>
                <w:lang w:bidi="ar"/>
              </w:rPr>
              <w:t>人数(2.5分)</w:t>
            </w:r>
          </w:p>
        </w:tc>
        <w:tc>
          <w:tcPr>
            <w:tcW w:w="2979" w:type="pct"/>
            <w:tcBorders>
              <w:top w:val="single" w:color="auto" w:sz="4" w:space="0"/>
              <w:left w:val="single" w:color="auto" w:sz="4" w:space="0"/>
              <w:bottom w:val="single" w:color="auto" w:sz="4" w:space="0"/>
              <w:right w:val="single" w:color="auto" w:sz="4" w:space="0"/>
            </w:tcBorders>
            <w:noWrap w:val="0"/>
            <w:vAlign w:val="center"/>
          </w:tcPr>
          <w:p w14:paraId="223BA226">
            <w:pPr>
              <w:widowControl/>
              <w:spacing w:line="24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投标人拥有的</w:t>
            </w:r>
            <w:r>
              <w:rPr>
                <w:rFonts w:hint="eastAsia" w:ascii="宋体" w:hAnsi="宋体"/>
                <w:color w:val="auto"/>
                <w:sz w:val="24"/>
                <w:highlight w:val="none"/>
                <w:lang w:eastAsia="zh-CN"/>
              </w:rPr>
              <w:t>一级</w:t>
            </w:r>
            <w:r>
              <w:rPr>
                <w:rFonts w:hint="eastAsia" w:ascii="宋体" w:hAnsi="宋体" w:eastAsia="宋体" w:cs="宋体"/>
                <w:color w:val="auto"/>
                <w:kern w:val="0"/>
                <w:sz w:val="24"/>
                <w:szCs w:val="24"/>
                <w:highlight w:val="none"/>
                <w:lang w:bidi="ar"/>
              </w:rPr>
              <w:t>注册造价</w:t>
            </w:r>
            <w:r>
              <w:rPr>
                <w:rFonts w:hint="eastAsia" w:ascii="宋体" w:hAnsi="宋体" w:eastAsia="宋体" w:cs="宋体"/>
                <w:color w:val="auto"/>
                <w:kern w:val="0"/>
                <w:sz w:val="24"/>
                <w:szCs w:val="24"/>
                <w:highlight w:val="none"/>
                <w:lang w:val="en-US" w:eastAsia="zh-CN" w:bidi="ar"/>
              </w:rPr>
              <w:t>工程</w:t>
            </w:r>
            <w:r>
              <w:rPr>
                <w:rFonts w:hint="eastAsia" w:ascii="宋体" w:hAnsi="宋体" w:eastAsia="宋体" w:cs="宋体"/>
                <w:color w:val="auto"/>
                <w:kern w:val="0"/>
                <w:sz w:val="24"/>
                <w:szCs w:val="24"/>
                <w:highlight w:val="none"/>
                <w:lang w:bidi="ar"/>
              </w:rPr>
              <w:t>师（或交通运输部公路工程甲级造价人员）人数达到资格审查条件附录5-1 要求的，得1.5分</w:t>
            </w:r>
          </w:p>
        </w:tc>
      </w:tr>
      <w:tr w14:paraId="7939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00A06973">
            <w:pPr>
              <w:spacing w:line="240" w:lineRule="auto"/>
              <w:jc w:val="center"/>
              <w:rPr>
                <w:rFonts w:hint="eastAsia" w:ascii="宋体" w:hAnsi="宋体" w:eastAsia="宋体" w:cs="宋体"/>
                <w:color w:val="auto"/>
                <w:kern w:val="0"/>
                <w:sz w:val="24"/>
                <w:szCs w:val="24"/>
                <w:highlight w:val="none"/>
                <w:lang w:bidi="ar"/>
              </w:rPr>
            </w:pPr>
          </w:p>
        </w:tc>
        <w:tc>
          <w:tcPr>
            <w:tcW w:w="538" w:type="pct"/>
            <w:vMerge w:val="continue"/>
            <w:noWrap w:val="0"/>
            <w:vAlign w:val="center"/>
          </w:tcPr>
          <w:p w14:paraId="427F9515">
            <w:pPr>
              <w:spacing w:line="240" w:lineRule="auto"/>
              <w:jc w:val="center"/>
              <w:rPr>
                <w:rFonts w:hint="eastAsia" w:ascii="宋体" w:hAnsi="宋体" w:eastAsia="宋体" w:cs="宋体"/>
                <w:color w:val="auto"/>
                <w:kern w:val="0"/>
                <w:sz w:val="24"/>
                <w:szCs w:val="24"/>
                <w:highlight w:val="none"/>
                <w:lang w:bidi="ar"/>
              </w:rPr>
            </w:pPr>
          </w:p>
        </w:tc>
        <w:tc>
          <w:tcPr>
            <w:tcW w:w="387" w:type="pct"/>
            <w:vMerge w:val="continue"/>
            <w:tcBorders>
              <w:right w:val="single" w:color="auto" w:sz="4" w:space="0"/>
            </w:tcBorders>
            <w:noWrap w:val="0"/>
            <w:vAlign w:val="center"/>
          </w:tcPr>
          <w:p w14:paraId="7FDAC839">
            <w:pPr>
              <w:spacing w:line="240" w:lineRule="auto"/>
              <w:jc w:val="center"/>
              <w:rPr>
                <w:rFonts w:hint="eastAsia" w:ascii="宋体" w:hAnsi="宋体" w:eastAsia="宋体" w:cs="宋体"/>
                <w:color w:val="auto"/>
                <w:kern w:val="0"/>
                <w:sz w:val="24"/>
                <w:szCs w:val="24"/>
                <w:highlight w:val="none"/>
                <w:lang w:bidi="ar"/>
              </w:rPr>
            </w:pPr>
          </w:p>
        </w:tc>
        <w:tc>
          <w:tcPr>
            <w:tcW w:w="619" w:type="pct"/>
            <w:vMerge w:val="continue"/>
            <w:tcBorders>
              <w:top w:val="single" w:color="auto" w:sz="4" w:space="0"/>
              <w:left w:val="single" w:color="auto" w:sz="4" w:space="0"/>
              <w:bottom w:val="single" w:color="auto" w:sz="4" w:space="0"/>
              <w:right w:val="single" w:color="auto" w:sz="4" w:space="0"/>
            </w:tcBorders>
            <w:noWrap w:val="0"/>
            <w:vAlign w:val="center"/>
          </w:tcPr>
          <w:p w14:paraId="47D833DB">
            <w:pPr>
              <w:spacing w:line="240" w:lineRule="auto"/>
              <w:jc w:val="center"/>
              <w:rPr>
                <w:rFonts w:hint="eastAsia" w:ascii="宋体" w:hAnsi="宋体" w:eastAsia="宋体" w:cs="宋体"/>
                <w:color w:val="auto"/>
                <w:kern w:val="0"/>
                <w:sz w:val="24"/>
                <w:szCs w:val="24"/>
                <w:highlight w:val="none"/>
                <w:lang w:bidi="ar"/>
              </w:rPr>
            </w:pPr>
          </w:p>
        </w:tc>
        <w:tc>
          <w:tcPr>
            <w:tcW w:w="2979" w:type="pct"/>
            <w:tcBorders>
              <w:top w:val="single" w:color="auto" w:sz="4" w:space="0"/>
              <w:left w:val="single" w:color="auto" w:sz="4" w:space="0"/>
              <w:bottom w:val="single" w:color="auto" w:sz="4" w:space="0"/>
              <w:right w:val="single" w:color="auto" w:sz="4" w:space="0"/>
            </w:tcBorders>
            <w:noWrap w:val="0"/>
            <w:vAlign w:val="center"/>
          </w:tcPr>
          <w:p w14:paraId="45119F31">
            <w:pPr>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每增加1名</w:t>
            </w:r>
            <w:r>
              <w:rPr>
                <w:rFonts w:hint="eastAsia" w:ascii="宋体" w:hAnsi="宋体"/>
                <w:color w:val="auto"/>
                <w:sz w:val="24"/>
                <w:highlight w:val="none"/>
                <w:lang w:eastAsia="zh-CN"/>
              </w:rPr>
              <w:t>一级</w:t>
            </w:r>
            <w:r>
              <w:rPr>
                <w:rFonts w:hint="eastAsia" w:ascii="宋体" w:hAnsi="宋体" w:eastAsia="宋体" w:cs="宋体"/>
                <w:color w:val="auto"/>
                <w:kern w:val="0"/>
                <w:sz w:val="24"/>
                <w:szCs w:val="24"/>
                <w:highlight w:val="none"/>
                <w:lang w:bidi="ar"/>
              </w:rPr>
              <w:t>注册</w:t>
            </w:r>
            <w:r>
              <w:rPr>
                <w:rFonts w:hint="eastAsia" w:ascii="宋体" w:hAnsi="宋体" w:eastAsia="宋体" w:cs="宋体"/>
                <w:color w:val="auto"/>
                <w:kern w:val="0"/>
                <w:sz w:val="24"/>
                <w:szCs w:val="24"/>
                <w:highlight w:val="none"/>
                <w:lang w:eastAsia="zh-CN" w:bidi="ar"/>
              </w:rPr>
              <w:t>造价工程师</w:t>
            </w:r>
            <w:r>
              <w:rPr>
                <w:rFonts w:hint="eastAsia" w:ascii="宋体" w:hAnsi="宋体" w:eastAsia="宋体" w:cs="宋体"/>
                <w:color w:val="auto"/>
                <w:kern w:val="0"/>
                <w:sz w:val="24"/>
                <w:szCs w:val="24"/>
                <w:highlight w:val="none"/>
                <w:lang w:bidi="ar"/>
              </w:rPr>
              <w:t>（或交通运输部公路工程甲级造价人员）加0.2分，最多加1分。</w:t>
            </w:r>
          </w:p>
          <w:p w14:paraId="49441DD9">
            <w:pPr>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（以联合体形式投标的此处为联合体成员每增加1名</w:t>
            </w:r>
            <w:r>
              <w:rPr>
                <w:rFonts w:hint="eastAsia" w:ascii="宋体" w:hAnsi="宋体"/>
                <w:color w:val="auto"/>
                <w:sz w:val="24"/>
                <w:highlight w:val="none"/>
                <w:lang w:eastAsia="zh-CN"/>
              </w:rPr>
              <w:t>一级</w:t>
            </w:r>
            <w:r>
              <w:rPr>
                <w:rFonts w:hint="eastAsia" w:ascii="宋体" w:hAnsi="宋体" w:eastAsia="宋体" w:cs="宋体"/>
                <w:color w:val="auto"/>
                <w:kern w:val="0"/>
                <w:sz w:val="24"/>
                <w:szCs w:val="24"/>
                <w:highlight w:val="none"/>
                <w:lang w:bidi="ar"/>
              </w:rPr>
              <w:t>注册</w:t>
            </w:r>
            <w:r>
              <w:rPr>
                <w:rFonts w:hint="eastAsia" w:ascii="宋体" w:hAnsi="宋体" w:eastAsia="宋体" w:cs="宋体"/>
                <w:color w:val="auto"/>
                <w:kern w:val="0"/>
                <w:sz w:val="24"/>
                <w:szCs w:val="24"/>
                <w:highlight w:val="none"/>
                <w:lang w:eastAsia="zh-CN" w:bidi="ar"/>
              </w:rPr>
              <w:t>造价工程师</w:t>
            </w:r>
            <w:r>
              <w:rPr>
                <w:rFonts w:hint="eastAsia" w:ascii="宋体" w:hAnsi="宋体" w:eastAsia="宋体" w:cs="宋体"/>
                <w:color w:val="auto"/>
                <w:kern w:val="0"/>
                <w:sz w:val="24"/>
                <w:szCs w:val="24"/>
                <w:highlight w:val="none"/>
                <w:lang w:bidi="ar"/>
              </w:rPr>
              <w:t>（或交通运输部公路工程甲级造价人员）加0.2分，最多加1分。）</w:t>
            </w:r>
          </w:p>
        </w:tc>
      </w:tr>
      <w:tr w14:paraId="3981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7C981D4A">
            <w:pPr>
              <w:spacing w:line="240" w:lineRule="auto"/>
              <w:jc w:val="center"/>
              <w:rPr>
                <w:rFonts w:hint="eastAsia" w:ascii="宋体" w:hAnsi="宋体" w:eastAsia="宋体" w:cs="宋体"/>
                <w:color w:val="auto"/>
                <w:kern w:val="0"/>
                <w:sz w:val="24"/>
                <w:szCs w:val="24"/>
                <w:highlight w:val="none"/>
                <w:lang w:bidi="ar"/>
              </w:rPr>
            </w:pPr>
          </w:p>
        </w:tc>
        <w:tc>
          <w:tcPr>
            <w:tcW w:w="538" w:type="pct"/>
            <w:vMerge w:val="restart"/>
            <w:noWrap w:val="0"/>
            <w:vAlign w:val="center"/>
          </w:tcPr>
          <w:p w14:paraId="182D920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拟投入本项目的主要审计人员情况</w:t>
            </w:r>
          </w:p>
        </w:tc>
        <w:tc>
          <w:tcPr>
            <w:tcW w:w="387" w:type="pct"/>
            <w:vMerge w:val="restart"/>
            <w:noWrap w:val="0"/>
            <w:vAlign w:val="center"/>
          </w:tcPr>
          <w:p w14:paraId="19BDACD9">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1499C8A7">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SJ2</w:t>
            </w:r>
          </w:p>
        </w:tc>
        <w:tc>
          <w:tcPr>
            <w:tcW w:w="619" w:type="pct"/>
            <w:vMerge w:val="restart"/>
            <w:tcBorders>
              <w:top w:val="single" w:color="auto" w:sz="4" w:space="0"/>
            </w:tcBorders>
            <w:noWrap w:val="0"/>
            <w:vAlign w:val="center"/>
          </w:tcPr>
          <w:p w14:paraId="2E0B6452">
            <w:pPr>
              <w:spacing w:line="24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主要审计人员</w:t>
            </w:r>
          </w:p>
          <w:p w14:paraId="333DD06B">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（10分）</w:t>
            </w:r>
          </w:p>
        </w:tc>
        <w:tc>
          <w:tcPr>
            <w:tcW w:w="2979" w:type="pct"/>
            <w:tcBorders>
              <w:top w:val="single" w:color="auto" w:sz="4" w:space="0"/>
            </w:tcBorders>
            <w:noWrap w:val="0"/>
            <w:vAlign w:val="center"/>
          </w:tcPr>
          <w:p w14:paraId="0AD17A95">
            <w:pPr>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拟投入本项目的</w:t>
            </w:r>
            <w:r>
              <w:rPr>
                <w:rFonts w:hint="eastAsia" w:ascii="宋体" w:hAnsi="宋体" w:eastAsia="宋体" w:cs="宋体"/>
                <w:color w:val="auto"/>
                <w:kern w:val="0"/>
                <w:sz w:val="24"/>
                <w:szCs w:val="24"/>
                <w:highlight w:val="none"/>
                <w:lang w:val="en-US" w:eastAsia="zh-CN" w:bidi="ar"/>
              </w:rPr>
              <w:t>主要审计人员</w:t>
            </w:r>
            <w:r>
              <w:rPr>
                <w:rFonts w:hint="eastAsia" w:ascii="宋体" w:hAnsi="宋体" w:eastAsia="宋体" w:cs="宋体"/>
                <w:color w:val="auto"/>
                <w:kern w:val="0"/>
                <w:sz w:val="24"/>
                <w:szCs w:val="24"/>
                <w:highlight w:val="none"/>
                <w:lang w:bidi="ar"/>
              </w:rPr>
              <w:t>满足资格审查条件附录5-2 要求的，得6分。</w:t>
            </w:r>
          </w:p>
        </w:tc>
      </w:tr>
      <w:tr w14:paraId="31AE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9DBCA64">
            <w:pPr>
              <w:spacing w:line="240" w:lineRule="auto"/>
              <w:jc w:val="center"/>
              <w:rPr>
                <w:rFonts w:hint="eastAsia" w:ascii="宋体" w:hAnsi="宋体" w:eastAsia="宋体" w:cs="宋体"/>
                <w:color w:val="auto"/>
                <w:kern w:val="0"/>
                <w:sz w:val="24"/>
                <w:szCs w:val="24"/>
                <w:highlight w:val="none"/>
                <w:lang w:bidi="ar"/>
              </w:rPr>
            </w:pPr>
          </w:p>
        </w:tc>
        <w:tc>
          <w:tcPr>
            <w:tcW w:w="538" w:type="pct"/>
            <w:vMerge w:val="continue"/>
            <w:noWrap w:val="0"/>
            <w:vAlign w:val="center"/>
          </w:tcPr>
          <w:p w14:paraId="26A356D6">
            <w:pPr>
              <w:spacing w:line="240" w:lineRule="auto"/>
              <w:jc w:val="center"/>
              <w:rPr>
                <w:rFonts w:hint="eastAsia" w:ascii="宋体" w:hAnsi="宋体" w:eastAsia="宋体" w:cs="宋体"/>
                <w:color w:val="auto"/>
                <w:kern w:val="0"/>
                <w:sz w:val="24"/>
                <w:szCs w:val="24"/>
                <w:highlight w:val="none"/>
                <w:lang w:bidi="ar"/>
              </w:rPr>
            </w:pPr>
          </w:p>
        </w:tc>
        <w:tc>
          <w:tcPr>
            <w:tcW w:w="387" w:type="pct"/>
            <w:vMerge w:val="continue"/>
            <w:noWrap w:val="0"/>
            <w:vAlign w:val="center"/>
          </w:tcPr>
          <w:p w14:paraId="4132BD4F">
            <w:pPr>
              <w:spacing w:line="240" w:lineRule="auto"/>
              <w:jc w:val="center"/>
              <w:rPr>
                <w:rFonts w:hint="eastAsia" w:ascii="宋体" w:hAnsi="宋体" w:eastAsia="宋体" w:cs="宋体"/>
                <w:color w:val="auto"/>
                <w:kern w:val="0"/>
                <w:sz w:val="24"/>
                <w:szCs w:val="24"/>
                <w:highlight w:val="none"/>
                <w:lang w:bidi="ar"/>
              </w:rPr>
            </w:pPr>
          </w:p>
        </w:tc>
        <w:tc>
          <w:tcPr>
            <w:tcW w:w="619" w:type="pct"/>
            <w:vMerge w:val="continue"/>
            <w:noWrap w:val="0"/>
            <w:vAlign w:val="center"/>
          </w:tcPr>
          <w:p w14:paraId="56828851">
            <w:pPr>
              <w:spacing w:line="240" w:lineRule="auto"/>
              <w:jc w:val="center"/>
              <w:rPr>
                <w:rFonts w:hint="eastAsia" w:ascii="宋体" w:hAnsi="宋体" w:eastAsia="宋体" w:cs="宋体"/>
                <w:color w:val="auto"/>
                <w:kern w:val="0"/>
                <w:sz w:val="24"/>
                <w:szCs w:val="24"/>
                <w:highlight w:val="none"/>
                <w:lang w:bidi="ar"/>
              </w:rPr>
            </w:pPr>
          </w:p>
        </w:tc>
        <w:tc>
          <w:tcPr>
            <w:tcW w:w="2979" w:type="pct"/>
            <w:noWrap w:val="0"/>
            <w:vAlign w:val="center"/>
          </w:tcPr>
          <w:p w14:paraId="6F71ED19">
            <w:pPr>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拟投入本项目的项目负责人（主审）每增加一项满足资格审查条件附录5-2要求的业绩加2分，最多加4分。</w:t>
            </w:r>
          </w:p>
        </w:tc>
      </w:tr>
      <w:tr w14:paraId="47E6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jc w:val="center"/>
        </w:trPr>
        <w:tc>
          <w:tcPr>
            <w:tcW w:w="475" w:type="pct"/>
            <w:vMerge w:val="restart"/>
            <w:noWrap w:val="0"/>
            <w:vAlign w:val="center"/>
          </w:tcPr>
          <w:p w14:paraId="58D0BBB8">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2.2.4（2）</w:t>
            </w:r>
            <w:r>
              <w:rPr>
                <w:rFonts w:hint="eastAsia" w:ascii="宋体" w:hAnsi="宋体" w:eastAsia="宋体" w:cs="宋体"/>
                <w:color w:val="auto"/>
                <w:sz w:val="24"/>
                <w:szCs w:val="24"/>
                <w:highlight w:val="none"/>
              </w:rPr>
              <w:t>（明标部分）</w:t>
            </w:r>
          </w:p>
        </w:tc>
        <w:tc>
          <w:tcPr>
            <w:tcW w:w="538" w:type="pct"/>
            <w:vMerge w:val="restart"/>
            <w:noWrap w:val="0"/>
            <w:vAlign w:val="center"/>
          </w:tcPr>
          <w:p w14:paraId="42A633E7">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审计</w:t>
            </w:r>
          </w:p>
          <w:p w14:paraId="1F24245E">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业绩</w:t>
            </w:r>
          </w:p>
        </w:tc>
        <w:tc>
          <w:tcPr>
            <w:tcW w:w="387" w:type="pct"/>
            <w:vMerge w:val="restart"/>
            <w:noWrap w:val="0"/>
            <w:vAlign w:val="center"/>
          </w:tcPr>
          <w:p w14:paraId="46E6894C">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33CCD566">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SJ2</w:t>
            </w:r>
          </w:p>
        </w:tc>
        <w:tc>
          <w:tcPr>
            <w:tcW w:w="619" w:type="pct"/>
            <w:vMerge w:val="restart"/>
            <w:noWrap w:val="0"/>
            <w:vAlign w:val="center"/>
          </w:tcPr>
          <w:p w14:paraId="738F845C">
            <w:pPr>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20</w:t>
            </w:r>
            <w:r>
              <w:rPr>
                <w:rStyle w:val="12"/>
                <w:rFonts w:hint="eastAsia" w:ascii="宋体" w:hAnsi="宋体" w:eastAsia="宋体" w:cs="宋体"/>
                <w:color w:val="auto"/>
                <w:sz w:val="24"/>
                <w:szCs w:val="24"/>
                <w:highlight w:val="none"/>
                <w:lang w:bidi="ar"/>
              </w:rPr>
              <w:t>分</w:t>
            </w:r>
          </w:p>
        </w:tc>
        <w:tc>
          <w:tcPr>
            <w:tcW w:w="2979" w:type="pct"/>
            <w:noWrap w:val="0"/>
            <w:vAlign w:val="center"/>
          </w:tcPr>
          <w:p w14:paraId="679F587D">
            <w:pPr>
              <w:widowControl/>
              <w:spacing w:line="24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投标人满足资格审查条件附录3业绩要求的，得12分</w:t>
            </w:r>
          </w:p>
        </w:tc>
      </w:tr>
      <w:tr w14:paraId="6EB0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04910279">
            <w:pPr>
              <w:widowControl/>
              <w:spacing w:line="240" w:lineRule="auto"/>
              <w:jc w:val="center"/>
              <w:textAlignment w:val="center"/>
              <w:rPr>
                <w:rFonts w:hint="eastAsia" w:ascii="宋体" w:hAnsi="宋体" w:eastAsia="宋体" w:cs="宋体"/>
                <w:color w:val="auto"/>
                <w:kern w:val="0"/>
                <w:sz w:val="24"/>
                <w:szCs w:val="24"/>
                <w:highlight w:val="none"/>
                <w:lang w:bidi="ar"/>
              </w:rPr>
            </w:pPr>
          </w:p>
        </w:tc>
        <w:tc>
          <w:tcPr>
            <w:tcW w:w="538" w:type="pct"/>
            <w:vMerge w:val="continue"/>
            <w:noWrap w:val="0"/>
            <w:vAlign w:val="center"/>
          </w:tcPr>
          <w:p w14:paraId="09B6FAF8">
            <w:pPr>
              <w:widowControl/>
              <w:spacing w:line="240" w:lineRule="auto"/>
              <w:jc w:val="center"/>
              <w:textAlignment w:val="center"/>
              <w:rPr>
                <w:rFonts w:hint="eastAsia" w:ascii="宋体" w:hAnsi="宋体" w:eastAsia="宋体" w:cs="宋体"/>
                <w:color w:val="auto"/>
                <w:kern w:val="0"/>
                <w:sz w:val="24"/>
                <w:szCs w:val="24"/>
                <w:highlight w:val="none"/>
                <w:lang w:bidi="ar"/>
              </w:rPr>
            </w:pPr>
          </w:p>
        </w:tc>
        <w:tc>
          <w:tcPr>
            <w:tcW w:w="387" w:type="pct"/>
            <w:vMerge w:val="continue"/>
            <w:noWrap w:val="0"/>
            <w:vAlign w:val="center"/>
          </w:tcPr>
          <w:p w14:paraId="27039A40">
            <w:pPr>
              <w:widowControl/>
              <w:spacing w:line="240" w:lineRule="auto"/>
              <w:jc w:val="center"/>
              <w:textAlignment w:val="center"/>
              <w:rPr>
                <w:rFonts w:hint="eastAsia" w:ascii="宋体" w:hAnsi="宋体" w:eastAsia="宋体" w:cs="宋体"/>
                <w:color w:val="auto"/>
                <w:kern w:val="0"/>
                <w:sz w:val="24"/>
                <w:szCs w:val="24"/>
                <w:highlight w:val="none"/>
                <w:lang w:bidi="ar"/>
              </w:rPr>
            </w:pPr>
          </w:p>
        </w:tc>
        <w:tc>
          <w:tcPr>
            <w:tcW w:w="619" w:type="pct"/>
            <w:vMerge w:val="continue"/>
            <w:noWrap w:val="0"/>
            <w:vAlign w:val="center"/>
          </w:tcPr>
          <w:p w14:paraId="03B1D633">
            <w:pPr>
              <w:widowControl/>
              <w:spacing w:line="240" w:lineRule="auto"/>
              <w:jc w:val="center"/>
              <w:textAlignment w:val="center"/>
              <w:rPr>
                <w:rFonts w:hint="eastAsia" w:ascii="宋体" w:hAnsi="宋体" w:eastAsia="宋体" w:cs="宋体"/>
                <w:color w:val="auto"/>
                <w:kern w:val="0"/>
                <w:sz w:val="24"/>
                <w:szCs w:val="24"/>
                <w:highlight w:val="none"/>
                <w:lang w:bidi="ar"/>
              </w:rPr>
            </w:pPr>
          </w:p>
        </w:tc>
        <w:tc>
          <w:tcPr>
            <w:tcW w:w="2979" w:type="pct"/>
            <w:noWrap w:val="0"/>
            <w:vAlign w:val="center"/>
          </w:tcPr>
          <w:p w14:paraId="2026B9FF">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独立投标的：</w:t>
            </w:r>
          </w:p>
          <w:p w14:paraId="53CB16C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投标人每增加一项审计内容的投资额在</w:t>
            </w:r>
            <w:r>
              <w:rPr>
                <w:rFonts w:hint="eastAsia" w:ascii="宋体" w:hAnsi="宋体" w:eastAsia="宋体" w:cs="宋体"/>
                <w:color w:val="auto"/>
                <w:sz w:val="24"/>
                <w:szCs w:val="24"/>
                <w:highlight w:val="none"/>
                <w:lang w:val="en-US" w:eastAsia="zh-CN"/>
              </w:rPr>
              <w:t>6亿元</w:t>
            </w:r>
            <w:r>
              <w:rPr>
                <w:rFonts w:hint="eastAsia" w:ascii="宋体" w:hAnsi="宋体" w:eastAsia="宋体" w:cs="宋体"/>
                <w:color w:val="auto"/>
                <w:sz w:val="24"/>
                <w:szCs w:val="24"/>
                <w:highlight w:val="none"/>
              </w:rPr>
              <w:t>以上的交通基础设施项目跟踪审计业务（</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出具了不少于3期（出具日期在20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月1日至今）财务审计报告（含正在实施的审计项目））</w:t>
            </w:r>
            <w:r>
              <w:rPr>
                <w:rFonts w:hint="eastAsia" w:ascii="宋体" w:hAnsi="宋体" w:eastAsia="宋体" w:cs="宋体"/>
                <w:b/>
                <w:color w:val="auto"/>
                <w:sz w:val="24"/>
                <w:szCs w:val="24"/>
                <w:highlight w:val="none"/>
              </w:rPr>
              <w:t>以及</w:t>
            </w:r>
            <w:r>
              <w:rPr>
                <w:rFonts w:hint="eastAsia" w:ascii="宋体" w:hAnsi="宋体" w:eastAsia="宋体" w:cs="宋体"/>
                <w:color w:val="auto"/>
                <w:sz w:val="24"/>
                <w:szCs w:val="24"/>
                <w:highlight w:val="none"/>
              </w:rPr>
              <w:t>每增加一项审计内容的投资额在</w:t>
            </w:r>
            <w:r>
              <w:rPr>
                <w:rFonts w:hint="eastAsia" w:ascii="宋体" w:hAnsi="宋体" w:eastAsia="宋体" w:cs="宋体"/>
                <w:color w:val="auto"/>
                <w:sz w:val="24"/>
                <w:szCs w:val="24"/>
                <w:highlight w:val="none"/>
                <w:lang w:val="en-US" w:eastAsia="zh-CN"/>
              </w:rPr>
              <w:t>3亿元</w:t>
            </w:r>
            <w:r>
              <w:rPr>
                <w:rFonts w:hint="eastAsia" w:ascii="宋体" w:hAnsi="宋体" w:eastAsia="宋体" w:cs="宋体"/>
                <w:color w:val="auto"/>
                <w:sz w:val="24"/>
                <w:szCs w:val="24"/>
                <w:highlight w:val="none"/>
              </w:rPr>
              <w:t>元以上的交通基础设施项目跟踪审计业务（</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出具了不少于3期（</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出具日期在20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月1日至今）工程造价审计或审核报告（含正在实施的审计项目）），加4分；</w:t>
            </w:r>
          </w:p>
          <w:p w14:paraId="05E781C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投标人每增加一项审计内容的投资额在</w:t>
            </w:r>
            <w:r>
              <w:rPr>
                <w:rFonts w:hint="eastAsia" w:ascii="宋体" w:hAnsi="宋体" w:eastAsia="宋体" w:cs="宋体"/>
                <w:color w:val="auto"/>
                <w:sz w:val="24"/>
                <w:szCs w:val="24"/>
                <w:highlight w:val="none"/>
                <w:lang w:val="en-US" w:eastAsia="zh-CN"/>
              </w:rPr>
              <w:t>3亿元</w:t>
            </w:r>
            <w:r>
              <w:rPr>
                <w:rFonts w:hint="eastAsia" w:ascii="宋体" w:hAnsi="宋体" w:eastAsia="宋体" w:cs="宋体"/>
                <w:color w:val="auto"/>
                <w:sz w:val="24"/>
                <w:szCs w:val="24"/>
                <w:highlight w:val="none"/>
              </w:rPr>
              <w:t>以上的交通基础设施项目跟踪审计业务（</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出具了不少于3期（出具日期在20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月1日至今）财务审计报告（含正在实施的审计项目））</w:t>
            </w:r>
            <w:r>
              <w:rPr>
                <w:rFonts w:hint="eastAsia" w:ascii="宋体" w:hAnsi="宋体" w:eastAsia="宋体" w:cs="宋体"/>
                <w:b/>
                <w:color w:val="auto"/>
                <w:sz w:val="24"/>
                <w:szCs w:val="24"/>
                <w:highlight w:val="none"/>
              </w:rPr>
              <w:t>以及</w:t>
            </w:r>
            <w:r>
              <w:rPr>
                <w:rFonts w:hint="eastAsia" w:ascii="宋体" w:hAnsi="宋体" w:eastAsia="宋体" w:cs="宋体"/>
                <w:color w:val="auto"/>
                <w:sz w:val="24"/>
                <w:szCs w:val="24"/>
                <w:highlight w:val="none"/>
              </w:rPr>
              <w:t>每增加一项审计内容的投资额在</w:t>
            </w:r>
            <w:r>
              <w:rPr>
                <w:rFonts w:hint="eastAsia" w:ascii="宋体" w:hAnsi="宋体" w:eastAsia="宋体" w:cs="宋体"/>
                <w:color w:val="auto"/>
                <w:sz w:val="24"/>
                <w:szCs w:val="24"/>
                <w:highlight w:val="none"/>
                <w:lang w:val="en-US" w:eastAsia="zh-CN"/>
              </w:rPr>
              <w:t>1.5亿元</w:t>
            </w:r>
            <w:r>
              <w:rPr>
                <w:rFonts w:hint="eastAsia" w:ascii="宋体" w:hAnsi="宋体" w:eastAsia="宋体" w:cs="宋体"/>
                <w:color w:val="auto"/>
                <w:sz w:val="24"/>
                <w:szCs w:val="24"/>
                <w:highlight w:val="none"/>
              </w:rPr>
              <w:t>以上的交通基础设施项目跟踪审计业务（</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出具了不少于3期（出具日期在20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月1日至今）工程造价审计或审核报告（含正在实施的审计项目）），加2分；</w:t>
            </w:r>
          </w:p>
          <w:p w14:paraId="5DAE785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以上业绩最多加8分，同一项目不重复计分。</w:t>
            </w:r>
          </w:p>
          <w:p w14:paraId="40073891">
            <w:pPr>
              <w:pStyle w:val="4"/>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注：此项业绩证明材料包括委托单位签章的审计业务约定书或合同、中标通知书（中选通知书）（如有）、</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lang w:val="en-US" w:eastAsia="zh-CN"/>
              </w:rPr>
              <w:t>不少于3期财务和工程造价审计或审核报告扫描件，若审计业务约定书或合同中不包含或无法明确体现审计内容的投资额信息需要提供相应项目业主单位（或执行机构）证明材料并加盖业主单位（或执行机构）公章扫描件。</w:t>
            </w:r>
          </w:p>
          <w:p w14:paraId="67057D25">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以联合体形式投标： </w:t>
            </w:r>
          </w:p>
          <w:p w14:paraId="7293D31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联合体牵头人每增加一项审计内容的投资额在</w:t>
            </w:r>
            <w:r>
              <w:rPr>
                <w:rFonts w:hint="eastAsia" w:ascii="宋体" w:hAnsi="宋体" w:eastAsia="宋体" w:cs="宋体"/>
                <w:color w:val="auto"/>
                <w:sz w:val="24"/>
                <w:szCs w:val="24"/>
                <w:highlight w:val="none"/>
                <w:lang w:val="en-US" w:eastAsia="zh-CN"/>
              </w:rPr>
              <w:t>6亿元</w:t>
            </w:r>
            <w:r>
              <w:rPr>
                <w:rFonts w:hint="eastAsia" w:ascii="宋体" w:hAnsi="宋体" w:eastAsia="宋体" w:cs="宋体"/>
                <w:color w:val="auto"/>
                <w:sz w:val="24"/>
                <w:szCs w:val="24"/>
                <w:highlight w:val="none"/>
              </w:rPr>
              <w:t>以上的交通基础设施项目跟踪审计业务以及联合体成员每增加一项审计内容的投资额在</w:t>
            </w:r>
            <w:r>
              <w:rPr>
                <w:rFonts w:hint="eastAsia" w:ascii="宋体" w:hAnsi="宋体" w:eastAsia="宋体" w:cs="宋体"/>
                <w:color w:val="auto"/>
                <w:sz w:val="24"/>
                <w:szCs w:val="24"/>
                <w:highlight w:val="none"/>
                <w:lang w:val="en-US" w:eastAsia="zh-CN"/>
              </w:rPr>
              <w:t>3亿元</w:t>
            </w:r>
            <w:r>
              <w:rPr>
                <w:rFonts w:hint="eastAsia" w:ascii="宋体" w:hAnsi="宋体" w:eastAsia="宋体" w:cs="宋体"/>
                <w:color w:val="auto"/>
                <w:sz w:val="24"/>
                <w:szCs w:val="24"/>
                <w:highlight w:val="none"/>
              </w:rPr>
              <w:t>以上的交通基础设施项目跟踪审计业务，且</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联合体牵头人出具了不少于3期（出具日期在20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月1日至今）财务审计报告（含正在实施的审计项目），</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联合体成员出具了不少于3期（出具日期在20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月1日至今）工程造价审计或审核报告（含正在实施的审计项目），加4分；</w:t>
            </w:r>
          </w:p>
          <w:p w14:paraId="7FBB089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联合体牵头人每增加一项审计内容的投资额在</w:t>
            </w:r>
            <w:r>
              <w:rPr>
                <w:rFonts w:hint="eastAsia" w:ascii="宋体" w:hAnsi="宋体" w:eastAsia="宋体" w:cs="宋体"/>
                <w:color w:val="auto"/>
                <w:sz w:val="24"/>
                <w:szCs w:val="24"/>
                <w:highlight w:val="none"/>
                <w:lang w:val="en-US" w:eastAsia="zh-CN"/>
              </w:rPr>
              <w:t>3亿元</w:t>
            </w:r>
            <w:r>
              <w:rPr>
                <w:rFonts w:hint="eastAsia" w:ascii="宋体" w:hAnsi="宋体" w:eastAsia="宋体" w:cs="宋体"/>
                <w:color w:val="auto"/>
                <w:sz w:val="24"/>
                <w:szCs w:val="24"/>
                <w:highlight w:val="none"/>
              </w:rPr>
              <w:t>以上的交通基础设施项目跟踪审计业务以及联合体成员每增加一项审计内容的投资额在</w:t>
            </w:r>
            <w:r>
              <w:rPr>
                <w:rFonts w:hint="eastAsia" w:ascii="宋体" w:hAnsi="宋体" w:eastAsia="宋体" w:cs="宋体"/>
                <w:color w:val="auto"/>
                <w:sz w:val="24"/>
                <w:szCs w:val="24"/>
                <w:highlight w:val="none"/>
                <w:lang w:val="en-US" w:eastAsia="zh-CN"/>
              </w:rPr>
              <w:t>1.5亿元</w:t>
            </w:r>
            <w:r>
              <w:rPr>
                <w:rFonts w:hint="eastAsia" w:ascii="宋体" w:hAnsi="宋体" w:eastAsia="宋体" w:cs="宋体"/>
                <w:color w:val="auto"/>
                <w:sz w:val="24"/>
                <w:szCs w:val="24"/>
                <w:highlight w:val="none"/>
              </w:rPr>
              <w:t>以上的交通基础设施项目跟踪审计业务，且</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联合体牵头人出具了不少于3期（出具日期在20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月1日至今）财务审计报告（含正在实施的审计项目），</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rPr>
              <w:t>联合体成员出具了不少于3期（出具日期在20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月1日至今）工程造价审计或审核报告（含正在实施的审计项目），加2分；</w:t>
            </w:r>
          </w:p>
          <w:p w14:paraId="3990B53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以上业绩最多加8分，同一项目不重复计分。在同一高速公路建设项目中联合体牵头人和联合体成员均承担审计业务的，可分别确认审计业绩。</w:t>
            </w:r>
          </w:p>
          <w:p w14:paraId="39AFE2A0">
            <w:pPr>
              <w:pStyle w:val="4"/>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注：此项业绩证明材料包括委托单位签章的审计业务约定书或合同、中标通知书（中选通知书）（如有）、</w:t>
            </w:r>
            <w:r>
              <w:rPr>
                <w:rFonts w:hint="eastAsia" w:ascii="宋体" w:hAnsi="宋体"/>
                <w:color w:val="auto"/>
                <w:sz w:val="24"/>
                <w:highlight w:val="none"/>
                <w:lang w:eastAsia="zh-CN"/>
              </w:rPr>
              <w:t>每项审计业务</w:t>
            </w:r>
            <w:r>
              <w:rPr>
                <w:rFonts w:hint="eastAsia" w:ascii="宋体" w:hAnsi="宋体" w:eastAsia="宋体" w:cs="宋体"/>
                <w:color w:val="auto"/>
                <w:sz w:val="24"/>
                <w:szCs w:val="24"/>
                <w:highlight w:val="none"/>
                <w:lang w:val="en-US" w:eastAsia="zh-CN"/>
              </w:rPr>
              <w:t>不少于3期财务和工程造价审计或审核报告扫描件，若审计业务约定书或合同中不包含或无法明确体现审计内容的投资额信息需要提供相应项目业主单位（或执行机构）证明材料并加盖业主单位（或执行机构）公章扫描件</w:t>
            </w:r>
          </w:p>
        </w:tc>
      </w:tr>
      <w:tr w14:paraId="78BF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restart"/>
            <w:noWrap w:val="0"/>
            <w:vAlign w:val="center"/>
          </w:tcPr>
          <w:p w14:paraId="7AD208DA">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2.2.4（3) （暗标部分）</w:t>
            </w:r>
          </w:p>
        </w:tc>
        <w:tc>
          <w:tcPr>
            <w:tcW w:w="538" w:type="pct"/>
            <w:vMerge w:val="restart"/>
            <w:noWrap w:val="0"/>
            <w:vAlign w:val="center"/>
          </w:tcPr>
          <w:p w14:paraId="3A3F07E5">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审计实施方案</w:t>
            </w:r>
          </w:p>
        </w:tc>
        <w:tc>
          <w:tcPr>
            <w:tcW w:w="387" w:type="pct"/>
            <w:vMerge w:val="restart"/>
            <w:noWrap w:val="0"/>
            <w:vAlign w:val="center"/>
          </w:tcPr>
          <w:p w14:paraId="33FEB37B">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64481E0D">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SJ2</w:t>
            </w:r>
          </w:p>
        </w:tc>
        <w:tc>
          <w:tcPr>
            <w:tcW w:w="619" w:type="pct"/>
            <w:vMerge w:val="restart"/>
            <w:noWrap w:val="0"/>
            <w:vAlign w:val="center"/>
          </w:tcPr>
          <w:p w14:paraId="38381C06">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审计范围、内容、步骤和程序（5分）</w:t>
            </w:r>
          </w:p>
        </w:tc>
        <w:tc>
          <w:tcPr>
            <w:tcW w:w="2979" w:type="pct"/>
            <w:noWrap w:val="0"/>
            <w:vAlign w:val="center"/>
          </w:tcPr>
          <w:p w14:paraId="2CCE8ECB">
            <w:pPr>
              <w:spacing w:line="24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描述准确、步骤和程序全面、具体、可行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得4.0-5.0分。</w:t>
            </w:r>
          </w:p>
        </w:tc>
      </w:tr>
      <w:tr w14:paraId="2C4A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3BB7616F">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1938CA66">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428DD8CF">
            <w:pPr>
              <w:spacing w:line="240" w:lineRule="auto"/>
              <w:rPr>
                <w:rFonts w:hint="eastAsia" w:ascii="宋体" w:hAnsi="宋体" w:eastAsia="宋体" w:cs="宋体"/>
                <w:color w:val="auto"/>
                <w:sz w:val="24"/>
                <w:szCs w:val="24"/>
                <w:highlight w:val="none"/>
              </w:rPr>
            </w:pPr>
          </w:p>
        </w:tc>
        <w:tc>
          <w:tcPr>
            <w:tcW w:w="619" w:type="pct"/>
            <w:vMerge w:val="continue"/>
            <w:noWrap w:val="0"/>
            <w:vAlign w:val="center"/>
          </w:tcPr>
          <w:p w14:paraId="1BEEB6A1">
            <w:pPr>
              <w:spacing w:line="240" w:lineRule="auto"/>
              <w:rPr>
                <w:rFonts w:hint="eastAsia" w:ascii="宋体" w:hAnsi="宋体" w:eastAsia="宋体" w:cs="宋体"/>
                <w:color w:val="auto"/>
                <w:sz w:val="24"/>
                <w:szCs w:val="24"/>
                <w:highlight w:val="none"/>
              </w:rPr>
            </w:pPr>
          </w:p>
        </w:tc>
        <w:tc>
          <w:tcPr>
            <w:tcW w:w="2979" w:type="pct"/>
            <w:noWrap w:val="0"/>
            <w:vAlign w:val="center"/>
          </w:tcPr>
          <w:p w14:paraId="2ED16C77">
            <w:pPr>
              <w:spacing w:line="24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描述较准确、步骤和程序较全面、具备一定可行性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得3.5-4.0分。</w:t>
            </w:r>
          </w:p>
        </w:tc>
      </w:tr>
      <w:tr w14:paraId="7A60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51B05937">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3DD0EA76">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17BB16EB">
            <w:pPr>
              <w:spacing w:line="240" w:lineRule="auto"/>
              <w:rPr>
                <w:rFonts w:hint="eastAsia" w:ascii="宋体" w:hAnsi="宋体" w:eastAsia="宋体" w:cs="宋体"/>
                <w:color w:val="auto"/>
                <w:sz w:val="24"/>
                <w:szCs w:val="24"/>
                <w:highlight w:val="none"/>
              </w:rPr>
            </w:pPr>
          </w:p>
        </w:tc>
        <w:tc>
          <w:tcPr>
            <w:tcW w:w="619" w:type="pct"/>
            <w:vMerge w:val="continue"/>
            <w:noWrap w:val="0"/>
            <w:vAlign w:val="center"/>
          </w:tcPr>
          <w:p w14:paraId="2C3FB1F0">
            <w:pPr>
              <w:spacing w:line="240" w:lineRule="auto"/>
              <w:rPr>
                <w:rFonts w:hint="eastAsia" w:ascii="宋体" w:hAnsi="宋体" w:eastAsia="宋体" w:cs="宋体"/>
                <w:color w:val="auto"/>
                <w:sz w:val="24"/>
                <w:szCs w:val="24"/>
                <w:highlight w:val="none"/>
              </w:rPr>
            </w:pPr>
          </w:p>
        </w:tc>
        <w:tc>
          <w:tcPr>
            <w:tcW w:w="2979" w:type="pct"/>
            <w:noWrap w:val="0"/>
            <w:vAlign w:val="center"/>
          </w:tcPr>
          <w:p w14:paraId="71AE6FD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描述，步骤、程序、可行性一般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得3.0-3.5分。</w:t>
            </w:r>
          </w:p>
        </w:tc>
      </w:tr>
      <w:tr w14:paraId="68DF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4FA99AA8">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2BEE76AA">
            <w:pPr>
              <w:widowControl/>
              <w:spacing w:line="240" w:lineRule="auto"/>
              <w:jc w:val="center"/>
              <w:rPr>
                <w:rFonts w:hint="eastAsia" w:ascii="宋体" w:hAnsi="宋体" w:eastAsia="宋体" w:cs="宋体"/>
                <w:color w:val="auto"/>
                <w:sz w:val="24"/>
                <w:szCs w:val="24"/>
                <w:highlight w:val="none"/>
              </w:rPr>
            </w:pPr>
          </w:p>
        </w:tc>
        <w:tc>
          <w:tcPr>
            <w:tcW w:w="387" w:type="pct"/>
            <w:vMerge w:val="restart"/>
            <w:noWrap w:val="0"/>
            <w:vAlign w:val="center"/>
          </w:tcPr>
          <w:p w14:paraId="2A8BBA0E">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0A2BDE2A">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SJ2</w:t>
            </w:r>
          </w:p>
        </w:tc>
        <w:tc>
          <w:tcPr>
            <w:tcW w:w="619" w:type="pct"/>
            <w:vMerge w:val="restart"/>
            <w:noWrap w:val="0"/>
            <w:vAlign w:val="center"/>
          </w:tcPr>
          <w:p w14:paraId="4610F714">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重点及难点分析（10分）</w:t>
            </w:r>
          </w:p>
        </w:tc>
        <w:tc>
          <w:tcPr>
            <w:tcW w:w="2979" w:type="pct"/>
            <w:noWrap w:val="0"/>
            <w:vAlign w:val="center"/>
          </w:tcPr>
          <w:p w14:paraId="6E4A72A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分析透彻、措施具体得力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得8.0-10分。</w:t>
            </w:r>
          </w:p>
        </w:tc>
      </w:tr>
      <w:tr w14:paraId="71D3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9D8424B">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16B205A8">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0E38C6E3">
            <w:pPr>
              <w:spacing w:line="240" w:lineRule="auto"/>
              <w:rPr>
                <w:rFonts w:hint="eastAsia" w:ascii="宋体" w:hAnsi="宋体" w:eastAsia="宋体" w:cs="宋体"/>
                <w:color w:val="auto"/>
                <w:sz w:val="24"/>
                <w:szCs w:val="24"/>
                <w:highlight w:val="none"/>
              </w:rPr>
            </w:pPr>
          </w:p>
        </w:tc>
        <w:tc>
          <w:tcPr>
            <w:tcW w:w="619" w:type="pct"/>
            <w:vMerge w:val="continue"/>
            <w:noWrap w:val="0"/>
            <w:vAlign w:val="center"/>
          </w:tcPr>
          <w:p w14:paraId="2DC1E793">
            <w:pPr>
              <w:spacing w:line="240" w:lineRule="auto"/>
              <w:rPr>
                <w:rFonts w:hint="eastAsia" w:ascii="宋体" w:hAnsi="宋体" w:eastAsia="宋体" w:cs="宋体"/>
                <w:color w:val="auto"/>
                <w:sz w:val="24"/>
                <w:szCs w:val="24"/>
                <w:highlight w:val="none"/>
              </w:rPr>
            </w:pPr>
          </w:p>
        </w:tc>
        <w:tc>
          <w:tcPr>
            <w:tcW w:w="2979" w:type="pct"/>
            <w:noWrap w:val="0"/>
            <w:vAlign w:val="center"/>
          </w:tcPr>
          <w:p w14:paraId="69D4682C">
            <w:pPr>
              <w:widowControl/>
              <w:spacing w:line="24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分析较全面、措施较得力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得7.0-8.0分。</w:t>
            </w:r>
          </w:p>
        </w:tc>
      </w:tr>
      <w:tr w14:paraId="7861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EC3A51E">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6316CB29">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5A06E026">
            <w:pPr>
              <w:spacing w:line="240" w:lineRule="auto"/>
              <w:rPr>
                <w:rFonts w:hint="eastAsia" w:ascii="宋体" w:hAnsi="宋体" w:eastAsia="宋体" w:cs="宋体"/>
                <w:color w:val="auto"/>
                <w:sz w:val="24"/>
                <w:szCs w:val="24"/>
                <w:highlight w:val="none"/>
              </w:rPr>
            </w:pPr>
          </w:p>
        </w:tc>
        <w:tc>
          <w:tcPr>
            <w:tcW w:w="619" w:type="pct"/>
            <w:vMerge w:val="continue"/>
            <w:noWrap w:val="0"/>
            <w:vAlign w:val="center"/>
          </w:tcPr>
          <w:p w14:paraId="55F4DD2D">
            <w:pPr>
              <w:spacing w:line="240" w:lineRule="auto"/>
              <w:rPr>
                <w:rFonts w:hint="eastAsia" w:ascii="宋体" w:hAnsi="宋体" w:eastAsia="宋体" w:cs="宋体"/>
                <w:color w:val="auto"/>
                <w:sz w:val="24"/>
                <w:szCs w:val="24"/>
                <w:highlight w:val="none"/>
              </w:rPr>
            </w:pPr>
          </w:p>
        </w:tc>
        <w:tc>
          <w:tcPr>
            <w:tcW w:w="2979" w:type="pct"/>
            <w:noWrap w:val="0"/>
            <w:vAlign w:val="center"/>
          </w:tcPr>
          <w:p w14:paraId="6EDE6294">
            <w:pPr>
              <w:widowControl/>
              <w:spacing w:line="24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得6.0-7.0分。</w:t>
            </w:r>
          </w:p>
        </w:tc>
      </w:tr>
      <w:tr w14:paraId="42C5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0ED244EC">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34B1530C">
            <w:pPr>
              <w:widowControl/>
              <w:spacing w:line="240" w:lineRule="auto"/>
              <w:jc w:val="center"/>
              <w:rPr>
                <w:rFonts w:hint="eastAsia" w:ascii="宋体" w:hAnsi="宋体" w:eastAsia="宋体" w:cs="宋体"/>
                <w:color w:val="auto"/>
                <w:sz w:val="24"/>
                <w:szCs w:val="24"/>
                <w:highlight w:val="none"/>
              </w:rPr>
            </w:pPr>
          </w:p>
        </w:tc>
        <w:tc>
          <w:tcPr>
            <w:tcW w:w="387" w:type="pct"/>
            <w:vMerge w:val="restart"/>
            <w:noWrap w:val="0"/>
            <w:vAlign w:val="center"/>
          </w:tcPr>
          <w:p w14:paraId="241FDFD4">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5E8CA601">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SJ2</w:t>
            </w:r>
          </w:p>
        </w:tc>
        <w:tc>
          <w:tcPr>
            <w:tcW w:w="619" w:type="pct"/>
            <w:vMerge w:val="restart"/>
            <w:noWrap w:val="0"/>
            <w:vAlign w:val="center"/>
          </w:tcPr>
          <w:p w14:paraId="7E1C96D4">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审计工作质量控制方法及措施（10分）</w:t>
            </w:r>
          </w:p>
        </w:tc>
        <w:tc>
          <w:tcPr>
            <w:tcW w:w="2979" w:type="pct"/>
            <w:noWrap w:val="0"/>
            <w:vAlign w:val="center"/>
          </w:tcPr>
          <w:p w14:paraId="6ECA6E7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拟采取的控制方法及措施符合法律法规要求，针对性、可操作性强</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sz w:val="24"/>
                <w:szCs w:val="24"/>
                <w:highlight w:val="none"/>
              </w:rPr>
              <w:t>得8.0-10分。</w:t>
            </w:r>
          </w:p>
        </w:tc>
      </w:tr>
      <w:tr w14:paraId="7916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4ED0421B">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61C4E765">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7A913516">
            <w:pPr>
              <w:spacing w:line="240" w:lineRule="auto"/>
              <w:jc w:val="center"/>
              <w:rPr>
                <w:rFonts w:hint="eastAsia" w:ascii="宋体" w:hAnsi="宋体" w:eastAsia="宋体" w:cs="宋体"/>
                <w:color w:val="auto"/>
                <w:kern w:val="0"/>
                <w:sz w:val="24"/>
                <w:szCs w:val="24"/>
                <w:highlight w:val="none"/>
                <w:lang w:bidi="ar"/>
              </w:rPr>
            </w:pPr>
          </w:p>
        </w:tc>
        <w:tc>
          <w:tcPr>
            <w:tcW w:w="619" w:type="pct"/>
            <w:vMerge w:val="continue"/>
            <w:noWrap w:val="0"/>
            <w:vAlign w:val="center"/>
          </w:tcPr>
          <w:p w14:paraId="1E347BBB">
            <w:pPr>
              <w:spacing w:line="240" w:lineRule="auto"/>
              <w:jc w:val="center"/>
              <w:rPr>
                <w:rFonts w:hint="eastAsia" w:ascii="宋体" w:hAnsi="宋体" w:eastAsia="宋体" w:cs="宋体"/>
                <w:color w:val="auto"/>
                <w:kern w:val="0"/>
                <w:sz w:val="24"/>
                <w:szCs w:val="24"/>
                <w:highlight w:val="none"/>
                <w:lang w:bidi="ar"/>
              </w:rPr>
            </w:pPr>
          </w:p>
        </w:tc>
        <w:tc>
          <w:tcPr>
            <w:tcW w:w="2979" w:type="pct"/>
            <w:noWrap w:val="0"/>
            <w:vAlign w:val="center"/>
          </w:tcPr>
          <w:p w14:paraId="4E5CFB88">
            <w:pPr>
              <w:spacing w:line="24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拟采取的控制方法及措施符合法律法规要求，针对性、可操作性较强</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sz w:val="24"/>
                <w:szCs w:val="24"/>
                <w:highlight w:val="none"/>
              </w:rPr>
              <w:t>得</w:t>
            </w:r>
            <w:r>
              <w:rPr>
                <w:rFonts w:hint="eastAsia" w:ascii="宋体" w:hAnsi="宋体" w:eastAsia="宋体" w:cs="宋体"/>
                <w:color w:val="auto"/>
                <w:kern w:val="0"/>
                <w:sz w:val="24"/>
                <w:szCs w:val="24"/>
                <w:highlight w:val="none"/>
                <w:lang w:bidi="ar"/>
              </w:rPr>
              <w:t>7.0-8.0分。</w:t>
            </w:r>
          </w:p>
        </w:tc>
      </w:tr>
      <w:tr w14:paraId="3179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5C056CB6">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61C792E2">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418F3245">
            <w:pPr>
              <w:spacing w:line="240" w:lineRule="auto"/>
              <w:jc w:val="center"/>
              <w:rPr>
                <w:rFonts w:hint="eastAsia" w:ascii="宋体" w:hAnsi="宋体" w:eastAsia="宋体" w:cs="宋体"/>
                <w:color w:val="auto"/>
                <w:kern w:val="0"/>
                <w:sz w:val="24"/>
                <w:szCs w:val="24"/>
                <w:highlight w:val="none"/>
                <w:lang w:bidi="ar"/>
              </w:rPr>
            </w:pPr>
          </w:p>
        </w:tc>
        <w:tc>
          <w:tcPr>
            <w:tcW w:w="619" w:type="pct"/>
            <w:vMerge w:val="continue"/>
            <w:noWrap w:val="0"/>
            <w:vAlign w:val="center"/>
          </w:tcPr>
          <w:p w14:paraId="3FC9E318">
            <w:pPr>
              <w:spacing w:line="240" w:lineRule="auto"/>
              <w:jc w:val="center"/>
              <w:rPr>
                <w:rFonts w:hint="eastAsia" w:ascii="宋体" w:hAnsi="宋体" w:eastAsia="宋体" w:cs="宋体"/>
                <w:color w:val="auto"/>
                <w:kern w:val="0"/>
                <w:sz w:val="24"/>
                <w:szCs w:val="24"/>
                <w:highlight w:val="none"/>
                <w:lang w:bidi="ar"/>
              </w:rPr>
            </w:pPr>
          </w:p>
        </w:tc>
        <w:tc>
          <w:tcPr>
            <w:tcW w:w="2979" w:type="pct"/>
            <w:noWrap w:val="0"/>
            <w:vAlign w:val="center"/>
          </w:tcPr>
          <w:p w14:paraId="1A79A7D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拟采取的控制方法及措施符合法律法规要求，针对性、可操作性一般</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sz w:val="24"/>
                <w:szCs w:val="24"/>
                <w:highlight w:val="none"/>
              </w:rPr>
              <w:t>得6.0-7.0分。</w:t>
            </w:r>
          </w:p>
        </w:tc>
      </w:tr>
      <w:tr w14:paraId="195A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6BCFEE9C">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21971E90">
            <w:pPr>
              <w:widowControl/>
              <w:spacing w:line="240" w:lineRule="auto"/>
              <w:jc w:val="center"/>
              <w:rPr>
                <w:rFonts w:hint="eastAsia" w:ascii="宋体" w:hAnsi="宋体" w:eastAsia="宋体" w:cs="宋体"/>
                <w:color w:val="auto"/>
                <w:sz w:val="24"/>
                <w:szCs w:val="24"/>
                <w:highlight w:val="none"/>
              </w:rPr>
            </w:pPr>
          </w:p>
        </w:tc>
        <w:tc>
          <w:tcPr>
            <w:tcW w:w="387" w:type="pct"/>
            <w:vMerge w:val="restart"/>
            <w:noWrap w:val="0"/>
            <w:vAlign w:val="center"/>
          </w:tcPr>
          <w:p w14:paraId="304CDDAD">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4B526F72">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SJ2</w:t>
            </w:r>
          </w:p>
        </w:tc>
        <w:tc>
          <w:tcPr>
            <w:tcW w:w="619" w:type="pct"/>
            <w:vMerge w:val="restart"/>
            <w:noWrap w:val="0"/>
            <w:vAlign w:val="center"/>
          </w:tcPr>
          <w:p w14:paraId="580CFF42">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审计工作进度安排（5分）</w:t>
            </w:r>
          </w:p>
        </w:tc>
        <w:tc>
          <w:tcPr>
            <w:tcW w:w="2979" w:type="pct"/>
            <w:noWrap w:val="0"/>
            <w:vAlign w:val="center"/>
          </w:tcPr>
          <w:p w14:paraId="56159363">
            <w:pPr>
              <w:spacing w:line="24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进度安排合理周密，完全满足项目要求</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sz w:val="24"/>
                <w:szCs w:val="24"/>
                <w:highlight w:val="none"/>
              </w:rPr>
              <w:t>得4.0-5.0分。</w:t>
            </w:r>
          </w:p>
        </w:tc>
      </w:tr>
      <w:tr w14:paraId="382D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64C568C0">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4FBA0969">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58CDE282">
            <w:pPr>
              <w:spacing w:line="240" w:lineRule="auto"/>
              <w:rPr>
                <w:rFonts w:hint="eastAsia" w:ascii="宋体" w:hAnsi="宋体" w:eastAsia="宋体" w:cs="宋体"/>
                <w:color w:val="auto"/>
                <w:sz w:val="24"/>
                <w:szCs w:val="24"/>
                <w:highlight w:val="none"/>
              </w:rPr>
            </w:pPr>
          </w:p>
        </w:tc>
        <w:tc>
          <w:tcPr>
            <w:tcW w:w="619" w:type="pct"/>
            <w:vMerge w:val="continue"/>
            <w:noWrap w:val="0"/>
            <w:vAlign w:val="center"/>
          </w:tcPr>
          <w:p w14:paraId="22AC7BDF">
            <w:pPr>
              <w:spacing w:line="240" w:lineRule="auto"/>
              <w:rPr>
                <w:rFonts w:hint="eastAsia" w:ascii="宋体" w:hAnsi="宋体" w:eastAsia="宋体" w:cs="宋体"/>
                <w:color w:val="auto"/>
                <w:sz w:val="24"/>
                <w:szCs w:val="24"/>
                <w:highlight w:val="none"/>
              </w:rPr>
            </w:pPr>
          </w:p>
        </w:tc>
        <w:tc>
          <w:tcPr>
            <w:tcW w:w="2979" w:type="pct"/>
            <w:noWrap w:val="0"/>
            <w:vAlign w:val="center"/>
          </w:tcPr>
          <w:p w14:paraId="35446441">
            <w:pPr>
              <w:spacing w:line="24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进度安排较合理，能较好满足项目要求</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sz w:val="24"/>
                <w:szCs w:val="24"/>
                <w:highlight w:val="none"/>
              </w:rPr>
              <w:t>得3.5-4.0分</w:t>
            </w:r>
            <w:r>
              <w:rPr>
                <w:rFonts w:hint="eastAsia" w:ascii="宋体" w:hAnsi="宋体" w:eastAsia="宋体" w:cs="宋体"/>
                <w:color w:val="auto"/>
                <w:kern w:val="0"/>
                <w:sz w:val="24"/>
                <w:szCs w:val="24"/>
                <w:highlight w:val="none"/>
                <w:lang w:bidi="ar"/>
              </w:rPr>
              <w:t>。</w:t>
            </w:r>
          </w:p>
        </w:tc>
      </w:tr>
      <w:tr w14:paraId="4051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8D395A0">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4791E2C3">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1A23DB62">
            <w:pPr>
              <w:spacing w:line="240" w:lineRule="auto"/>
              <w:rPr>
                <w:rFonts w:hint="eastAsia" w:ascii="宋体" w:hAnsi="宋体" w:eastAsia="宋体" w:cs="宋体"/>
                <w:color w:val="auto"/>
                <w:sz w:val="24"/>
                <w:szCs w:val="24"/>
                <w:highlight w:val="none"/>
              </w:rPr>
            </w:pPr>
          </w:p>
        </w:tc>
        <w:tc>
          <w:tcPr>
            <w:tcW w:w="619" w:type="pct"/>
            <w:vMerge w:val="continue"/>
            <w:noWrap w:val="0"/>
            <w:vAlign w:val="center"/>
          </w:tcPr>
          <w:p w14:paraId="7366B610">
            <w:pPr>
              <w:spacing w:line="240" w:lineRule="auto"/>
              <w:rPr>
                <w:rFonts w:hint="eastAsia" w:ascii="宋体" w:hAnsi="宋体" w:eastAsia="宋体" w:cs="宋体"/>
                <w:color w:val="auto"/>
                <w:sz w:val="24"/>
                <w:szCs w:val="24"/>
                <w:highlight w:val="none"/>
              </w:rPr>
            </w:pPr>
          </w:p>
        </w:tc>
        <w:tc>
          <w:tcPr>
            <w:tcW w:w="2979" w:type="pct"/>
            <w:noWrap w:val="0"/>
            <w:vAlign w:val="center"/>
          </w:tcPr>
          <w:p w14:paraId="767618E0">
            <w:pPr>
              <w:spacing w:line="24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进度安排一般，基本满足项目要求</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sz w:val="24"/>
                <w:szCs w:val="24"/>
                <w:highlight w:val="none"/>
              </w:rPr>
              <w:t>得3.0-3.5分。</w:t>
            </w:r>
          </w:p>
        </w:tc>
      </w:tr>
      <w:tr w14:paraId="34CB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E069076">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7D1D0241">
            <w:pPr>
              <w:widowControl/>
              <w:spacing w:line="240" w:lineRule="auto"/>
              <w:jc w:val="center"/>
              <w:rPr>
                <w:rFonts w:hint="eastAsia" w:ascii="宋体" w:hAnsi="宋体" w:eastAsia="宋体" w:cs="宋体"/>
                <w:color w:val="auto"/>
                <w:sz w:val="24"/>
                <w:szCs w:val="24"/>
                <w:highlight w:val="none"/>
              </w:rPr>
            </w:pPr>
          </w:p>
        </w:tc>
        <w:tc>
          <w:tcPr>
            <w:tcW w:w="387" w:type="pct"/>
            <w:vMerge w:val="restart"/>
            <w:noWrap w:val="0"/>
            <w:vAlign w:val="center"/>
          </w:tcPr>
          <w:p w14:paraId="41AE4A84">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13A7921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SJ2</w:t>
            </w:r>
          </w:p>
        </w:tc>
        <w:tc>
          <w:tcPr>
            <w:tcW w:w="619" w:type="pct"/>
            <w:vMerge w:val="restart"/>
            <w:noWrap w:val="0"/>
            <w:vAlign w:val="center"/>
          </w:tcPr>
          <w:p w14:paraId="20C61F0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服务承诺及商务响应程度（5分）</w:t>
            </w:r>
          </w:p>
        </w:tc>
        <w:tc>
          <w:tcPr>
            <w:tcW w:w="2979" w:type="pct"/>
            <w:noWrap w:val="0"/>
            <w:vAlign w:val="center"/>
          </w:tcPr>
          <w:p w14:paraId="234472F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承诺详细、具体、响应程度高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得4.0-5.0分。</w:t>
            </w:r>
          </w:p>
        </w:tc>
      </w:tr>
      <w:tr w14:paraId="62FC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2C5F625A">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6EFB7C1B">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059B0FFA">
            <w:pPr>
              <w:spacing w:line="240" w:lineRule="auto"/>
              <w:rPr>
                <w:rFonts w:hint="eastAsia" w:ascii="宋体" w:hAnsi="宋体" w:eastAsia="宋体" w:cs="宋体"/>
                <w:color w:val="auto"/>
                <w:sz w:val="24"/>
                <w:szCs w:val="24"/>
                <w:highlight w:val="none"/>
              </w:rPr>
            </w:pPr>
          </w:p>
        </w:tc>
        <w:tc>
          <w:tcPr>
            <w:tcW w:w="619" w:type="pct"/>
            <w:vMerge w:val="continue"/>
            <w:noWrap w:val="0"/>
            <w:vAlign w:val="center"/>
          </w:tcPr>
          <w:p w14:paraId="2029B487">
            <w:pPr>
              <w:spacing w:line="240" w:lineRule="auto"/>
              <w:rPr>
                <w:rFonts w:hint="eastAsia" w:ascii="宋体" w:hAnsi="宋体" w:eastAsia="宋体" w:cs="宋体"/>
                <w:color w:val="auto"/>
                <w:sz w:val="24"/>
                <w:szCs w:val="24"/>
                <w:highlight w:val="none"/>
              </w:rPr>
            </w:pPr>
          </w:p>
        </w:tc>
        <w:tc>
          <w:tcPr>
            <w:tcW w:w="2979" w:type="pct"/>
            <w:noWrap w:val="0"/>
            <w:vAlign w:val="center"/>
          </w:tcPr>
          <w:p w14:paraId="6B249EC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承诺较详细、响应程度较高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得3.5-4.0分。</w:t>
            </w:r>
          </w:p>
        </w:tc>
      </w:tr>
      <w:tr w14:paraId="1E69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vMerge w:val="continue"/>
            <w:noWrap w:val="0"/>
            <w:vAlign w:val="center"/>
          </w:tcPr>
          <w:p w14:paraId="688235FC">
            <w:pPr>
              <w:widowControl/>
              <w:spacing w:line="240" w:lineRule="auto"/>
              <w:jc w:val="center"/>
              <w:rPr>
                <w:rFonts w:hint="eastAsia" w:ascii="宋体" w:hAnsi="宋体" w:eastAsia="宋体" w:cs="宋体"/>
                <w:color w:val="auto"/>
                <w:sz w:val="24"/>
                <w:szCs w:val="24"/>
                <w:highlight w:val="none"/>
              </w:rPr>
            </w:pPr>
          </w:p>
        </w:tc>
        <w:tc>
          <w:tcPr>
            <w:tcW w:w="538" w:type="pct"/>
            <w:vMerge w:val="continue"/>
            <w:noWrap w:val="0"/>
            <w:vAlign w:val="center"/>
          </w:tcPr>
          <w:p w14:paraId="4F4A8293">
            <w:pPr>
              <w:widowControl/>
              <w:spacing w:line="240" w:lineRule="auto"/>
              <w:jc w:val="center"/>
              <w:rPr>
                <w:rFonts w:hint="eastAsia" w:ascii="宋体" w:hAnsi="宋体" w:eastAsia="宋体" w:cs="宋体"/>
                <w:color w:val="auto"/>
                <w:sz w:val="24"/>
                <w:szCs w:val="24"/>
                <w:highlight w:val="none"/>
              </w:rPr>
            </w:pPr>
          </w:p>
        </w:tc>
        <w:tc>
          <w:tcPr>
            <w:tcW w:w="387" w:type="pct"/>
            <w:vMerge w:val="continue"/>
            <w:noWrap w:val="0"/>
            <w:vAlign w:val="center"/>
          </w:tcPr>
          <w:p w14:paraId="0B6205A7">
            <w:pPr>
              <w:spacing w:line="240" w:lineRule="auto"/>
              <w:rPr>
                <w:rFonts w:hint="eastAsia" w:ascii="宋体" w:hAnsi="宋体" w:eastAsia="宋体" w:cs="宋体"/>
                <w:color w:val="auto"/>
                <w:sz w:val="24"/>
                <w:szCs w:val="24"/>
                <w:highlight w:val="none"/>
              </w:rPr>
            </w:pPr>
          </w:p>
        </w:tc>
        <w:tc>
          <w:tcPr>
            <w:tcW w:w="619" w:type="pct"/>
            <w:vMerge w:val="continue"/>
            <w:noWrap w:val="0"/>
            <w:vAlign w:val="center"/>
          </w:tcPr>
          <w:p w14:paraId="30236F71">
            <w:pPr>
              <w:spacing w:line="240" w:lineRule="auto"/>
              <w:rPr>
                <w:rFonts w:hint="eastAsia" w:ascii="宋体" w:hAnsi="宋体" w:eastAsia="宋体" w:cs="宋体"/>
                <w:color w:val="auto"/>
                <w:sz w:val="24"/>
                <w:szCs w:val="24"/>
                <w:highlight w:val="none"/>
              </w:rPr>
            </w:pPr>
          </w:p>
        </w:tc>
        <w:tc>
          <w:tcPr>
            <w:tcW w:w="2979" w:type="pct"/>
            <w:noWrap w:val="0"/>
            <w:vAlign w:val="center"/>
          </w:tcPr>
          <w:p w14:paraId="07434A8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得3.0-3.5分。</w:t>
            </w:r>
          </w:p>
        </w:tc>
      </w:tr>
      <w:tr w14:paraId="7613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75" w:type="pct"/>
            <w:noWrap w:val="0"/>
            <w:vAlign w:val="center"/>
          </w:tcPr>
          <w:p w14:paraId="3F6361F5">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2.2.4(4)</w:t>
            </w:r>
            <w:r>
              <w:rPr>
                <w:rFonts w:hint="eastAsia" w:ascii="宋体" w:hAnsi="宋体" w:eastAsia="宋体" w:cs="宋体"/>
                <w:color w:val="auto"/>
                <w:sz w:val="24"/>
                <w:szCs w:val="24"/>
                <w:highlight w:val="none"/>
              </w:rPr>
              <w:t xml:space="preserve"> （明标部分）</w:t>
            </w:r>
          </w:p>
        </w:tc>
        <w:tc>
          <w:tcPr>
            <w:tcW w:w="538" w:type="pct"/>
            <w:noWrap w:val="0"/>
            <w:vAlign w:val="center"/>
          </w:tcPr>
          <w:p w14:paraId="0401ED09">
            <w:pPr>
              <w:spacing w:line="24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评标价</w:t>
            </w:r>
          </w:p>
        </w:tc>
        <w:tc>
          <w:tcPr>
            <w:tcW w:w="387" w:type="pct"/>
            <w:noWrap w:val="0"/>
            <w:vAlign w:val="center"/>
          </w:tcPr>
          <w:p w14:paraId="146CB0DF">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SJ1</w:t>
            </w:r>
          </w:p>
          <w:p w14:paraId="57AA9D9D">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SJ2</w:t>
            </w:r>
          </w:p>
        </w:tc>
        <w:tc>
          <w:tcPr>
            <w:tcW w:w="619" w:type="pct"/>
            <w:noWrap w:val="0"/>
            <w:vAlign w:val="center"/>
          </w:tcPr>
          <w:p w14:paraId="7CE790C1">
            <w:pPr>
              <w:widowControl/>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30分</w:t>
            </w:r>
          </w:p>
        </w:tc>
        <w:tc>
          <w:tcPr>
            <w:tcW w:w="2979" w:type="pct"/>
            <w:noWrap w:val="0"/>
            <w:vAlign w:val="center"/>
          </w:tcPr>
          <w:p w14:paraId="0DBB496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评标</w:t>
            </w:r>
            <w:r>
              <w:rPr>
                <w:rFonts w:hint="eastAsia" w:ascii="宋体" w:hAnsi="宋体" w:eastAsia="宋体" w:cs="宋体"/>
                <w:color w:val="auto"/>
                <w:sz w:val="24"/>
                <w:szCs w:val="24"/>
                <w:highlight w:val="none"/>
              </w:rPr>
              <w:t>价得分计算公式：</w:t>
            </w:r>
          </w:p>
          <w:p w14:paraId="180D946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（1）如果投标人的</w:t>
            </w:r>
            <w:r>
              <w:rPr>
                <w:rFonts w:hint="eastAsia" w:ascii="宋体" w:hAnsi="宋体" w:eastAsia="宋体" w:cs="宋体"/>
                <w:color w:val="auto"/>
                <w:kern w:val="0"/>
                <w:sz w:val="24"/>
                <w:szCs w:val="24"/>
                <w:highlight w:val="none"/>
                <w:lang w:bidi="ar"/>
              </w:rPr>
              <w:t>评标</w:t>
            </w:r>
            <w:r>
              <w:rPr>
                <w:rFonts w:hint="eastAsia" w:ascii="宋体" w:hAnsi="宋体" w:eastAsia="宋体" w:cs="宋体"/>
                <w:color w:val="auto"/>
                <w:sz w:val="24"/>
                <w:szCs w:val="24"/>
                <w:highlight w:val="none"/>
              </w:rPr>
              <w:t>价＞评标基准价，则投</w:t>
            </w:r>
            <w:r>
              <w:rPr>
                <w:rFonts w:hint="eastAsia" w:ascii="宋体" w:hAnsi="宋体" w:eastAsia="宋体" w:cs="宋体"/>
                <w:color w:val="auto"/>
                <w:kern w:val="0"/>
                <w:sz w:val="24"/>
                <w:szCs w:val="24"/>
                <w:highlight w:val="none"/>
                <w:lang w:bidi="ar"/>
              </w:rPr>
              <w:t>评标</w:t>
            </w:r>
            <w:r>
              <w:rPr>
                <w:rFonts w:hint="eastAsia" w:ascii="宋体" w:hAnsi="宋体" w:eastAsia="宋体" w:cs="宋体"/>
                <w:color w:val="auto"/>
                <w:sz w:val="24"/>
                <w:szCs w:val="24"/>
                <w:highlight w:val="none"/>
              </w:rPr>
              <w:t>得分=F-偏差率×100×E1；</w:t>
            </w:r>
          </w:p>
          <w:p w14:paraId="0A12283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（2）如果投标人的</w:t>
            </w:r>
            <w:r>
              <w:rPr>
                <w:rFonts w:hint="eastAsia" w:ascii="宋体" w:hAnsi="宋体" w:eastAsia="宋体" w:cs="宋体"/>
                <w:color w:val="auto"/>
                <w:kern w:val="0"/>
                <w:sz w:val="24"/>
                <w:szCs w:val="24"/>
                <w:highlight w:val="none"/>
                <w:lang w:bidi="ar"/>
              </w:rPr>
              <w:t>评标</w:t>
            </w:r>
            <w:r>
              <w:rPr>
                <w:rFonts w:hint="eastAsia" w:ascii="宋体" w:hAnsi="宋体" w:eastAsia="宋体" w:cs="宋体"/>
                <w:color w:val="auto"/>
                <w:sz w:val="24"/>
                <w:szCs w:val="24"/>
                <w:highlight w:val="none"/>
              </w:rPr>
              <w:t>价≤评标基准价，则</w:t>
            </w:r>
            <w:r>
              <w:rPr>
                <w:rFonts w:hint="eastAsia" w:ascii="宋体" w:hAnsi="宋体" w:eastAsia="宋体" w:cs="宋体"/>
                <w:color w:val="auto"/>
                <w:kern w:val="0"/>
                <w:sz w:val="24"/>
                <w:szCs w:val="24"/>
                <w:highlight w:val="none"/>
                <w:lang w:bidi="ar"/>
              </w:rPr>
              <w:t>评标</w:t>
            </w:r>
            <w:r>
              <w:rPr>
                <w:rFonts w:hint="eastAsia" w:ascii="宋体" w:hAnsi="宋体" w:eastAsia="宋体" w:cs="宋体"/>
                <w:color w:val="auto"/>
                <w:sz w:val="24"/>
                <w:szCs w:val="24"/>
                <w:highlight w:val="none"/>
              </w:rPr>
              <w:t>价得分=F+偏差率×100×E2。</w:t>
            </w:r>
          </w:p>
          <w:p w14:paraId="6553BE4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其中，F=30；E1=0.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；E2=0.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；评标价最低得分为0分。</w:t>
            </w:r>
          </w:p>
          <w:p w14:paraId="61C17D9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评标价得分保留2位小数。第三位小数四舍五入。</w:t>
            </w:r>
          </w:p>
        </w:tc>
      </w:tr>
    </w:tbl>
    <w:p w14:paraId="665C57D2">
      <w:pP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3017CBF4">
      <w:pP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第2.2.4（1）项各评委打分保留1位小数，投标人该项得分以各评委打分平均值计算所得，保留两位小数，第三位小数四舍五入；</w:t>
      </w:r>
    </w:p>
    <w:p w14:paraId="3E5FC4CE">
      <w:pPr>
        <w:pStyle w:val="13"/>
        <w:spacing w:line="240" w:lineRule="auto"/>
        <w:jc w:val="both"/>
        <w:rPr>
          <w:rFonts w:hint="eastAsia" w:ascii="宋体" w:hAnsi="宋体" w:eastAsia="宋体" w:cs="宋体"/>
          <w:b w:val="0"/>
          <w:color w:val="auto"/>
          <w:kern w:val="0"/>
          <w:sz w:val="24"/>
          <w:szCs w:val="24"/>
          <w:highlight w:val="none"/>
          <w:lang w:val="zh-CN"/>
        </w:rPr>
      </w:pPr>
      <w:r>
        <w:rPr>
          <w:rFonts w:hint="eastAsia" w:ascii="宋体" w:hAnsi="宋体" w:eastAsia="宋体" w:cs="宋体"/>
          <w:b w:val="0"/>
          <w:color w:val="auto"/>
          <w:kern w:val="0"/>
          <w:sz w:val="24"/>
          <w:szCs w:val="24"/>
          <w:highlight w:val="none"/>
          <w:lang w:val="zh-CN"/>
        </w:rPr>
        <w:t>2</w:t>
      </w:r>
      <w:r>
        <w:rPr>
          <w:rFonts w:hint="eastAsia" w:ascii="宋体" w:hAnsi="宋体" w:eastAsia="宋体" w:cs="宋体"/>
          <w:b w:val="0"/>
          <w:color w:val="auto"/>
          <w:kern w:val="0"/>
          <w:sz w:val="24"/>
          <w:szCs w:val="24"/>
          <w:highlight w:val="none"/>
        </w:rPr>
        <w:t>.</w:t>
      </w:r>
      <w:r>
        <w:rPr>
          <w:rFonts w:hint="eastAsia" w:ascii="宋体" w:hAnsi="宋体" w:eastAsia="宋体" w:cs="宋体"/>
          <w:b w:val="0"/>
          <w:color w:val="auto"/>
          <w:kern w:val="0"/>
          <w:sz w:val="24"/>
          <w:szCs w:val="24"/>
          <w:highlight w:val="none"/>
          <w:lang w:val="zh-CN"/>
        </w:rPr>
        <w:t>第2.2.4（1）项评标委员会成员对某一项评分因素的评分低于权重分值 60%的，应在评标报告中作出说明。评审因素缺项则该项得0分。</w:t>
      </w:r>
      <w:bookmarkEnd w:id="25"/>
    </w:p>
    <w:p w14:paraId="128DD9EE">
      <w:pPr>
        <w:pStyle w:val="13"/>
        <w:spacing w:line="360" w:lineRule="auto"/>
        <w:jc w:val="both"/>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br w:type="page"/>
      </w:r>
      <w:r>
        <w:rPr>
          <w:rFonts w:hint="eastAsia" w:ascii="宋体" w:hAnsi="宋体" w:cs="宋体"/>
          <w:b/>
          <w:bCs/>
          <w:color w:val="auto"/>
          <w:kern w:val="0"/>
          <w:sz w:val="28"/>
          <w:szCs w:val="28"/>
          <w:highlight w:val="none"/>
          <w:lang w:val="zh-CN"/>
        </w:rPr>
        <w:t>附件4：审计内容及标段划分</w:t>
      </w:r>
    </w:p>
    <w:p w14:paraId="5A52EF4E">
      <w:pPr>
        <w:pStyle w:val="13"/>
        <w:spacing w:line="360" w:lineRule="auto"/>
        <w:jc w:val="both"/>
        <w:rPr>
          <w:rFonts w:hint="eastAsia" w:ascii="宋体" w:hAnsi="宋体" w:cs="宋体"/>
          <w:b/>
          <w:bCs/>
          <w:color w:val="auto"/>
          <w:kern w:val="0"/>
          <w:sz w:val="28"/>
          <w:szCs w:val="28"/>
          <w:highlight w:val="none"/>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371"/>
      </w:tblGrid>
      <w:tr w14:paraId="352F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717" w:type="dxa"/>
            <w:noWrap w:val="0"/>
            <w:vAlign w:val="center"/>
          </w:tcPr>
          <w:p w14:paraId="7EBC149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标段号</w:t>
            </w:r>
          </w:p>
        </w:tc>
        <w:tc>
          <w:tcPr>
            <w:tcW w:w="7371" w:type="dxa"/>
            <w:noWrap w:val="0"/>
            <w:vAlign w:val="center"/>
          </w:tcPr>
          <w:p w14:paraId="40674515">
            <w:pPr>
              <w:spacing w:line="460" w:lineRule="exact"/>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主要工作内容</w:t>
            </w:r>
          </w:p>
        </w:tc>
      </w:tr>
      <w:tr w14:paraId="4097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17" w:type="dxa"/>
            <w:noWrap w:val="0"/>
            <w:vAlign w:val="center"/>
          </w:tcPr>
          <w:p w14:paraId="5C444668">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SJ1（包括广平互通、曲周互通、滏阳互通）</w:t>
            </w:r>
          </w:p>
        </w:tc>
        <w:tc>
          <w:tcPr>
            <w:tcW w:w="7371" w:type="dxa"/>
            <w:noWrap w:val="0"/>
            <w:vAlign w:val="center"/>
          </w:tcPr>
          <w:p w14:paraId="5C759E4D">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负责对项目开展全过程跟踪审计，出具前期审计报告、建设期审计报告（半年报）、工程结算审核报告、竣工财务决算审计报告，并按发包人要求出具其他专项审计报告。</w:t>
            </w:r>
          </w:p>
        </w:tc>
      </w:tr>
      <w:tr w14:paraId="530C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717" w:type="dxa"/>
            <w:noWrap w:val="0"/>
            <w:vAlign w:val="center"/>
          </w:tcPr>
          <w:p w14:paraId="43CED98E">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SJ2（包括永年北互通、肥乡西互通、山海关互通）</w:t>
            </w:r>
          </w:p>
        </w:tc>
        <w:tc>
          <w:tcPr>
            <w:tcW w:w="7371" w:type="dxa"/>
            <w:noWrap w:val="0"/>
            <w:vAlign w:val="center"/>
          </w:tcPr>
          <w:p w14:paraId="061EF68E">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负责对项目开展全过程跟踪审计，出具前期审计报告、建设期审计报告（半年报）、工程结算审核报告、竣工财务决算审计报告，并按发包人要求出具其他专项审计报告。</w:t>
            </w:r>
          </w:p>
        </w:tc>
      </w:tr>
    </w:tbl>
    <w:p w14:paraId="26CBE7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E72E7"/>
    <w:rsid w:val="02BE72E7"/>
    <w:rsid w:val="39C20ECF"/>
    <w:rsid w:val="3F2A5D03"/>
    <w:rsid w:val="48B74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1"/>
    <w:basedOn w:val="1"/>
    <w:next w:val="1"/>
    <w:qFormat/>
    <w:uiPriority w:val="0"/>
    <w:pPr>
      <w:keepNext/>
      <w:spacing w:line="300" w:lineRule="auto"/>
      <w:jc w:val="center"/>
      <w:outlineLvl w:val="0"/>
    </w:pPr>
    <w:rPr>
      <w:rFonts w:ascii="标宋体"/>
      <w:kern w:val="2"/>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kern w:val="2"/>
      <w:szCs w:val="24"/>
    </w:rPr>
  </w:style>
  <w:style w:type="paragraph" w:styleId="5">
    <w:name w:val="Body Text 2"/>
    <w:basedOn w:val="1"/>
    <w:qFormat/>
    <w:uiPriority w:val="99"/>
    <w:rPr>
      <w:rFonts w:ascii="宋体" w:hAnsi="宋体"/>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character" w:customStyle="1" w:styleId="10">
    <w:name w:val="目录4 Char"/>
    <w:qFormat/>
    <w:uiPriority w:val="0"/>
    <w:rPr>
      <w:rFonts w:ascii="黑体" w:eastAsia="黑体"/>
      <w:kern w:val="2"/>
      <w:sz w:val="24"/>
      <w:szCs w:val="24"/>
      <w:lang w:val="en-US" w:eastAsia="zh-CN" w:bidi="ar-SA"/>
    </w:rPr>
  </w:style>
  <w:style w:type="paragraph" w:customStyle="1" w:styleId="11">
    <w:name w:val="样式54"/>
    <w:basedOn w:val="3"/>
    <w:qFormat/>
    <w:uiPriority w:val="0"/>
    <w:pPr>
      <w:spacing w:before="0" w:after="0" w:line="360" w:lineRule="auto"/>
      <w:jc w:val="center"/>
    </w:pPr>
  </w:style>
  <w:style w:type="character" w:customStyle="1" w:styleId="12">
    <w:name w:val="font01"/>
    <w:qFormat/>
    <w:uiPriority w:val="0"/>
    <w:rPr>
      <w:rFonts w:ascii="宋体" w:hAnsi="宋体" w:eastAsia="宋体" w:cs="宋体"/>
      <w:color w:val="000000"/>
      <w:sz w:val="18"/>
      <w:szCs w:val="18"/>
      <w:u w:val="none"/>
    </w:rPr>
  </w:style>
  <w:style w:type="paragraph" w:customStyle="1" w:styleId="13">
    <w:name w:val="样式53"/>
    <w:basedOn w:val="2"/>
    <w:qFormat/>
    <w:uiPriority w:val="0"/>
    <w:rPr>
      <w:b/>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10917</Words>
  <Characters>11857</Characters>
  <Lines>0</Lines>
  <Paragraphs>0</Paragraphs>
  <TotalTime>4</TotalTime>
  <ScaleCrop>false</ScaleCrop>
  <LinksUpToDate>false</LinksUpToDate>
  <CharactersWithSpaces>11960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2025-02-25T00:58:00Z</dcterms:created>
  <dc:creator>宿子轩</dc:creator>
  <cp:lastModifiedBy>李娜</cp:lastModifiedBy>
  <dcterms:modified xsi:type="dcterms:W3CDTF">2025-02-25T04:39:32Z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0B0F90D9464D4BCC8F0DB075CA454F80_11</vt:lpwstr>
  </property>
  <property fmtid="{D5CDD505-2E9C-101B-9397-08002B2CF9AE}" pid="4" name="KSOTemplateDocerSaveRecord">
    <vt:lpwstr>eyJoZGlkIjoiOWYyZDYxNTJjZmI2NmVkYTMyOWVjMGFiZjEzZGM5NjgiLCJ1c2VySWQiOiIxNTI1NDExOTAzIn0=</vt:lpwstr>
  </property>
</Properties>
</file>