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sz w:val="24"/>
          <w:szCs w:val="24"/>
          <w:highlight w:val="none"/>
        </w:rPr>
      </w:pPr>
      <w:bookmarkStart w:id="9" w:name="_GoBack"/>
      <w:bookmarkEnd w:id="9"/>
      <w:bookmarkStart w:id="0" w:name="_Toc141780407"/>
      <w:bookmarkStart w:id="1" w:name="OLE_LINK3"/>
      <w:bookmarkStart w:id="2" w:name="OLE_LINK1"/>
      <w:r>
        <w:rPr>
          <w:rFonts w:hint="eastAsia" w:ascii="宋体" w:hAnsi="宋体" w:eastAsia="宋体" w:cs="宋体"/>
          <w:color w:val="auto"/>
          <w:sz w:val="24"/>
          <w:szCs w:val="24"/>
          <w:highlight w:val="none"/>
        </w:rPr>
        <w:t>附件2：评标办法</w:t>
      </w:r>
      <w:bookmarkEnd w:id="0"/>
    </w:p>
    <w:p>
      <w:pPr>
        <w:pStyle w:val="3"/>
        <w:snapToGrid w:val="0"/>
        <w:spacing w:before="120" w:after="120" w:line="240" w:lineRule="auto"/>
        <w:jc w:val="center"/>
        <w:rPr>
          <w:rFonts w:hint="eastAsia" w:ascii="宋体" w:hAnsi="宋体" w:eastAsia="宋体" w:cs="宋体"/>
          <w:color w:val="auto"/>
          <w:sz w:val="24"/>
          <w:szCs w:val="24"/>
          <w:highlight w:val="none"/>
        </w:rPr>
      </w:pPr>
      <w:bookmarkStart w:id="3" w:name="_Toc138793770"/>
      <w:bookmarkStart w:id="4" w:name="_Toc66337244"/>
      <w:bookmarkStart w:id="5" w:name="_Toc65857110"/>
      <w:bookmarkStart w:id="6" w:name="_Toc66984522"/>
      <w:bookmarkStart w:id="7" w:name="_Toc65820978"/>
      <w:bookmarkStart w:id="8" w:name="_Toc141780408"/>
      <w:r>
        <w:rPr>
          <w:rFonts w:hint="eastAsia" w:ascii="宋体" w:hAnsi="宋体" w:eastAsia="宋体" w:cs="宋体"/>
          <w:color w:val="auto"/>
          <w:sz w:val="24"/>
          <w:szCs w:val="24"/>
          <w:highlight w:val="none"/>
        </w:rPr>
        <w:t>评标办法前附表</w:t>
      </w:r>
      <w:bookmarkEnd w:id="3"/>
      <w:bookmarkEnd w:id="4"/>
      <w:bookmarkEnd w:id="5"/>
      <w:bookmarkEnd w:id="6"/>
      <w:bookmarkEnd w:id="7"/>
      <w:bookmarkEnd w:id="8"/>
    </w:p>
    <w:p>
      <w:pPr>
        <w:jc w:val="right"/>
        <w:rPr>
          <w:rFonts w:hint="eastAsia" w:ascii="宋体" w:hAnsi="宋体" w:eastAsia="宋体" w:cs="宋体"/>
          <w:color w:val="auto"/>
          <w:highlight w:val="none"/>
        </w:rPr>
      </w:pPr>
      <w:r>
        <w:rPr>
          <w:rFonts w:hint="eastAsia" w:ascii="宋体" w:hAnsi="宋体" w:eastAsia="宋体" w:cs="宋体"/>
          <w:color w:val="auto"/>
          <w:highlight w:val="none"/>
        </w:rPr>
        <w:t>续上表</w:t>
      </w:r>
    </w:p>
    <w:bookmarkEnd w:id="1"/>
    <w:bookmarkEnd w:id="2"/>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2"/>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2"/>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评标委员会对投标人</w:t>
            </w:r>
            <w:r>
              <w:rPr>
                <w:rFonts w:hint="eastAsia" w:ascii="宋体" w:hAnsi="宋体" w:cs="宋体"/>
                <w:sz w:val="21"/>
                <w:szCs w:val="21"/>
                <w:highlight w:val="none"/>
                <w:lang w:val="en-US" w:eastAsia="zh-CN"/>
              </w:rPr>
              <w:t>以下</w:t>
            </w:r>
            <w:r>
              <w:rPr>
                <w:rFonts w:hint="eastAsia" w:ascii="宋体" w:hAnsi="宋体" w:eastAsia="宋体" w:cs="宋体"/>
                <w:sz w:val="21"/>
                <w:szCs w:val="21"/>
                <w:highlight w:val="none"/>
              </w:rPr>
              <w:t>信息进行网上查询</w:t>
            </w:r>
            <w:r>
              <w:rPr>
                <w:rFonts w:hint="eastAsia" w:ascii="宋体" w:hAnsi="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w:t>
            </w:r>
            <w:r>
              <w:rPr>
                <w:rFonts w:hint="eastAsia" w:ascii="宋体" w:hAnsi="宋体" w:cs="宋体"/>
                <w:color w:val="auto"/>
                <w:sz w:val="21"/>
                <w:szCs w:val="21"/>
                <w:highlight w:val="none"/>
                <w:lang w:val="en-US" w:eastAsia="zh-CN"/>
              </w:rPr>
              <w:t>、不适用于事业单位</w:t>
            </w:r>
            <w:r>
              <w:rPr>
                <w:rFonts w:hint="eastAsia" w:ascii="宋体" w:hAnsi="宋体" w:eastAsia="宋体" w:cs="宋体"/>
                <w:color w:val="auto"/>
                <w:sz w:val="21"/>
                <w:szCs w:val="21"/>
                <w:highlight w:val="none"/>
              </w:rPr>
              <w:t>）或“信用中国”网站中失信被执行人名单、经营异常名录、重大税收违法失信主体名单、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szCs w:val="21"/>
                <w:highlight w:val="none"/>
              </w:rPr>
              <w:t>若投标文件载明的信息与上述网站发布的信息不符，使得投标人的资格条件不符合招标文件规定的，评标委员会应否决其投标。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882"/>
        <w:gridCol w:w="5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122" w:type="dxa"/>
            <w:gridSpan w:val="5"/>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530"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ind w:left="-40" w:leftChars="-19" w:right="-31" w:rightChars="-15" w:firstLine="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Style w:val="11"/>
                <w:rFonts w:hint="eastAsia" w:ascii="宋体" w:hAnsi="宋体" w:eastAsia="宋体" w:cs="宋体"/>
                <w:color w:val="auto"/>
                <w:sz w:val="21"/>
                <w:szCs w:val="21"/>
                <w:highlight w:val="none"/>
              </w:rPr>
              <w:t>各评分因素细分项</w:t>
            </w:r>
          </w:p>
        </w:tc>
        <w:tc>
          <w:tcPr>
            <w:tcW w:w="882" w:type="dxa"/>
            <w:tcBorders>
              <w:left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530"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实施方案</w:t>
            </w:r>
          </w:p>
        </w:tc>
        <w:tc>
          <w:tcPr>
            <w:tcW w:w="624"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35</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工作</w:t>
            </w:r>
            <w:r>
              <w:rPr>
                <w:rFonts w:hint="eastAsia" w:ascii="宋体" w:hAnsi="宋体" w:eastAsia="宋体" w:cs="宋体"/>
                <w:sz w:val="21"/>
                <w:szCs w:val="21"/>
                <w:highlight w:val="none"/>
              </w:rPr>
              <w:t>范围、内容、步骤和程序</w:t>
            </w:r>
          </w:p>
        </w:tc>
        <w:tc>
          <w:tcPr>
            <w:tcW w:w="882" w:type="dxa"/>
            <w:vMerge w:val="restart"/>
            <w:noWrap w:val="0"/>
            <w:vAlign w:val="center"/>
          </w:tcPr>
          <w:p>
            <w:pPr>
              <w:pStyle w:val="5"/>
              <w:spacing w:line="160" w:lineRule="atLeast"/>
              <w:ind w:leftChars="-48" w:right="-31" w:rightChars="-15" w:hanging="134" w:hangingChars="64"/>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p>
            <w:pPr>
              <w:pStyle w:val="5"/>
              <w:spacing w:line="160" w:lineRule="atLeast"/>
              <w:ind w:leftChars="-48" w:right="-31" w:rightChars="-15" w:hanging="134" w:hangingChars="6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w:t>
            </w:r>
          </w:p>
        </w:tc>
        <w:tc>
          <w:tcPr>
            <w:tcW w:w="5530" w:type="dxa"/>
            <w:noWrap w:val="0"/>
            <w:vAlign w:val="center"/>
          </w:tcPr>
          <w:p>
            <w:pPr>
              <w:pStyle w:val="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描述一般，步骤、程序、可行性一般，得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ind w:leftChars="-48" w:right="-31" w:rightChars="-15" w:hanging="134" w:hangingChars="64"/>
              <w:jc w:val="center"/>
              <w:rPr>
                <w:rFonts w:hint="eastAsia" w:ascii="宋体" w:hAnsi="宋体" w:eastAsia="宋体" w:cs="宋体"/>
                <w:sz w:val="21"/>
                <w:szCs w:val="21"/>
                <w:highlight w:val="none"/>
              </w:rPr>
            </w:pPr>
          </w:p>
        </w:tc>
        <w:tc>
          <w:tcPr>
            <w:tcW w:w="5530" w:type="dxa"/>
            <w:noWrap w:val="0"/>
            <w:vAlign w:val="center"/>
          </w:tcPr>
          <w:p>
            <w:pPr>
              <w:pStyle w:val="5"/>
              <w:jc w:val="left"/>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描述较准确、步骤和程序较全面、具备一定可行性</w:t>
            </w:r>
            <w:r>
              <w:rPr>
                <w:rFonts w:hint="eastAsia" w:ascii="宋体" w:hAnsi="宋体" w:eastAsia="宋体" w:cs="宋体"/>
                <w:spacing w:val="-4"/>
                <w:sz w:val="21"/>
                <w:szCs w:val="21"/>
                <w:highlight w:val="none"/>
              </w:rPr>
              <w:t>，得</w:t>
            </w:r>
            <w:r>
              <w:rPr>
                <w:rFonts w:hint="eastAsia" w:ascii="宋体" w:hAnsi="宋体" w:eastAsia="宋体" w:cs="宋体"/>
                <w:spacing w:val="-4"/>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ind w:leftChars="-48" w:right="-31" w:rightChars="-15" w:hanging="134" w:hangingChars="64"/>
              <w:jc w:val="center"/>
              <w:rPr>
                <w:rFonts w:hint="eastAsia" w:ascii="宋体" w:hAnsi="宋体" w:eastAsia="宋体" w:cs="宋体"/>
                <w:sz w:val="21"/>
                <w:szCs w:val="21"/>
                <w:highlight w:val="none"/>
              </w:rPr>
            </w:pPr>
          </w:p>
        </w:tc>
        <w:tc>
          <w:tcPr>
            <w:tcW w:w="5530" w:type="dxa"/>
            <w:noWrap w:val="0"/>
            <w:vAlign w:val="center"/>
          </w:tcPr>
          <w:p>
            <w:pPr>
              <w:pStyle w:val="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描述准确、步骤和程序全面、具体、可行，得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重点及难点分析</w:t>
            </w:r>
          </w:p>
        </w:tc>
        <w:tc>
          <w:tcPr>
            <w:tcW w:w="882" w:type="dxa"/>
            <w:vMerge w:val="restart"/>
            <w:noWrap w:val="0"/>
            <w:vAlign w:val="center"/>
          </w:tcPr>
          <w:p>
            <w:pPr>
              <w:pStyle w:val="5"/>
              <w:spacing w:line="160" w:lineRule="atLeast"/>
              <w:ind w:left="33" w:leftChars="-48" w:right="-31" w:rightChars="-15" w:hanging="134" w:hangingChars="64"/>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530" w:type="dxa"/>
            <w:noWrap w:val="0"/>
            <w:vAlign w:val="center"/>
          </w:tcPr>
          <w:p>
            <w:pPr>
              <w:pStyle w:val="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分析较全面、措施较得力，得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分析透彻、措施具体得力，得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restart"/>
            <w:noWrap w:val="0"/>
            <w:vAlign w:val="center"/>
          </w:tcPr>
          <w:p>
            <w:pPr>
              <w:pStyle w:val="5"/>
              <w:spacing w:line="160" w:lineRule="atLeast"/>
              <w:ind w:right="-59" w:rightChars="-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安全</w:t>
            </w:r>
            <w:r>
              <w:rPr>
                <w:rFonts w:hint="eastAsia" w:ascii="宋体" w:hAnsi="宋体" w:eastAsia="宋体" w:cs="宋体"/>
                <w:sz w:val="21"/>
                <w:szCs w:val="21"/>
                <w:highlight w:val="none"/>
              </w:rPr>
              <w:t>控制方法及措施</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拟采取的控制方法及措施符合法律法规要求，针对性、可操作性较强，得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拟采取的控制方法及措施符合法律法规要求，针对性、可操作性强，得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工作进度安排</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交通组织方案</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交通组织方案一般，得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交通组织方案较合理可行、较完善，得</w:t>
            </w: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1134"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pStyle w:val="5"/>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交通组织方案合理可行、完善、可实施性强，得</w:t>
            </w: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1134"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后续服务的安排及保证措施</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530" w:type="dxa"/>
            <w:noWrap w:val="0"/>
            <w:vAlign w:val="center"/>
          </w:tcPr>
          <w:p>
            <w:pPr>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rPr>
                <w:rFonts w:hint="eastAsia" w:ascii="宋体" w:hAnsi="宋体" w:eastAsia="宋体" w:cs="宋体"/>
                <w:sz w:val="21"/>
                <w:szCs w:val="21"/>
                <w:highlight w:val="none"/>
              </w:rPr>
            </w:pPr>
          </w:p>
        </w:tc>
        <w:tc>
          <w:tcPr>
            <w:tcW w:w="1134"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882"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noWrap w:val="0"/>
            <w:vAlign w:val="center"/>
          </w:tcPr>
          <w:p>
            <w:pPr>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top"/>
          </w:tcPr>
          <w:p>
            <w:pPr>
              <w:pStyle w:val="5"/>
              <w:spacing w:line="160" w:lineRule="atLeast"/>
              <w:rPr>
                <w:rFonts w:hint="eastAsia" w:ascii="宋体" w:hAnsi="宋体" w:eastAsia="宋体" w:cs="宋体"/>
                <w:sz w:val="21"/>
                <w:szCs w:val="21"/>
                <w:highlight w:val="none"/>
              </w:rPr>
            </w:pPr>
          </w:p>
        </w:tc>
        <w:tc>
          <w:tcPr>
            <w:tcW w:w="624" w:type="dxa"/>
            <w:vMerge w:val="continue"/>
            <w:noWrap w:val="0"/>
            <w:vAlign w:val="top"/>
          </w:tcPr>
          <w:p>
            <w:pPr>
              <w:pStyle w:val="5"/>
              <w:spacing w:line="160" w:lineRule="atLeast"/>
              <w:rPr>
                <w:rFonts w:hint="eastAsia" w:ascii="宋体" w:hAnsi="宋体" w:eastAsia="宋体" w:cs="宋体"/>
                <w:sz w:val="21"/>
                <w:szCs w:val="21"/>
                <w:highlight w:val="none"/>
              </w:rPr>
            </w:pPr>
          </w:p>
        </w:tc>
        <w:tc>
          <w:tcPr>
            <w:tcW w:w="1134" w:type="dxa"/>
            <w:vMerge w:val="continue"/>
            <w:tcBorders>
              <w:bottom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p>
        </w:tc>
        <w:tc>
          <w:tcPr>
            <w:tcW w:w="882" w:type="dxa"/>
            <w:vMerge w:val="continue"/>
            <w:tcBorders>
              <w:bottom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p>
        </w:tc>
        <w:tc>
          <w:tcPr>
            <w:tcW w:w="5530" w:type="dxa"/>
            <w:tcBorders>
              <w:bottom w:val="single" w:color="auto" w:sz="4" w:space="0"/>
            </w:tcBorders>
            <w:noWrap w:val="0"/>
            <w:vAlign w:val="center"/>
          </w:tcPr>
          <w:p>
            <w:pPr>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restart"/>
            <w:tcBorders>
              <w:top w:val="nil"/>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vMerge w:val="restart"/>
            <w:tcBorders>
              <w:top w:val="nil"/>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vMerge w:val="restart"/>
            <w:tcBorders>
              <w:top w:val="nil"/>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1134" w:type="dxa"/>
            <w:vMerge w:val="restart"/>
            <w:noWrap w:val="0"/>
            <w:vAlign w:val="center"/>
          </w:tcPr>
          <w:p>
            <w:pPr>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项目负责人</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530" w:type="dxa"/>
            <w:tcBorders>
              <w:bottom w:val="single" w:color="auto" w:sz="4" w:space="0"/>
            </w:tcBorders>
            <w:noWrap w:val="0"/>
            <w:vAlign w:val="center"/>
          </w:tcPr>
          <w:p>
            <w:pPr>
              <w:pStyle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中的项目负责人要求的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noWrap w:val="0"/>
            <w:vAlign w:val="center"/>
          </w:tcPr>
          <w:p>
            <w:pPr>
              <w:pStyle w:val="2"/>
              <w:rPr>
                <w:rFonts w:hint="eastAsia" w:ascii="宋体" w:hAnsi="宋体" w:eastAsia="宋体" w:cs="宋体"/>
                <w:sz w:val="21"/>
                <w:szCs w:val="21"/>
              </w:rPr>
            </w:pPr>
          </w:p>
        </w:tc>
        <w:tc>
          <w:tcPr>
            <w:tcW w:w="741" w:type="dxa"/>
            <w:vMerge w:val="continue"/>
            <w:noWrap w:val="0"/>
            <w:vAlign w:val="center"/>
          </w:tcPr>
          <w:p>
            <w:pPr>
              <w:pStyle w:val="2"/>
              <w:rPr>
                <w:rFonts w:hint="eastAsia" w:ascii="宋体" w:hAnsi="宋体" w:eastAsia="宋体" w:cs="宋体"/>
                <w:sz w:val="21"/>
                <w:szCs w:val="21"/>
              </w:rPr>
            </w:pPr>
          </w:p>
        </w:tc>
        <w:tc>
          <w:tcPr>
            <w:tcW w:w="624" w:type="dxa"/>
            <w:vMerge w:val="continue"/>
            <w:noWrap w:val="0"/>
            <w:vAlign w:val="center"/>
          </w:tcPr>
          <w:p>
            <w:pPr>
              <w:pStyle w:val="2"/>
              <w:rPr>
                <w:rFonts w:hint="eastAsia" w:ascii="宋体" w:hAnsi="宋体" w:eastAsia="宋体" w:cs="宋体"/>
                <w:sz w:val="21"/>
                <w:szCs w:val="21"/>
              </w:rPr>
            </w:pPr>
          </w:p>
        </w:tc>
        <w:tc>
          <w:tcPr>
            <w:tcW w:w="1134" w:type="dxa"/>
            <w:vMerge w:val="continue"/>
            <w:noWrap w:val="0"/>
            <w:vAlign w:val="center"/>
          </w:tcPr>
          <w:p>
            <w:pPr>
              <w:pStyle w:val="2"/>
              <w:rPr>
                <w:rFonts w:hint="eastAsia" w:ascii="宋体" w:hAnsi="宋体" w:eastAsia="宋体" w:cs="宋体"/>
                <w:sz w:val="21"/>
                <w:szCs w:val="21"/>
              </w:rPr>
            </w:pPr>
          </w:p>
        </w:tc>
        <w:tc>
          <w:tcPr>
            <w:tcW w:w="882" w:type="dxa"/>
            <w:vMerge w:val="continue"/>
            <w:noWrap w:val="0"/>
            <w:vAlign w:val="center"/>
          </w:tcPr>
          <w:p>
            <w:pPr>
              <w:pStyle w:val="2"/>
              <w:rPr>
                <w:rFonts w:hint="eastAsia" w:ascii="宋体" w:hAnsi="宋体" w:eastAsia="宋体" w:cs="宋体"/>
                <w:sz w:val="21"/>
                <w:szCs w:val="21"/>
              </w:rPr>
            </w:pPr>
          </w:p>
        </w:tc>
        <w:tc>
          <w:tcPr>
            <w:tcW w:w="5530" w:type="dxa"/>
            <w:tcBorders>
              <w:bottom w:val="single" w:color="auto" w:sz="4" w:space="0"/>
            </w:tcBorders>
            <w:noWrap w:val="0"/>
            <w:vAlign w:val="center"/>
          </w:tcPr>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rPr>
              <w:t>每增加1项满足“资格审查条件（项目负责人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最低要求）”的</w:t>
            </w:r>
            <w:r>
              <w:rPr>
                <w:rFonts w:hint="eastAsia" w:ascii="宋体" w:hAnsi="宋体" w:eastAsia="宋体" w:cs="宋体"/>
                <w:sz w:val="21"/>
                <w:szCs w:val="21"/>
                <w:highlight w:val="none"/>
                <w:lang w:eastAsia="zh-CN"/>
              </w:rPr>
              <w:t>项目负责人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741" w:type="dxa"/>
            <w:vMerge w:val="continue"/>
            <w:noWrap w:val="0"/>
            <w:vAlign w:val="center"/>
          </w:tcPr>
          <w:p>
            <w:pPr>
              <w:pStyle w:val="5"/>
              <w:spacing w:line="160" w:lineRule="atLeast"/>
              <w:jc w:val="center"/>
              <w:rPr>
                <w:rFonts w:hint="eastAsia" w:ascii="宋体" w:hAnsi="宋体" w:eastAsia="宋体" w:cs="宋体"/>
                <w:sz w:val="21"/>
                <w:szCs w:val="21"/>
                <w:highlight w:val="none"/>
              </w:rPr>
            </w:pPr>
          </w:p>
        </w:tc>
        <w:tc>
          <w:tcPr>
            <w:tcW w:w="624" w:type="dxa"/>
            <w:vMerge w:val="continue"/>
            <w:noWrap w:val="0"/>
            <w:vAlign w:val="center"/>
          </w:tcPr>
          <w:p>
            <w:pPr>
              <w:pStyle w:val="5"/>
              <w:spacing w:line="160" w:lineRule="atLeast"/>
              <w:jc w:val="center"/>
              <w:rPr>
                <w:rFonts w:hint="eastAsia" w:ascii="宋体" w:hAnsi="宋体" w:eastAsia="宋体" w:cs="宋体"/>
                <w:sz w:val="21"/>
                <w:szCs w:val="21"/>
                <w:highlight w:val="none"/>
                <w:lang w:val="en-US" w:eastAsia="zh-CN"/>
              </w:rPr>
            </w:pPr>
          </w:p>
        </w:tc>
        <w:tc>
          <w:tcPr>
            <w:tcW w:w="1134" w:type="dxa"/>
            <w:vMerge w:val="restart"/>
            <w:noWrap w:val="0"/>
            <w:vAlign w:val="center"/>
          </w:tcPr>
          <w:p>
            <w:pPr>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技术负责人</w:t>
            </w:r>
          </w:p>
        </w:tc>
        <w:tc>
          <w:tcPr>
            <w:tcW w:w="882" w:type="dxa"/>
            <w:vMerge w:val="restart"/>
            <w:noWrap w:val="0"/>
            <w:vAlign w:val="center"/>
          </w:tcPr>
          <w:p>
            <w:pPr>
              <w:pStyle w:val="5"/>
              <w:spacing w:line="1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530" w:type="dxa"/>
            <w:tcBorders>
              <w:bottom w:val="single" w:color="auto" w:sz="4" w:space="0"/>
            </w:tcBorders>
            <w:noWrap w:val="0"/>
            <w:vAlign w:val="center"/>
          </w:tcPr>
          <w:p>
            <w:pPr>
              <w:pStyle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中的技术负责人要求的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2"/>
              <w:rPr>
                <w:rFonts w:hint="eastAsia" w:ascii="宋体" w:hAnsi="宋体" w:eastAsia="宋体" w:cs="宋体"/>
                <w:sz w:val="21"/>
                <w:szCs w:val="21"/>
              </w:rPr>
            </w:pPr>
          </w:p>
        </w:tc>
        <w:tc>
          <w:tcPr>
            <w:tcW w:w="741" w:type="dxa"/>
            <w:vMerge w:val="continue"/>
            <w:noWrap w:val="0"/>
            <w:vAlign w:val="center"/>
          </w:tcPr>
          <w:p>
            <w:pPr>
              <w:pStyle w:val="2"/>
              <w:rPr>
                <w:rFonts w:hint="eastAsia" w:ascii="宋体" w:hAnsi="宋体" w:eastAsia="宋体" w:cs="宋体"/>
                <w:sz w:val="21"/>
                <w:szCs w:val="21"/>
              </w:rPr>
            </w:pPr>
          </w:p>
        </w:tc>
        <w:tc>
          <w:tcPr>
            <w:tcW w:w="624" w:type="dxa"/>
            <w:vMerge w:val="continue"/>
            <w:noWrap w:val="0"/>
            <w:vAlign w:val="center"/>
          </w:tcPr>
          <w:p>
            <w:pPr>
              <w:pStyle w:val="2"/>
              <w:rPr>
                <w:rFonts w:hint="eastAsia" w:ascii="宋体" w:hAnsi="宋体" w:eastAsia="宋体" w:cs="宋体"/>
                <w:sz w:val="21"/>
                <w:szCs w:val="21"/>
              </w:rPr>
            </w:pPr>
          </w:p>
        </w:tc>
        <w:tc>
          <w:tcPr>
            <w:tcW w:w="1134" w:type="dxa"/>
            <w:vMerge w:val="continue"/>
            <w:noWrap w:val="0"/>
            <w:vAlign w:val="center"/>
          </w:tcPr>
          <w:p>
            <w:pPr>
              <w:pStyle w:val="2"/>
              <w:rPr>
                <w:rFonts w:hint="eastAsia" w:ascii="宋体" w:hAnsi="宋体" w:eastAsia="宋体" w:cs="宋体"/>
                <w:sz w:val="21"/>
                <w:szCs w:val="21"/>
              </w:rPr>
            </w:pPr>
          </w:p>
        </w:tc>
        <w:tc>
          <w:tcPr>
            <w:tcW w:w="882" w:type="dxa"/>
            <w:vMerge w:val="continue"/>
            <w:noWrap w:val="0"/>
            <w:vAlign w:val="center"/>
          </w:tcPr>
          <w:p>
            <w:pPr>
              <w:pStyle w:val="2"/>
              <w:rPr>
                <w:rFonts w:hint="eastAsia" w:ascii="宋体" w:hAnsi="宋体" w:eastAsia="宋体" w:cs="宋体"/>
                <w:sz w:val="21"/>
                <w:szCs w:val="21"/>
              </w:rPr>
            </w:pPr>
          </w:p>
        </w:tc>
        <w:tc>
          <w:tcPr>
            <w:tcW w:w="5530" w:type="dxa"/>
            <w:tcBorders>
              <w:bottom w:val="single" w:color="auto" w:sz="4" w:space="0"/>
            </w:tcBorders>
            <w:noWrap w:val="0"/>
            <w:vAlign w:val="center"/>
          </w:tcPr>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rPr>
              <w:t>每增加1项满足“资格审查条件（项目负责人最低要求）”的</w:t>
            </w:r>
            <w:r>
              <w:rPr>
                <w:rFonts w:hint="eastAsia" w:ascii="宋体" w:hAnsi="宋体" w:eastAsia="宋体" w:cs="宋体"/>
                <w:sz w:val="21"/>
                <w:szCs w:val="21"/>
                <w:highlight w:val="none"/>
                <w:lang w:eastAsia="zh-CN"/>
              </w:rPr>
              <w:t>技术负责人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546" w:type="dxa"/>
            <w:gridSpan w:val="3"/>
            <w:tcBorders>
              <w:bottom w:val="single" w:color="auto" w:sz="4" w:space="0"/>
            </w:tcBorders>
            <w:noWrap w:val="0"/>
            <w:vAlign w:val="center"/>
          </w:tcPr>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评标价得分计算公式示例：</w:t>
            </w:r>
          </w:p>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其中，F=30；E1=0.2；E2=0.1；评标价最低得分为0分。</w:t>
            </w:r>
          </w:p>
          <w:p>
            <w:pPr>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1"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vMerge w:val="restart"/>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134"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882" w:type="dxa"/>
            <w:vMerge w:val="restart"/>
            <w:tcBorders>
              <w:top w:val="single" w:color="auto" w:sz="4" w:space="0"/>
            </w:tcBorders>
            <w:noWrap w:val="0"/>
            <w:vAlign w:val="center"/>
          </w:tcPr>
          <w:p>
            <w:pPr>
              <w:pStyle w:val="5"/>
              <w:spacing w:line="16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5530" w:type="dxa"/>
            <w:tcBorders>
              <w:top w:val="single" w:color="auto" w:sz="4" w:space="0"/>
            </w:tcBorders>
            <w:noWrap w:val="0"/>
            <w:vAlign w:val="center"/>
          </w:tcPr>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r>
              <w:rPr>
                <w:rFonts w:hint="eastAsia" w:ascii="宋体" w:hAnsi="宋体" w:eastAsia="宋体" w:cs="宋体"/>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1" w:type="dxa"/>
            <w:vMerge w:val="continue"/>
            <w:noWrap w:val="0"/>
            <w:vAlign w:val="center"/>
          </w:tcPr>
          <w:p>
            <w:pPr>
              <w:rPr>
                <w:rFonts w:hint="eastAsia" w:ascii="宋体" w:hAnsi="宋体" w:eastAsia="宋体" w:cs="宋体"/>
                <w:sz w:val="21"/>
                <w:szCs w:val="21"/>
              </w:rPr>
            </w:pPr>
          </w:p>
        </w:tc>
        <w:tc>
          <w:tcPr>
            <w:tcW w:w="741" w:type="dxa"/>
            <w:vMerge w:val="continue"/>
            <w:noWrap w:val="0"/>
            <w:vAlign w:val="center"/>
          </w:tcPr>
          <w:p>
            <w:pPr>
              <w:rPr>
                <w:rFonts w:hint="eastAsia" w:ascii="宋体" w:hAnsi="宋体" w:eastAsia="宋体" w:cs="宋体"/>
                <w:sz w:val="21"/>
                <w:szCs w:val="21"/>
              </w:rPr>
            </w:pPr>
          </w:p>
        </w:tc>
        <w:tc>
          <w:tcPr>
            <w:tcW w:w="624" w:type="dxa"/>
            <w:vMerge w:val="continue"/>
            <w:noWrap w:val="0"/>
            <w:vAlign w:val="center"/>
          </w:tcPr>
          <w:p>
            <w:pPr>
              <w:rPr>
                <w:rFonts w:hint="eastAsia" w:ascii="宋体" w:hAnsi="宋体" w:eastAsia="宋体" w:cs="宋体"/>
                <w:sz w:val="21"/>
                <w:szCs w:val="21"/>
              </w:rPr>
            </w:pPr>
          </w:p>
        </w:tc>
        <w:tc>
          <w:tcPr>
            <w:tcW w:w="1134" w:type="dxa"/>
            <w:vMerge w:val="continue"/>
            <w:noWrap w:val="0"/>
            <w:vAlign w:val="center"/>
          </w:tcPr>
          <w:p>
            <w:pPr>
              <w:rPr>
                <w:rFonts w:hint="eastAsia" w:ascii="宋体" w:hAnsi="宋体" w:eastAsia="宋体" w:cs="宋体"/>
                <w:sz w:val="21"/>
                <w:szCs w:val="21"/>
              </w:rPr>
            </w:pPr>
          </w:p>
        </w:tc>
        <w:tc>
          <w:tcPr>
            <w:tcW w:w="882" w:type="dxa"/>
            <w:vMerge w:val="continue"/>
            <w:noWrap w:val="0"/>
            <w:vAlign w:val="center"/>
          </w:tcPr>
          <w:p>
            <w:pPr>
              <w:rPr>
                <w:rFonts w:hint="eastAsia" w:ascii="宋体" w:hAnsi="宋体" w:eastAsia="宋体" w:cs="宋体"/>
                <w:sz w:val="21"/>
                <w:szCs w:val="21"/>
              </w:rPr>
            </w:pPr>
          </w:p>
        </w:tc>
        <w:tc>
          <w:tcPr>
            <w:tcW w:w="5530" w:type="dxa"/>
            <w:tcBorders>
              <w:top w:val="single" w:color="auto" w:sz="4" w:space="0"/>
            </w:tcBorders>
            <w:noWrap w:val="0"/>
            <w:vAlign w:val="center"/>
          </w:tcPr>
          <w:p>
            <w:pPr>
              <w:pStyle w:val="4"/>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highlight w:val="none"/>
              </w:rPr>
              <w:t>每增加1项满足“资格审查条件（</w:t>
            </w:r>
            <w:r>
              <w:rPr>
                <w:rFonts w:hint="eastAsia" w:ascii="宋体" w:hAnsi="宋体" w:eastAsia="宋体" w:cs="宋体"/>
                <w:kern w:val="2"/>
                <w:sz w:val="21"/>
                <w:szCs w:val="21"/>
                <w:highlight w:val="none"/>
              </w:rPr>
              <w:t>业绩最低要求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625D4F"/>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EA900FF"/>
    <w:rsid w:val="3F405866"/>
    <w:rsid w:val="4327445A"/>
    <w:rsid w:val="438E434B"/>
    <w:rsid w:val="439515D5"/>
    <w:rsid w:val="43A66C1F"/>
    <w:rsid w:val="483C2366"/>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Plain Text"/>
    <w:basedOn w:val="1"/>
    <w:qFormat/>
    <w:uiPriority w:val="0"/>
    <w:rPr>
      <w:rFonts w:ascii="宋体" w:hAnsi="Courier New"/>
      <w:kern w:val="0"/>
      <w:sz w:val="20"/>
      <w:szCs w:val="20"/>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样式 首行缩进:  1 厘米 行距: 固定值 25 磅"/>
    <w:basedOn w:val="1"/>
    <w:autoRedefine/>
    <w:qFormat/>
    <w:uiPriority w:val="0"/>
    <w:pPr>
      <w:adjustRightInd w:val="0"/>
      <w:spacing w:line="440" w:lineRule="exact"/>
      <w:ind w:firstLine="480" w:firstLineChars="200"/>
      <w:textAlignment w:val="baseline"/>
    </w:pPr>
    <w:rPr>
      <w:rFonts w:ascii="宋体" w:hAnsi="宋体" w:cs="Arial"/>
      <w:kern w:val="2"/>
      <w:sz w:val="24"/>
      <w:szCs w:val="28"/>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autoRedefine/>
    <w:qFormat/>
    <w:uiPriority w:val="0"/>
    <w:pPr>
      <w:ind w:firstLine="420"/>
    </w:pPr>
  </w:style>
  <w:style w:type="paragraph" w:customStyle="1" w:styleId="13">
    <w:name w:val="正文文本缩进1"/>
    <w:basedOn w:val="1"/>
    <w:autoRedefine/>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2025-01-25T08:25:47Z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