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beforeLines="50" w:afterLines="50" w:line="240" w:lineRule="auto"/>
        <w:rPr>
          <w:rFonts w:hint="eastAsia" w:ascii="宋体" w:hAnsi="宋体" w:eastAsia="宋体" w:cs="宋体"/>
          <w:color w:val="auto"/>
          <w:highlight w:val="none"/>
        </w:rPr>
      </w:pPr>
      <w:bookmarkStart w:id="0" w:name="_Toc141780406"/>
      <w:bookmarkStart w:id="1" w:name="OLE_LINK3"/>
      <w:bookmarkStart w:id="2" w:name="OLE_LINK1"/>
      <w:r>
        <w:rPr>
          <w:rFonts w:hint="eastAsia" w:ascii="宋体" w:hAnsi="宋体" w:eastAsia="宋体" w:cs="宋体"/>
          <w:color w:val="auto"/>
          <w:sz w:val="24"/>
          <w:szCs w:val="24"/>
          <w:highlight w:val="none"/>
        </w:rPr>
        <w:t>附件1：资格审查条件</w:t>
      </w:r>
      <w:bookmarkEnd w:id="0"/>
    </w:p>
    <w:p>
      <w:pPr>
        <w:jc w:val="center"/>
        <w:rPr>
          <w:rFonts w:hint="eastAsia" w:ascii="宋体" w:hAnsi="宋体" w:eastAsia="宋体" w:cs="宋体"/>
          <w:color w:val="auto"/>
          <w:highlight w:val="none"/>
        </w:rPr>
      </w:pPr>
    </w:p>
    <w:p>
      <w:pPr>
        <w:adjustRightIn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附录1 </w:t>
      </w:r>
      <w:r>
        <w:rPr>
          <w:rFonts w:hint="eastAsia" w:ascii="宋体" w:hAnsi="宋体" w:eastAsia="宋体" w:cs="宋体"/>
          <w:b/>
          <w:color w:val="auto"/>
          <w:sz w:val="24"/>
          <w:highlight w:val="none"/>
        </w:rPr>
        <w:t>资格</w:t>
      </w:r>
      <w:r>
        <w:rPr>
          <w:rFonts w:hint="eastAsia" w:ascii="宋体" w:hAnsi="宋体" w:eastAsia="宋体" w:cs="宋体"/>
          <w:b/>
          <w:color w:val="auto"/>
          <w:sz w:val="24"/>
          <w:szCs w:val="24"/>
          <w:highlight w:val="none"/>
        </w:rPr>
        <w:t>审查条件（资质最低要求）</w:t>
      </w:r>
    </w:p>
    <w:tbl>
      <w:tblPr>
        <w:tblStyle w:val="7"/>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7" w:hRule="atLeast"/>
          <w:jc w:val="center"/>
        </w:trPr>
        <w:tc>
          <w:tcPr>
            <w:tcW w:w="9286" w:type="dxa"/>
            <w:noWrap w:val="0"/>
            <w:vAlign w:val="center"/>
          </w:tcPr>
          <w:p>
            <w:pPr>
              <w:pStyle w:val="6"/>
              <w:spacing w:before="0" w:beforeAutospacing="0" w:after="0" w:afterAutospacing="0" w:line="240" w:lineRule="auto"/>
              <w:ind w:firstLine="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6" w:hRule="atLeast"/>
          <w:jc w:val="center"/>
        </w:trPr>
        <w:tc>
          <w:tcPr>
            <w:tcW w:w="9286" w:type="dxa"/>
            <w:noWrap w:val="0"/>
            <w:vAlign w:val="center"/>
          </w:tcPr>
          <w:p>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olor w:val="auto"/>
                <w:kern w:val="0"/>
                <w:sz w:val="21"/>
                <w:szCs w:val="21"/>
                <w:highlight w:val="none"/>
                <w:lang w:val="en-US" w:eastAsia="zh-CN"/>
              </w:rPr>
              <w:t>1.</w:t>
            </w:r>
            <w:r>
              <w:rPr>
                <w:rFonts w:hint="eastAsia" w:ascii="宋体" w:hAnsi="宋体"/>
                <w:color w:val="auto"/>
                <w:kern w:val="0"/>
                <w:sz w:val="21"/>
                <w:szCs w:val="21"/>
                <w:highlight w:val="none"/>
              </w:rPr>
              <w:t>具有独立法人资格，具有有效的企业营业执照或事业单位法人证书</w:t>
            </w:r>
            <w:r>
              <w:rPr>
                <w:rFonts w:hint="eastAsia" w:ascii="宋体" w:hAnsi="宋体" w:eastAsia="宋体" w:cs="宋体"/>
                <w:color w:val="auto"/>
                <w:sz w:val="21"/>
                <w:szCs w:val="21"/>
                <w:highlight w:val="none"/>
              </w:rPr>
              <w:t>。</w:t>
            </w:r>
          </w:p>
          <w:p>
            <w:pPr>
              <w:pStyle w:val="9"/>
              <w:keepNext w:val="0"/>
              <w:keepLines w:val="0"/>
              <w:pageBreakBefore w:val="0"/>
              <w:widowControl w:val="0"/>
              <w:kinsoku/>
              <w:wordWrap/>
              <w:overflowPunct/>
              <w:topLinePunct w:val="0"/>
              <w:bidi w:val="0"/>
              <w:snapToGrid/>
              <w:spacing w:line="320" w:lineRule="exact"/>
              <w:ind w:right="-168" w:rightChars="-80" w:firstLine="420" w:firstLineChars="200"/>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2.具备住建行政主管部门颁发的工程设计综合甲级资质或工程设计公路行业甲级资质；</w:t>
            </w:r>
          </w:p>
          <w:p>
            <w:pPr>
              <w:pStyle w:val="9"/>
              <w:keepNext w:val="0"/>
              <w:keepLines w:val="0"/>
              <w:pageBreakBefore w:val="0"/>
              <w:widowControl w:val="0"/>
              <w:kinsoku/>
              <w:wordWrap/>
              <w:overflowPunct/>
              <w:topLinePunct w:val="0"/>
              <w:bidi w:val="0"/>
              <w:snapToGrid/>
              <w:spacing w:line="320" w:lineRule="exact"/>
              <w:ind w:right="-168" w:rightChars="-80" w:firstLine="420" w:firstLineChars="200"/>
              <w:jc w:val="left"/>
              <w:textAlignment w:val="auto"/>
              <w:rPr>
                <w:rFonts w:hint="eastAsia" w:hAnsi="宋体" w:cs="宋体"/>
                <w:color w:val="auto"/>
                <w:sz w:val="21"/>
                <w:szCs w:val="21"/>
                <w:highlight w:val="none"/>
                <w:lang w:eastAsia="zh-CN"/>
              </w:rPr>
            </w:pPr>
            <w:r>
              <w:rPr>
                <w:rFonts w:hint="eastAsia" w:hAnsi="宋体"/>
                <w:color w:val="auto"/>
                <w:sz w:val="21"/>
                <w:szCs w:val="21"/>
                <w:highlight w:val="none"/>
                <w:lang w:val="en-US" w:eastAsia="zh-CN"/>
              </w:rPr>
              <w:t>3.</w:t>
            </w:r>
            <w:r>
              <w:rPr>
                <w:rFonts w:hint="eastAsia" w:ascii="宋体" w:hAnsi="宋体"/>
                <w:color w:val="auto"/>
                <w:sz w:val="21"/>
                <w:szCs w:val="21"/>
                <w:highlight w:val="none"/>
              </w:rPr>
              <w:t>具备</w:t>
            </w:r>
            <w:r>
              <w:rPr>
                <w:rFonts w:hint="eastAsia" w:hAnsi="宋体"/>
                <w:color w:val="auto"/>
                <w:sz w:val="21"/>
                <w:szCs w:val="21"/>
                <w:highlight w:val="none"/>
                <w:lang w:val="en-US" w:eastAsia="zh-CN"/>
              </w:rPr>
              <w:t>交通运输主管部门颁发的</w:t>
            </w:r>
            <w:r>
              <w:rPr>
                <w:rFonts w:hint="eastAsia" w:ascii="宋体" w:hAnsi="宋体"/>
                <w:color w:val="auto"/>
                <w:sz w:val="21"/>
                <w:szCs w:val="21"/>
                <w:highlight w:val="none"/>
              </w:rPr>
              <w:t>公路工程</w:t>
            </w:r>
            <w:r>
              <w:rPr>
                <w:rFonts w:hint="eastAsia" w:hAnsi="宋体"/>
                <w:color w:val="auto"/>
                <w:sz w:val="21"/>
                <w:szCs w:val="21"/>
                <w:highlight w:val="none"/>
                <w:lang w:val="en-US" w:eastAsia="zh-CN"/>
              </w:rPr>
              <w:t>甲级质量</w:t>
            </w:r>
            <w:r>
              <w:rPr>
                <w:rFonts w:hint="eastAsia" w:ascii="宋体" w:hAnsi="宋体"/>
                <w:color w:val="auto"/>
                <w:sz w:val="21"/>
                <w:szCs w:val="21"/>
                <w:highlight w:val="none"/>
              </w:rPr>
              <w:t>检测资质</w:t>
            </w:r>
            <w:r>
              <w:rPr>
                <w:rFonts w:hint="eastAsia" w:hAnsi="宋体"/>
                <w:color w:val="auto"/>
                <w:sz w:val="21"/>
                <w:szCs w:val="21"/>
                <w:highlight w:val="none"/>
                <w:lang w:val="en-US" w:eastAsia="zh-CN"/>
              </w:rPr>
              <w:t>和</w:t>
            </w:r>
            <w:r>
              <w:rPr>
                <w:rFonts w:hint="eastAsia" w:ascii="宋体" w:hAnsi="宋体"/>
                <w:color w:val="auto"/>
                <w:sz w:val="21"/>
                <w:szCs w:val="21"/>
                <w:highlight w:val="none"/>
              </w:rPr>
              <w:t>桥梁隧道工程</w:t>
            </w:r>
            <w:r>
              <w:rPr>
                <w:rFonts w:hint="eastAsia" w:hAnsi="宋体"/>
                <w:color w:val="auto"/>
                <w:sz w:val="21"/>
                <w:szCs w:val="21"/>
                <w:highlight w:val="none"/>
                <w:lang w:val="en-US" w:eastAsia="zh-CN"/>
              </w:rPr>
              <w:t>专项质量</w:t>
            </w:r>
            <w:r>
              <w:rPr>
                <w:rFonts w:hint="eastAsia" w:ascii="宋体" w:hAnsi="宋体"/>
                <w:color w:val="auto"/>
                <w:sz w:val="21"/>
                <w:szCs w:val="21"/>
                <w:highlight w:val="none"/>
              </w:rPr>
              <w:t>检测资质</w:t>
            </w:r>
            <w:r>
              <w:rPr>
                <w:rFonts w:hint="eastAsia" w:hAnsi="宋体"/>
                <w:color w:val="auto"/>
                <w:sz w:val="21"/>
                <w:szCs w:val="21"/>
                <w:highlight w:val="none"/>
                <w:lang w:eastAsia="zh-CN"/>
              </w:rPr>
              <w:t>（</w:t>
            </w:r>
            <w:r>
              <w:rPr>
                <w:rFonts w:hint="eastAsia" w:hAnsi="宋体"/>
                <w:color w:val="auto"/>
                <w:sz w:val="21"/>
                <w:szCs w:val="21"/>
                <w:highlight w:val="none"/>
                <w:lang w:val="en-US" w:eastAsia="zh-CN"/>
              </w:rPr>
              <w:t>或具备交通运输主管部门颁发的</w:t>
            </w:r>
            <w:r>
              <w:rPr>
                <w:rFonts w:hint="eastAsia" w:ascii="宋体" w:hAnsi="宋体"/>
                <w:color w:val="auto"/>
                <w:sz w:val="21"/>
                <w:szCs w:val="21"/>
                <w:highlight w:val="none"/>
              </w:rPr>
              <w:t>公路工程</w:t>
            </w:r>
            <w:r>
              <w:rPr>
                <w:rFonts w:hint="eastAsia" w:hAnsi="宋体"/>
                <w:color w:val="auto"/>
                <w:sz w:val="21"/>
                <w:szCs w:val="21"/>
                <w:highlight w:val="none"/>
                <w:lang w:val="en-US" w:eastAsia="zh-CN"/>
              </w:rPr>
              <w:t>综合甲级</w:t>
            </w:r>
            <w:r>
              <w:rPr>
                <w:rFonts w:hint="eastAsia" w:ascii="宋体" w:hAnsi="宋体"/>
                <w:color w:val="auto"/>
                <w:sz w:val="21"/>
                <w:szCs w:val="21"/>
                <w:highlight w:val="none"/>
              </w:rPr>
              <w:t>试验检测资质</w:t>
            </w:r>
            <w:r>
              <w:rPr>
                <w:rFonts w:hint="eastAsia" w:hAnsi="宋体"/>
                <w:color w:val="auto"/>
                <w:sz w:val="21"/>
                <w:szCs w:val="21"/>
                <w:highlight w:val="none"/>
                <w:lang w:val="en-US" w:eastAsia="zh-CN"/>
              </w:rPr>
              <w:t>和</w:t>
            </w:r>
            <w:r>
              <w:rPr>
                <w:rFonts w:hint="eastAsia" w:ascii="宋体" w:hAnsi="宋体"/>
                <w:color w:val="auto"/>
                <w:sz w:val="21"/>
                <w:szCs w:val="21"/>
                <w:highlight w:val="none"/>
              </w:rPr>
              <w:t>桥梁隧道工程</w:t>
            </w:r>
            <w:r>
              <w:rPr>
                <w:rFonts w:hint="eastAsia" w:hAnsi="宋体"/>
                <w:color w:val="auto"/>
                <w:sz w:val="21"/>
                <w:szCs w:val="21"/>
                <w:highlight w:val="none"/>
                <w:lang w:val="en-US" w:eastAsia="zh-CN"/>
              </w:rPr>
              <w:t>专项</w:t>
            </w:r>
            <w:r>
              <w:rPr>
                <w:rFonts w:hint="eastAsia" w:ascii="宋体" w:hAnsi="宋体"/>
                <w:color w:val="auto"/>
                <w:sz w:val="21"/>
                <w:szCs w:val="21"/>
                <w:highlight w:val="none"/>
              </w:rPr>
              <w:t>试验检测资质</w:t>
            </w:r>
            <w:r>
              <w:rPr>
                <w:rFonts w:hint="eastAsia" w:hAnsi="宋体"/>
                <w:color w:val="auto"/>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286" w:type="dxa"/>
            <w:noWrap w:val="0"/>
            <w:vAlign w:val="center"/>
          </w:tcPr>
          <w:p>
            <w:pPr>
              <w:pStyle w:val="9"/>
              <w:keepNext w:val="0"/>
              <w:keepLines w:val="0"/>
              <w:pageBreakBefore w:val="0"/>
              <w:widowControl w:val="0"/>
              <w:kinsoku/>
              <w:wordWrap/>
              <w:overflowPunct/>
              <w:topLinePunct w:val="0"/>
              <w:bidi w:val="0"/>
              <w:snapToGrid/>
              <w:spacing w:line="320" w:lineRule="exact"/>
              <w:ind w:right="-168" w:rightChars="-80" w:firstLine="420" w:firstLineChars="200"/>
              <w:textAlignment w:val="auto"/>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注：</w:t>
            </w:r>
            <w:r>
              <w:rPr>
                <w:rFonts w:hint="eastAsia" w:ascii="宋体" w:hAnsi="宋体" w:eastAsia="宋体" w:cs="宋体"/>
                <w:color w:val="auto"/>
                <w:sz w:val="21"/>
                <w:szCs w:val="21"/>
                <w:highlight w:val="none"/>
              </w:rPr>
              <w:t>本项目接受联合体形式投标，联合体所有成员数量不</w:t>
            </w:r>
            <w:r>
              <w:rPr>
                <w:rFonts w:hint="eastAsia" w:hAnsi="宋体" w:cs="宋体"/>
                <w:color w:val="auto"/>
                <w:sz w:val="21"/>
                <w:szCs w:val="21"/>
                <w:highlight w:val="none"/>
                <w:lang w:val="en-US" w:eastAsia="zh-CN"/>
              </w:rPr>
              <w:t>得超过</w:t>
            </w:r>
            <w:r>
              <w:rPr>
                <w:rFonts w:hint="eastAsia" w:ascii="宋体" w:hAnsi="宋体" w:eastAsia="宋体" w:cs="宋体"/>
                <w:color w:val="auto"/>
                <w:sz w:val="21"/>
                <w:szCs w:val="21"/>
                <w:highlight w:val="none"/>
              </w:rPr>
              <w:t>3家，联合体应满足本项规定的资格条件</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联合体所有成员均需满足第1项要求</w:t>
            </w:r>
            <w:r>
              <w:rPr>
                <w:rFonts w:hint="eastAsia" w:hAnsi="宋体" w:cs="宋体"/>
                <w:color w:val="auto"/>
                <w:sz w:val="21"/>
                <w:szCs w:val="21"/>
                <w:highlight w:val="none"/>
                <w:lang w:eastAsia="zh-CN"/>
              </w:rPr>
              <w:t>。</w:t>
            </w:r>
          </w:p>
        </w:tc>
      </w:tr>
    </w:tbl>
    <w:p>
      <w:pPr>
        <w:adjustRightInd w:val="0"/>
        <w:spacing w:line="400" w:lineRule="exact"/>
        <w:jc w:val="center"/>
        <w:rPr>
          <w:rFonts w:hint="eastAsia" w:ascii="宋体" w:hAnsi="宋体" w:eastAsia="宋体" w:cs="宋体"/>
          <w:b/>
          <w:color w:val="auto"/>
          <w:sz w:val="24"/>
          <w:szCs w:val="24"/>
          <w:highlight w:val="none"/>
        </w:rPr>
      </w:pPr>
    </w:p>
    <w:p>
      <w:pPr>
        <w:adjustRightInd w:val="0"/>
        <w:spacing w:line="400" w:lineRule="exact"/>
        <w:jc w:val="center"/>
        <w:rPr>
          <w:rFonts w:hint="eastAsia" w:ascii="宋体" w:hAnsi="宋体" w:eastAsia="宋体" w:cs="宋体"/>
          <w:b/>
          <w:color w:val="auto"/>
          <w:sz w:val="24"/>
          <w:szCs w:val="24"/>
          <w:highlight w:val="none"/>
        </w:rPr>
      </w:pPr>
    </w:p>
    <w:p>
      <w:pPr>
        <w:adjustRightInd w:val="0"/>
        <w:spacing w:line="400" w:lineRule="exact"/>
        <w:jc w:val="center"/>
        <w:rPr>
          <w:rFonts w:hint="eastAsia" w:ascii="宋体" w:hAnsi="宋体" w:eastAsia="宋体" w:cs="宋体"/>
          <w:b/>
          <w:color w:val="auto"/>
          <w:sz w:val="24"/>
          <w:szCs w:val="24"/>
          <w:highlight w:val="none"/>
        </w:rPr>
      </w:pPr>
    </w:p>
    <w:p>
      <w:pPr>
        <w:adjustRightIn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附录2 资格审查条件（业绩最低要求）</w:t>
      </w:r>
    </w:p>
    <w:tbl>
      <w:tblPr>
        <w:tblStyle w:val="7"/>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pPr>
              <w:pStyle w:val="6"/>
              <w:spacing w:before="0" w:beforeAutospacing="0" w:after="0" w:afterAutospacing="0" w:line="240" w:lineRule="auto"/>
              <w:ind w:firstLine="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jc w:val="center"/>
        </w:trPr>
        <w:tc>
          <w:tcPr>
            <w:tcW w:w="9286" w:type="dxa"/>
            <w:noWrap w:val="0"/>
            <w:vAlign w:val="center"/>
          </w:tcPr>
          <w:p>
            <w:pPr>
              <w:snapToGrid w:val="0"/>
              <w:spacing w:line="360" w:lineRule="exact"/>
              <w:ind w:firstLine="420" w:firstLineChars="200"/>
              <w:rPr>
                <w:rFonts w:hint="eastAsia" w:ascii="宋体" w:hAnsi="宋体" w:eastAsia="宋体" w:cs="宋体"/>
                <w:color w:val="auto"/>
                <w:highlight w:val="none"/>
                <w:lang w:eastAsia="zh-CN"/>
              </w:rPr>
            </w:pPr>
            <w:r>
              <w:rPr>
                <w:rFonts w:hint="eastAsia" w:ascii="宋体" w:hAnsi="宋体"/>
                <w:color w:val="auto"/>
                <w:kern w:val="0"/>
                <w:szCs w:val="21"/>
                <w:highlight w:val="none"/>
              </w:rPr>
              <w:t>近5年(20</w:t>
            </w:r>
            <w:r>
              <w:rPr>
                <w:rFonts w:hint="eastAsia" w:ascii="宋体" w:hAnsi="宋体" w:eastAsia="宋体" w:cs="Times New Roman"/>
                <w:color w:val="auto"/>
                <w:kern w:val="0"/>
                <w:szCs w:val="21"/>
                <w:highlight w:val="none"/>
                <w:lang w:val="en-US" w:eastAsia="zh-CN"/>
              </w:rPr>
              <w:t>20</w:t>
            </w:r>
            <w:r>
              <w:rPr>
                <w:rFonts w:hint="eastAsia" w:ascii="宋体" w:hAnsi="宋体"/>
                <w:color w:val="auto"/>
                <w:kern w:val="0"/>
                <w:szCs w:val="21"/>
                <w:highlight w:val="none"/>
              </w:rPr>
              <w:t>年</w:t>
            </w:r>
            <w:r>
              <w:rPr>
                <w:rFonts w:hint="eastAsia" w:ascii="宋体" w:hAnsi="宋体"/>
                <w:color w:val="auto"/>
                <w:kern w:val="0"/>
                <w:szCs w:val="21"/>
                <w:highlight w:val="none"/>
                <w:lang w:val="en-US" w:eastAsia="zh-CN"/>
              </w:rPr>
              <w:t>1</w:t>
            </w:r>
            <w:r>
              <w:rPr>
                <w:rFonts w:hint="eastAsia" w:ascii="宋体" w:hAnsi="宋体"/>
                <w:color w:val="auto"/>
                <w:kern w:val="0"/>
                <w:szCs w:val="21"/>
                <w:highlight w:val="none"/>
              </w:rPr>
              <w:t>月1日至投标截止时间，以合同签订时间为准），</w:t>
            </w:r>
            <w:r>
              <w:rPr>
                <w:rFonts w:hint="eastAsia" w:ascii="宋体" w:hAnsi="宋体" w:eastAsia="宋体" w:cs="Times New Roman"/>
                <w:color w:val="auto"/>
                <w:kern w:val="0"/>
                <w:szCs w:val="21"/>
                <w:highlight w:val="none"/>
              </w:rPr>
              <w:t>至少</w:t>
            </w:r>
            <w:r>
              <w:rPr>
                <w:rFonts w:hint="eastAsia" w:ascii="宋体" w:hAnsi="宋体" w:cs="Times New Roman"/>
                <w:color w:val="auto"/>
                <w:kern w:val="0"/>
                <w:szCs w:val="21"/>
                <w:highlight w:val="none"/>
                <w:lang w:val="en-US" w:eastAsia="zh-CN"/>
              </w:rPr>
              <w:t xml:space="preserve">承揽过 </w:t>
            </w:r>
            <w:r>
              <w:rPr>
                <w:rFonts w:hint="eastAsia" w:ascii="宋体" w:hAnsi="宋体" w:eastAsia="宋体" w:cs="Times New Roman"/>
                <w:color w:val="auto"/>
                <w:kern w:val="0"/>
                <w:szCs w:val="21"/>
                <w:highlight w:val="none"/>
                <w:lang w:val="en-US" w:eastAsia="zh-CN"/>
              </w:rPr>
              <w:t>1项</w:t>
            </w:r>
            <w:r>
              <w:rPr>
                <w:rFonts w:hint="eastAsia" w:ascii="宋体" w:hAnsi="宋体" w:cs="Times New Roman"/>
                <w:color w:val="auto"/>
                <w:kern w:val="0"/>
                <w:szCs w:val="21"/>
                <w:highlight w:val="none"/>
                <w:lang w:val="en-US" w:eastAsia="zh-CN"/>
              </w:rPr>
              <w:t>高速公路基础设施(含桥梁)监测</w:t>
            </w:r>
            <w:r>
              <w:rPr>
                <w:rFonts w:hint="eastAsia" w:ascii="宋体" w:hAnsi="宋体" w:eastAsia="宋体" w:cs="Times New Roman"/>
                <w:color w:val="auto"/>
                <w:kern w:val="0"/>
                <w:szCs w:val="21"/>
                <w:highlight w:val="none"/>
                <w:lang w:val="en-US" w:eastAsia="zh-CN"/>
              </w:rPr>
              <w:t>项目业绩</w:t>
            </w:r>
            <w:r>
              <w:rPr>
                <w:rFonts w:hint="eastAsia" w:ascii="宋体" w:hAnsi="宋体" w:eastAsia="宋体" w:cs="Times New Roman"/>
                <w:color w:val="auto"/>
                <w:kern w:val="0"/>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9286" w:type="dxa"/>
            <w:noWrap w:val="0"/>
            <w:vAlign w:val="center"/>
          </w:tcPr>
          <w:p>
            <w:pPr>
              <w:pStyle w:val="9"/>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eastAsia" w:ascii="宋体" w:hAnsi="宋体" w:eastAsia="宋体"/>
                <w:color w:val="auto"/>
                <w:kern w:val="0"/>
                <w:szCs w:val="21"/>
                <w:highlight w:val="none"/>
                <w:lang w:val="en-US" w:eastAsia="zh-CN"/>
              </w:rPr>
            </w:pPr>
            <w:r>
              <w:rPr>
                <w:rFonts w:hint="eastAsia" w:ascii="Calibri" w:hAnsi="Calibri" w:eastAsia="宋体" w:cs="Times New Roman"/>
                <w:color w:val="auto"/>
                <w:kern w:val="0"/>
                <w:sz w:val="21"/>
                <w:szCs w:val="21"/>
                <w:highlight w:val="none"/>
                <w:lang w:val="en-US" w:eastAsia="zh-CN" w:bidi="ar-SA"/>
              </w:rPr>
              <w:t>注：以联合体形式投标的，联合体应满足本项规定的资格条件。</w:t>
            </w:r>
          </w:p>
        </w:tc>
      </w:tr>
    </w:tbl>
    <w:p>
      <w:pPr>
        <w:adjustRightInd w:val="0"/>
        <w:spacing w:line="400" w:lineRule="exact"/>
        <w:jc w:val="both"/>
        <w:rPr>
          <w:rFonts w:hint="eastAsia" w:ascii="宋体" w:hAnsi="宋体" w:eastAsia="宋体" w:cs="宋体"/>
          <w:b/>
          <w:color w:val="auto"/>
          <w:sz w:val="24"/>
          <w:szCs w:val="24"/>
          <w:highlight w:val="none"/>
        </w:rPr>
      </w:pPr>
    </w:p>
    <w:p>
      <w:pPr>
        <w:adjustRightInd w:val="0"/>
        <w:spacing w:line="400" w:lineRule="exact"/>
        <w:jc w:val="center"/>
        <w:rPr>
          <w:rFonts w:hint="eastAsia" w:ascii="宋体" w:hAnsi="宋体" w:eastAsia="宋体" w:cs="宋体"/>
          <w:b/>
          <w:color w:val="auto"/>
          <w:sz w:val="24"/>
          <w:szCs w:val="24"/>
          <w:highlight w:val="none"/>
        </w:rPr>
      </w:pPr>
    </w:p>
    <w:p>
      <w:pPr>
        <w:adjustRightIn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附录3 资格审查条件（信誉最低要求）</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286" w:type="dxa"/>
            <w:noWrap w:val="0"/>
            <w:vAlign w:val="center"/>
          </w:tcPr>
          <w:p>
            <w:pPr>
              <w:pStyle w:val="6"/>
              <w:spacing w:before="0" w:beforeAutospacing="0" w:after="0" w:afterAutospacing="0" w:line="240" w:lineRule="auto"/>
              <w:ind w:firstLine="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信誉要求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jc w:val="center"/>
        </w:trPr>
        <w:tc>
          <w:tcPr>
            <w:tcW w:w="9286" w:type="dxa"/>
            <w:noWrap w:val="0"/>
            <w:vAlign w:val="center"/>
          </w:tcPr>
          <w:p>
            <w:pPr>
              <w:pStyle w:val="9"/>
              <w:keepNext w:val="0"/>
              <w:keepLines w:val="0"/>
              <w:pageBreakBefore w:val="0"/>
              <w:widowControl w:val="0"/>
              <w:kinsoku/>
              <w:wordWrap/>
              <w:overflowPunct/>
              <w:topLinePunct w:val="0"/>
              <w:autoSpaceDE w:val="0"/>
              <w:autoSpaceDN w:val="0"/>
              <w:bidi w:val="0"/>
              <w:adjustRightInd w:val="0"/>
              <w:snapToGrid/>
              <w:spacing w:line="320" w:lineRule="exact"/>
              <w:ind w:firstLine="420" w:firstLineChars="200"/>
              <w:textAlignment w:val="auto"/>
              <w:rPr>
                <w:rFonts w:hint="eastAsia"/>
                <w:color w:val="auto"/>
                <w:highlight w:val="none"/>
              </w:rPr>
            </w:pPr>
            <w:r>
              <w:rPr>
                <w:rFonts w:hint="eastAsia" w:ascii="宋体" w:hAnsi="宋体" w:eastAsia="宋体" w:cs="宋体"/>
                <w:color w:val="auto"/>
                <w:sz w:val="21"/>
                <w:szCs w:val="21"/>
                <w:highlight w:val="none"/>
                <w:lang w:eastAsia="zh-CN"/>
              </w:rPr>
              <w:t>投标人在过去1年中（202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年</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月1日至投标截止时间）不曾在</w:t>
            </w:r>
            <w:r>
              <w:rPr>
                <w:rFonts w:hint="eastAsia" w:ascii="宋体" w:hAnsi="宋体" w:eastAsia="宋体" w:cs="宋体"/>
                <w:color w:val="auto"/>
                <w:sz w:val="21"/>
                <w:szCs w:val="21"/>
                <w:highlight w:val="none"/>
                <w:lang w:val="en-US" w:eastAsia="zh-CN"/>
              </w:rPr>
              <w:t>高速公路基础设施(</w:t>
            </w:r>
            <w:r>
              <w:rPr>
                <w:rFonts w:hint="eastAsia" w:hAnsi="宋体" w:cs="宋体"/>
                <w:color w:val="auto"/>
                <w:sz w:val="21"/>
                <w:szCs w:val="21"/>
                <w:highlight w:val="none"/>
                <w:lang w:val="en-US" w:eastAsia="zh-CN"/>
              </w:rPr>
              <w:t>含</w:t>
            </w:r>
            <w:r>
              <w:rPr>
                <w:rFonts w:hint="eastAsia" w:ascii="宋体" w:hAnsi="宋体" w:eastAsia="宋体" w:cs="宋体"/>
                <w:color w:val="auto"/>
                <w:sz w:val="21"/>
                <w:szCs w:val="21"/>
                <w:highlight w:val="none"/>
                <w:lang w:val="en-US" w:eastAsia="zh-CN"/>
              </w:rPr>
              <w:t>桥梁)监测项目</w:t>
            </w:r>
            <w:r>
              <w:rPr>
                <w:rFonts w:hint="eastAsia" w:ascii="宋体" w:hAnsi="宋体" w:eastAsia="宋体" w:cs="宋体"/>
                <w:color w:val="auto"/>
                <w:sz w:val="21"/>
                <w:szCs w:val="21"/>
                <w:highlight w:val="none"/>
                <w:lang w:eastAsia="zh-CN"/>
              </w:rPr>
              <w:t>合同中违约被驱逐或因投标人自身的原因而使合同被解除。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286" w:type="dxa"/>
            <w:noWrap w:val="0"/>
            <w:vAlign w:val="center"/>
          </w:tcPr>
          <w:p>
            <w:pPr>
              <w:pStyle w:val="9"/>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eastAsia="宋体" w:cs="宋体"/>
                <w:color w:val="auto"/>
                <w:sz w:val="21"/>
                <w:szCs w:val="21"/>
                <w:highlight w:val="none"/>
                <w:lang w:eastAsia="zh-CN"/>
              </w:rPr>
            </w:pPr>
            <w:r>
              <w:rPr>
                <w:rFonts w:hint="eastAsia" w:ascii="Calibri" w:hAnsi="Calibri" w:eastAsia="宋体" w:cs="Times New Roman"/>
                <w:color w:val="auto"/>
                <w:kern w:val="0"/>
                <w:sz w:val="21"/>
                <w:szCs w:val="21"/>
                <w:highlight w:val="none"/>
                <w:lang w:val="en-US" w:eastAsia="zh-CN" w:bidi="ar-SA"/>
              </w:rPr>
              <w:t>注：</w:t>
            </w:r>
            <w:r>
              <w:rPr>
                <w:rFonts w:hint="eastAsia" w:ascii="宋体" w:hAnsi="宋体" w:eastAsia="宋体" w:cs="宋体"/>
                <w:color w:val="auto"/>
                <w:sz w:val="21"/>
                <w:szCs w:val="21"/>
                <w:highlight w:val="none"/>
                <w:lang w:eastAsia="zh-CN"/>
              </w:rPr>
              <w:t>以联合体形式投标的，联合体</w:t>
            </w:r>
            <w:r>
              <w:rPr>
                <w:rFonts w:hint="eastAsia" w:hAnsi="宋体" w:cs="宋体"/>
                <w:color w:val="auto"/>
                <w:sz w:val="21"/>
                <w:szCs w:val="21"/>
                <w:highlight w:val="none"/>
                <w:lang w:eastAsia="zh-CN"/>
              </w:rPr>
              <w:t>各</w:t>
            </w:r>
            <w:r>
              <w:rPr>
                <w:rFonts w:hint="eastAsia" w:ascii="宋体" w:hAnsi="宋体" w:eastAsia="宋体" w:cs="宋体"/>
                <w:color w:val="auto"/>
                <w:sz w:val="21"/>
                <w:szCs w:val="21"/>
                <w:highlight w:val="none"/>
                <w:lang w:eastAsia="zh-CN"/>
              </w:rPr>
              <w:t>成员均应满足本项规定的资格条件。</w:t>
            </w:r>
          </w:p>
        </w:tc>
      </w:tr>
    </w:tbl>
    <w:p>
      <w:pPr>
        <w:adjustRightInd w:val="0"/>
        <w:spacing w:line="400" w:lineRule="exact"/>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jc w:val="center"/>
        <w:rPr>
          <w:rFonts w:hint="eastAsia" w:ascii="宋体" w:hAnsi="宋体" w:eastAsia="宋体" w:cs="宋体"/>
          <w:b/>
          <w:color w:val="auto"/>
          <w:sz w:val="24"/>
          <w:szCs w:val="24"/>
          <w:highlight w:val="none"/>
        </w:rPr>
      </w:pPr>
    </w:p>
    <w:p>
      <w:pPr>
        <w:jc w:val="center"/>
        <w:rPr>
          <w:rFonts w:hint="eastAsia" w:ascii="宋体" w:hAnsi="宋体" w:eastAsia="宋体" w:cs="宋体"/>
          <w:b/>
          <w:color w:val="auto"/>
          <w:sz w:val="24"/>
          <w:szCs w:val="24"/>
          <w:highlight w:val="none"/>
        </w:rPr>
      </w:pPr>
    </w:p>
    <w:p>
      <w:pPr>
        <w:jc w:val="center"/>
        <w:rPr>
          <w:rFonts w:hint="eastAsia" w:ascii="宋体" w:hAnsi="宋体" w:eastAsia="宋体" w:cs="宋体"/>
          <w:b/>
          <w:color w:val="auto"/>
          <w:sz w:val="24"/>
          <w:szCs w:val="24"/>
          <w:highlight w:val="none"/>
        </w:rPr>
      </w:pPr>
    </w:p>
    <w:p>
      <w:pPr>
        <w:jc w:val="center"/>
        <w:rPr>
          <w:rFonts w:hint="eastAsia" w:ascii="宋体" w:hAnsi="宋体" w:eastAsia="宋体" w:cs="宋体"/>
          <w:b/>
          <w:color w:val="auto"/>
          <w:sz w:val="24"/>
          <w:szCs w:val="24"/>
          <w:highlight w:val="none"/>
        </w:rPr>
      </w:pPr>
    </w:p>
    <w:p>
      <w:pPr>
        <w:jc w:val="center"/>
        <w:rPr>
          <w:rFonts w:hint="eastAsia" w:ascii="宋体" w:hAnsi="宋体" w:eastAsia="宋体" w:cs="宋体"/>
          <w:b/>
          <w:color w:val="auto"/>
          <w:sz w:val="24"/>
          <w:szCs w:val="24"/>
          <w:highlight w:val="none"/>
        </w:rPr>
      </w:pPr>
    </w:p>
    <w:p>
      <w:pPr>
        <w:jc w:val="center"/>
        <w:rPr>
          <w:rFonts w:hint="eastAsia" w:ascii="宋体" w:hAnsi="宋体" w:eastAsia="宋体" w:cs="宋体"/>
          <w:b/>
          <w:color w:val="auto"/>
          <w:sz w:val="24"/>
          <w:szCs w:val="24"/>
          <w:highlight w:val="none"/>
        </w:rPr>
      </w:pP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附录4 资格审查条件（</w:t>
      </w:r>
      <w:r>
        <w:rPr>
          <w:rFonts w:hint="eastAsia" w:ascii="宋体" w:hAnsi="宋体" w:cs="宋体"/>
          <w:b/>
          <w:color w:val="auto"/>
          <w:sz w:val="24"/>
          <w:szCs w:val="24"/>
          <w:highlight w:val="none"/>
          <w:lang w:val="en-US" w:eastAsia="zh-CN"/>
        </w:rPr>
        <w:t>项目负责人和技术负责人</w:t>
      </w:r>
      <w:r>
        <w:rPr>
          <w:rFonts w:hint="eastAsia" w:ascii="宋体" w:hAnsi="宋体" w:eastAsia="宋体" w:cs="宋体"/>
          <w:b/>
          <w:color w:val="auto"/>
          <w:sz w:val="24"/>
          <w:szCs w:val="24"/>
          <w:highlight w:val="none"/>
        </w:rPr>
        <w:t>最低要求）</w:t>
      </w:r>
    </w:p>
    <w:tbl>
      <w:tblPr>
        <w:tblStyle w:val="7"/>
        <w:tblW w:w="527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84"/>
        <w:gridCol w:w="916"/>
        <w:gridCol w:w="64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881" w:type="pct"/>
            <w:noWrap w:val="0"/>
            <w:vAlign w:val="center"/>
          </w:tcPr>
          <w:p>
            <w:pPr>
              <w:pStyle w:val="6"/>
              <w:adjustRightInd w:val="0"/>
              <w:snapToGrid w:val="0"/>
              <w:spacing w:before="0" w:beforeAutospacing="0" w:after="0" w:afterAutospacing="0" w:line="240" w:lineRule="auto"/>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w:t>
            </w:r>
          </w:p>
        </w:tc>
        <w:tc>
          <w:tcPr>
            <w:tcW w:w="509" w:type="pct"/>
            <w:noWrap w:val="0"/>
            <w:vAlign w:val="center"/>
          </w:tcPr>
          <w:p>
            <w:pPr>
              <w:pStyle w:val="6"/>
              <w:adjustRightInd w:val="0"/>
              <w:snapToGrid w:val="0"/>
              <w:spacing w:before="0" w:beforeAutospacing="0" w:after="0" w:afterAutospacing="0" w:line="240" w:lineRule="auto"/>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tc>
        <w:tc>
          <w:tcPr>
            <w:tcW w:w="3608" w:type="pct"/>
            <w:noWrap w:val="0"/>
            <w:vAlign w:val="center"/>
          </w:tcPr>
          <w:p>
            <w:pPr>
              <w:pStyle w:val="6"/>
              <w:adjustRightInd w:val="0"/>
              <w:snapToGrid w:val="0"/>
              <w:spacing w:before="0" w:beforeAutospacing="0" w:after="0" w:afterAutospacing="0" w:line="240" w:lineRule="auto"/>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0" w:hRule="atLeast"/>
          <w:jc w:val="center"/>
        </w:trPr>
        <w:tc>
          <w:tcPr>
            <w:tcW w:w="1663" w:type="dxa"/>
            <w:noWrap w:val="0"/>
            <w:vAlign w:val="center"/>
          </w:tcPr>
          <w:p>
            <w:pPr>
              <w:jc w:val="center"/>
              <w:rPr>
                <w:rFonts w:hint="eastAsia" w:ascii="宋体" w:hAnsi="宋体" w:eastAsia="宋体" w:cs="宋体"/>
                <w:color w:val="auto"/>
                <w:sz w:val="21"/>
                <w:szCs w:val="21"/>
                <w:highlight w:val="none"/>
              </w:rPr>
            </w:pPr>
            <w:r>
              <w:rPr>
                <w:rFonts w:hint="eastAsia" w:ascii="宋体" w:hAnsi="宋体"/>
                <w:color w:val="auto"/>
                <w:szCs w:val="21"/>
                <w:highlight w:val="none"/>
              </w:rPr>
              <w:t>项目负责人</w:t>
            </w:r>
          </w:p>
        </w:tc>
        <w:tc>
          <w:tcPr>
            <w:tcW w:w="962" w:type="dxa"/>
            <w:noWrap w:val="0"/>
            <w:vAlign w:val="center"/>
          </w:tcPr>
          <w:p>
            <w:pPr>
              <w:jc w:val="center"/>
              <w:rPr>
                <w:rFonts w:hint="eastAsia" w:ascii="宋体" w:hAnsi="宋体" w:eastAsia="宋体" w:cs="宋体"/>
                <w:color w:val="auto"/>
                <w:sz w:val="21"/>
                <w:szCs w:val="21"/>
                <w:highlight w:val="none"/>
              </w:rPr>
            </w:pPr>
            <w:r>
              <w:rPr>
                <w:rFonts w:hint="eastAsia" w:ascii="宋体" w:hAnsi="宋体"/>
                <w:color w:val="auto"/>
                <w:szCs w:val="21"/>
                <w:highlight w:val="none"/>
              </w:rPr>
              <w:t>1</w:t>
            </w:r>
          </w:p>
        </w:tc>
        <w:tc>
          <w:tcPr>
            <w:tcW w:w="6816" w:type="dxa"/>
            <w:noWrap w:val="0"/>
            <w:vAlign w:val="center"/>
          </w:tcPr>
          <w:p>
            <w:pPr>
              <w:snapToGrid w:val="0"/>
              <w:spacing w:line="360" w:lineRule="exact"/>
              <w:ind w:firstLine="420" w:firstLineChars="200"/>
              <w:rPr>
                <w:rFonts w:hint="eastAsia" w:ascii="宋体" w:hAnsi="宋体" w:eastAsia="宋体"/>
                <w:color w:val="auto"/>
                <w:kern w:val="0"/>
                <w:szCs w:val="21"/>
                <w:highlight w:val="none"/>
                <w:lang w:eastAsia="zh-CN"/>
              </w:rPr>
            </w:pPr>
            <w:r>
              <w:rPr>
                <w:rFonts w:hint="eastAsia"/>
                <w:color w:val="auto"/>
                <w:kern w:val="0"/>
                <w:szCs w:val="21"/>
                <w:highlight w:val="none"/>
                <w:lang w:val="en-US" w:eastAsia="zh-CN"/>
              </w:rPr>
              <w:t>中</w:t>
            </w:r>
            <w:r>
              <w:rPr>
                <w:rFonts w:hint="eastAsia" w:ascii="宋体" w:hAnsi="宋体"/>
                <w:color w:val="auto"/>
                <w:kern w:val="0"/>
                <w:szCs w:val="21"/>
                <w:highlight w:val="none"/>
              </w:rPr>
              <w:t>级</w:t>
            </w:r>
            <w:r>
              <w:rPr>
                <w:rFonts w:hint="eastAsia" w:ascii="宋体" w:hAnsi="宋体"/>
                <w:color w:val="auto"/>
                <w:kern w:val="0"/>
                <w:szCs w:val="21"/>
                <w:highlight w:val="none"/>
                <w:lang w:val="en-US" w:eastAsia="zh-CN"/>
              </w:rPr>
              <w:t>或以上</w:t>
            </w:r>
            <w:r>
              <w:rPr>
                <w:rFonts w:hint="eastAsia"/>
                <w:color w:val="auto"/>
                <w:kern w:val="0"/>
                <w:szCs w:val="21"/>
                <w:highlight w:val="none"/>
                <w:lang w:val="en-US" w:eastAsia="zh-CN"/>
              </w:rPr>
              <w:t>技术职称</w:t>
            </w:r>
          </w:p>
          <w:p>
            <w:pPr>
              <w:snapToGrid w:val="0"/>
              <w:spacing w:line="36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近5年（20</w:t>
            </w: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月1日至投标截止时间，以合同签订时间为准）至少担任过</w:t>
            </w:r>
            <w:r>
              <w:rPr>
                <w:rFonts w:hint="eastAsia" w:ascii="宋体" w:hAnsi="宋体" w:eastAsia="宋体" w:cs="宋体"/>
                <w:color w:val="auto"/>
                <w:kern w:val="0"/>
                <w:szCs w:val="21"/>
                <w:highlight w:val="none"/>
                <w:lang w:val="en-US" w:eastAsia="zh-CN"/>
              </w:rPr>
              <w:t>1项高速公路基础设施(含桥梁)监测项目</w:t>
            </w:r>
            <w:r>
              <w:rPr>
                <w:rFonts w:hint="eastAsia" w:ascii="宋体" w:hAnsi="宋体" w:eastAsia="宋体" w:cs="宋体"/>
                <w:color w:val="auto"/>
                <w:kern w:val="0"/>
                <w:szCs w:val="21"/>
                <w:highlight w:val="none"/>
              </w:rPr>
              <w:t>的项目负责人。</w:t>
            </w:r>
          </w:p>
          <w:p>
            <w:pPr>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color w:val="auto"/>
                <w:kern w:val="0"/>
                <w:szCs w:val="21"/>
                <w:highlight w:val="none"/>
              </w:rPr>
              <w:t>以联合体形式投标的，项目负责人应由联合体牵头单位委派。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0" w:hRule="atLeast"/>
          <w:jc w:val="center"/>
        </w:trPr>
        <w:tc>
          <w:tcPr>
            <w:tcW w:w="1663" w:type="dxa"/>
            <w:noWrap w:val="0"/>
            <w:vAlign w:val="center"/>
          </w:tcPr>
          <w:p>
            <w:pPr>
              <w:jc w:val="center"/>
              <w:rPr>
                <w:rFonts w:hint="eastAsia" w:ascii="宋体" w:hAnsi="宋体" w:eastAsia="宋体" w:cs="宋体"/>
                <w:color w:val="auto"/>
                <w:sz w:val="21"/>
                <w:szCs w:val="21"/>
                <w:highlight w:val="none"/>
              </w:rPr>
            </w:pPr>
            <w:r>
              <w:rPr>
                <w:rFonts w:hint="eastAsia" w:ascii="宋体" w:hAnsi="宋体"/>
                <w:color w:val="auto"/>
                <w:szCs w:val="21"/>
                <w:highlight w:val="none"/>
              </w:rPr>
              <w:t>技术负责人</w:t>
            </w:r>
          </w:p>
        </w:tc>
        <w:tc>
          <w:tcPr>
            <w:tcW w:w="962" w:type="dxa"/>
            <w:noWrap w:val="0"/>
            <w:vAlign w:val="center"/>
          </w:tcPr>
          <w:p>
            <w:pPr>
              <w:jc w:val="center"/>
              <w:rPr>
                <w:rFonts w:hint="eastAsia" w:ascii="宋体" w:hAnsi="宋体" w:eastAsia="宋体" w:cs="宋体"/>
                <w:color w:val="auto"/>
                <w:sz w:val="21"/>
                <w:szCs w:val="21"/>
                <w:highlight w:val="none"/>
              </w:rPr>
            </w:pPr>
            <w:r>
              <w:rPr>
                <w:rFonts w:hint="eastAsia"/>
                <w:color w:val="auto"/>
                <w:szCs w:val="21"/>
                <w:highlight w:val="none"/>
                <w:lang w:val="en-US" w:eastAsia="zh-CN"/>
              </w:rPr>
              <w:t>1</w:t>
            </w:r>
          </w:p>
        </w:tc>
        <w:tc>
          <w:tcPr>
            <w:tcW w:w="6816" w:type="dxa"/>
            <w:noWrap w:val="0"/>
            <w:vAlign w:val="center"/>
          </w:tcPr>
          <w:p>
            <w:pPr>
              <w:snapToGrid w:val="0"/>
              <w:spacing w:line="360" w:lineRule="exact"/>
              <w:ind w:firstLine="420" w:firstLineChars="200"/>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高级</w:t>
            </w:r>
            <w:r>
              <w:rPr>
                <w:rFonts w:hint="eastAsia" w:ascii="宋体" w:hAnsi="宋体"/>
                <w:color w:val="auto"/>
                <w:kern w:val="0"/>
                <w:szCs w:val="21"/>
                <w:highlight w:val="none"/>
                <w:lang w:eastAsia="zh-CN"/>
              </w:rPr>
              <w:t>或以上</w:t>
            </w:r>
            <w:r>
              <w:rPr>
                <w:rFonts w:hint="eastAsia"/>
                <w:color w:val="auto"/>
                <w:kern w:val="0"/>
                <w:szCs w:val="21"/>
                <w:highlight w:val="none"/>
                <w:lang w:val="en-US" w:eastAsia="zh-CN"/>
              </w:rPr>
              <w:t>技术职称</w:t>
            </w:r>
          </w:p>
          <w:p>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具有交通运输部工程质量监督局颁发的试验检测工程师资格证书，或交通运输部职业资格中心颁发的公路水运工程试验检测师资格证书；且在“公路水运工程质量检测管理信息系统（https://www.ttiis.cn）”中进行登记</w:t>
            </w:r>
            <w:r>
              <w:rPr>
                <w:rFonts w:hint="eastAsia" w:ascii="宋体" w:hAnsi="宋体"/>
                <w:color w:val="auto"/>
                <w:kern w:val="0"/>
                <w:szCs w:val="21"/>
                <w:highlight w:val="none"/>
                <w:lang w:eastAsia="zh-CN"/>
              </w:rPr>
              <w:t>，</w:t>
            </w:r>
            <w:r>
              <w:rPr>
                <w:rFonts w:hint="eastAsia" w:ascii="宋体" w:hAnsi="宋体"/>
                <w:kern w:val="2"/>
                <w:sz w:val="21"/>
                <w:szCs w:val="24"/>
                <w:highlight w:val="none"/>
              </w:rPr>
              <w:t>注册证书的注册单位须与投标人单位名称一致</w:t>
            </w:r>
            <w:r>
              <w:rPr>
                <w:rFonts w:hint="eastAsia" w:ascii="宋体" w:hAnsi="宋体"/>
                <w:color w:val="auto"/>
                <w:kern w:val="0"/>
                <w:szCs w:val="21"/>
                <w:highlight w:val="none"/>
              </w:rPr>
              <w:t>。</w:t>
            </w:r>
          </w:p>
          <w:p>
            <w:pPr>
              <w:snapToGrid w:val="0"/>
              <w:spacing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Cs w:val="21"/>
                <w:highlight w:val="none"/>
              </w:rPr>
              <w:t>近5年（20</w:t>
            </w: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月1日至投标截止时间，以合同签订时间为准），至少担任过</w:t>
            </w:r>
            <w:r>
              <w:rPr>
                <w:rFonts w:hint="eastAsia" w:ascii="宋体" w:hAnsi="宋体" w:eastAsia="宋体" w:cs="宋体"/>
                <w:color w:val="auto"/>
                <w:kern w:val="0"/>
                <w:szCs w:val="21"/>
                <w:highlight w:val="none"/>
                <w:lang w:val="en-US" w:eastAsia="zh-CN"/>
              </w:rPr>
              <w:t>1项高速公路基础设施(含桥梁)监测项目</w:t>
            </w:r>
            <w:r>
              <w:rPr>
                <w:rFonts w:hint="eastAsia" w:ascii="宋体" w:hAnsi="宋体" w:eastAsia="宋体" w:cs="宋体"/>
                <w:color w:val="auto"/>
                <w:kern w:val="0"/>
                <w:szCs w:val="21"/>
                <w:highlight w:val="none"/>
              </w:rPr>
              <w:t>的技术负责人（或项目负责人）</w:t>
            </w:r>
            <w:r>
              <w:rPr>
                <w:rFonts w:hint="eastAsia" w:ascii="宋体" w:hAnsi="宋体" w:eastAsia="宋体" w:cs="宋体"/>
                <w:color w:val="auto"/>
                <w:kern w:val="0"/>
                <w:szCs w:val="21"/>
                <w:highlight w:val="none"/>
                <w:lang w:eastAsia="zh-CN"/>
              </w:rPr>
              <w:t>。</w:t>
            </w:r>
          </w:p>
        </w:tc>
      </w:tr>
    </w:tbl>
    <w:p>
      <w:pPr>
        <w:jc w:val="center"/>
        <w:rPr>
          <w:rFonts w:hint="eastAsia" w:ascii="宋体" w:hAnsi="宋体"/>
          <w:b/>
          <w:sz w:val="24"/>
          <w:szCs w:val="24"/>
          <w:highlight w:val="none"/>
        </w:rPr>
      </w:pPr>
    </w:p>
    <w:bookmarkEnd w:id="1"/>
    <w:bookmarkEnd w:id="2"/>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1752B55"/>
    <w:rsid w:val="01F1646E"/>
    <w:rsid w:val="052B11AA"/>
    <w:rsid w:val="053765B9"/>
    <w:rsid w:val="05482EA2"/>
    <w:rsid w:val="064102F9"/>
    <w:rsid w:val="067A164E"/>
    <w:rsid w:val="07FC4D37"/>
    <w:rsid w:val="0AB54A42"/>
    <w:rsid w:val="0CA8704E"/>
    <w:rsid w:val="0E81287E"/>
    <w:rsid w:val="12476BEA"/>
    <w:rsid w:val="15252667"/>
    <w:rsid w:val="153B67D4"/>
    <w:rsid w:val="16415095"/>
    <w:rsid w:val="17C044C3"/>
    <w:rsid w:val="18670549"/>
    <w:rsid w:val="1B676774"/>
    <w:rsid w:val="1C063B10"/>
    <w:rsid w:val="1D625D4F"/>
    <w:rsid w:val="1D7B470C"/>
    <w:rsid w:val="1D951969"/>
    <w:rsid w:val="1F071645"/>
    <w:rsid w:val="1F58329B"/>
    <w:rsid w:val="214C45F4"/>
    <w:rsid w:val="21C050E1"/>
    <w:rsid w:val="23585E1D"/>
    <w:rsid w:val="237B6F63"/>
    <w:rsid w:val="262B258E"/>
    <w:rsid w:val="267C5F31"/>
    <w:rsid w:val="27065532"/>
    <w:rsid w:val="27C849A7"/>
    <w:rsid w:val="29FD3CFB"/>
    <w:rsid w:val="2A14027C"/>
    <w:rsid w:val="2A7201E4"/>
    <w:rsid w:val="2C053E53"/>
    <w:rsid w:val="2C461E1C"/>
    <w:rsid w:val="2E355690"/>
    <w:rsid w:val="2EED0ED3"/>
    <w:rsid w:val="2F12606C"/>
    <w:rsid w:val="2FE07023"/>
    <w:rsid w:val="30646183"/>
    <w:rsid w:val="31EE7681"/>
    <w:rsid w:val="34715C57"/>
    <w:rsid w:val="35F04520"/>
    <w:rsid w:val="36AE5B31"/>
    <w:rsid w:val="37DE6BB9"/>
    <w:rsid w:val="38F0586E"/>
    <w:rsid w:val="39BF72B4"/>
    <w:rsid w:val="3AFE0D2F"/>
    <w:rsid w:val="3B4A3961"/>
    <w:rsid w:val="3BED56CD"/>
    <w:rsid w:val="3D784A90"/>
    <w:rsid w:val="3E864610"/>
    <w:rsid w:val="3F405866"/>
    <w:rsid w:val="4327445A"/>
    <w:rsid w:val="438E434B"/>
    <w:rsid w:val="439515D5"/>
    <w:rsid w:val="43A66C1F"/>
    <w:rsid w:val="483C2366"/>
    <w:rsid w:val="48A43D49"/>
    <w:rsid w:val="4B4311A8"/>
    <w:rsid w:val="4B720118"/>
    <w:rsid w:val="4BEE2E5D"/>
    <w:rsid w:val="4E1C46B2"/>
    <w:rsid w:val="51ED2A7B"/>
    <w:rsid w:val="54697928"/>
    <w:rsid w:val="56FC3747"/>
    <w:rsid w:val="5787161D"/>
    <w:rsid w:val="5C09106B"/>
    <w:rsid w:val="5C761162"/>
    <w:rsid w:val="5C926C63"/>
    <w:rsid w:val="5E554B9A"/>
    <w:rsid w:val="61CF197C"/>
    <w:rsid w:val="63737747"/>
    <w:rsid w:val="654419FA"/>
    <w:rsid w:val="65E20F44"/>
    <w:rsid w:val="6683726D"/>
    <w:rsid w:val="669B5E8E"/>
    <w:rsid w:val="67367C78"/>
    <w:rsid w:val="678A4CB4"/>
    <w:rsid w:val="67FA6F08"/>
    <w:rsid w:val="6EA91E8E"/>
    <w:rsid w:val="708243D3"/>
    <w:rsid w:val="71AA3117"/>
    <w:rsid w:val="735C2CFF"/>
    <w:rsid w:val="74497FB5"/>
    <w:rsid w:val="75456D0E"/>
    <w:rsid w:val="75610AB3"/>
    <w:rsid w:val="777F589E"/>
    <w:rsid w:val="78F758DF"/>
    <w:rsid w:val="7D5239E6"/>
    <w:rsid w:val="7EC84463"/>
    <w:rsid w:val="7F89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szCs w:val="24"/>
    </w:rPr>
  </w:style>
  <w:style w:type="paragraph" w:styleId="4">
    <w:name w:val="toa heading"/>
    <w:basedOn w:val="1"/>
    <w:next w:val="1"/>
    <w:unhideWhenUsed/>
    <w:qFormat/>
    <w:uiPriority w:val="99"/>
    <w:pPr>
      <w:spacing w:before="120"/>
      <w:ind w:firstLine="560" w:firstLineChars="200"/>
    </w:pPr>
    <w:rPr>
      <w:rFonts w:ascii="Cambria" w:hAnsi="Cambria"/>
      <w:szCs w:val="24"/>
    </w:rPr>
  </w:style>
  <w:style w:type="paragraph" w:styleId="5">
    <w:name w:val="Plain Text"/>
    <w:basedOn w:val="1"/>
    <w:qFormat/>
    <w:uiPriority w:val="0"/>
    <w:rPr>
      <w:rFonts w:ascii="宋体" w:hAnsi="Courier New"/>
      <w:kern w:val="0"/>
      <w:sz w:val="20"/>
      <w:szCs w:val="20"/>
    </w:rPr>
  </w:style>
  <w:style w:type="paragraph" w:styleId="6">
    <w:name w:val="Normal (Web)"/>
    <w:basedOn w:val="1"/>
    <w:autoRedefine/>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0">
    <w:name w:val="样式 首行缩进:  1 厘米 行距: 固定值 25 磅"/>
    <w:basedOn w:val="1"/>
    <w:autoRedefine/>
    <w:qFormat/>
    <w:uiPriority w:val="0"/>
    <w:pPr>
      <w:adjustRightInd w:val="0"/>
      <w:spacing w:line="440" w:lineRule="exact"/>
      <w:ind w:firstLine="480" w:firstLineChars="200"/>
      <w:textAlignment w:val="baseline"/>
    </w:pPr>
    <w:rPr>
      <w:rFonts w:ascii="宋体" w:hAnsi="宋体" w:cs="Arial"/>
      <w:kern w:val="2"/>
      <w:sz w:val="24"/>
      <w:szCs w:val="28"/>
    </w:rPr>
  </w:style>
  <w:style w:type="character" w:customStyle="1" w:styleId="11">
    <w:name w:val="正文文本 (2) + 10.5 pt"/>
    <w:autoRedefine/>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paragraph" w:customStyle="1" w:styleId="12">
    <w:name w:val="正文首行缩进 21"/>
    <w:basedOn w:val="13"/>
    <w:autoRedefine/>
    <w:qFormat/>
    <w:uiPriority w:val="0"/>
    <w:pPr>
      <w:ind w:firstLine="420"/>
    </w:pPr>
  </w:style>
  <w:style w:type="paragraph" w:customStyle="1" w:styleId="13">
    <w:name w:val="正文文本缩进1"/>
    <w:basedOn w:val="1"/>
    <w:autoRedefine/>
    <w:qFormat/>
    <w:uiPriority w:val="0"/>
    <w:pPr>
      <w:spacing w:line="500" w:lineRule="exact"/>
      <w:ind w:firstLine="88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2022-07-14T09:40:00Z</dcterms:created>
  <dc:creator>admin</dc:creator>
  <cp:lastModifiedBy>李</cp:lastModifiedBy>
  <dcterms:modified xsi:type="dcterms:W3CDTF">2025-01-25T08:25:32Z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78724F35F4C14ABF86A21046069351B7</vt:lpwstr>
  </property>
</Properties>
</file>