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5B5F">
      <w:pPr>
        <w:pStyle w:val="2"/>
        <w:snapToGrid w:val="0"/>
        <w:spacing w:before="158" w:beforeLines="50" w:after="158" w:afterLines="50" w:line="240" w:lineRule="auto"/>
      </w:pPr>
      <w:bookmarkStart w:id="0" w:name="_Toc13413"/>
      <w:bookmarkStart w:id="1" w:name="_Toc145426379"/>
      <w:bookmarkStart w:id="2" w:name="_Toc4046"/>
      <w:bookmarkStart w:id="3" w:name="_Toc146031774"/>
      <w:bookmarkStart w:id="4" w:name="_Toc141780407"/>
      <w:bookmarkStart w:id="5" w:name="OLE_LINK3"/>
      <w:bookmarkStart w:id="6" w:name="OLE_LINK1"/>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14:paraId="43F30EA9">
      <w:pPr>
        <w:jc w:val="center"/>
      </w:pPr>
    </w:p>
    <w:p w14:paraId="71E733A2">
      <w:pPr>
        <w:jc w:val="center"/>
        <w:rPr>
          <w:rFonts w:hint="eastAsia" w:ascii="宋体" w:hAnsi="宋体"/>
          <w:b/>
          <w:sz w:val="24"/>
          <w:szCs w:val="24"/>
        </w:rPr>
      </w:pPr>
      <w:r>
        <w:rPr>
          <w:rFonts w:hint="eastAsia" w:ascii="宋体" w:hAnsi="宋体"/>
          <w:b/>
          <w:sz w:val="24"/>
          <w:szCs w:val="24"/>
        </w:rPr>
        <w:t>附录1  资格审查条件（资质最低要求）</w:t>
      </w:r>
    </w:p>
    <w:p w14:paraId="6AE45FD1">
      <w:pPr>
        <w:jc w:val="center"/>
        <w:rPr>
          <w:rFonts w:hint="eastAsia" w:ascii="宋体" w:hAnsi="宋体"/>
          <w:b/>
          <w:sz w:val="24"/>
          <w:szCs w:val="24"/>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6991"/>
      </w:tblGrid>
      <w:tr w14:paraId="7ABC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2"/>
            <w:vAlign w:val="center"/>
          </w:tcPr>
          <w:p w14:paraId="5EF04A50">
            <w:pPr>
              <w:keepNext w:val="0"/>
              <w:keepLines w:val="0"/>
              <w:suppressLineNumbers w:val="0"/>
              <w:adjustRightInd w:val="0"/>
              <w:snapToGrid w:val="0"/>
              <w:spacing w:before="0" w:beforeAutospacing="0" w:after="0" w:afterAutospacing="0" w:line="320" w:lineRule="exact"/>
              <w:ind w:left="-2" w:leftChars="-1" w:right="0"/>
              <w:jc w:val="center"/>
              <w:rPr>
                <w:rFonts w:hint="eastAsia" w:ascii="宋体" w:hAnsi="宋体"/>
                <w:szCs w:val="21"/>
              </w:rPr>
            </w:pPr>
            <w:r>
              <w:rPr>
                <w:rFonts w:hint="eastAsia" w:ascii="宋体" w:hAnsi="宋体"/>
                <w:szCs w:val="21"/>
              </w:rPr>
              <w:t>资质要求</w:t>
            </w:r>
          </w:p>
        </w:tc>
      </w:tr>
      <w:tr w14:paraId="239A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pct"/>
            <w:vAlign w:val="center"/>
          </w:tcPr>
          <w:p w14:paraId="48B2C980">
            <w:pPr>
              <w:keepNext w:val="0"/>
              <w:keepLines w:val="0"/>
              <w:suppressLineNumbers w:val="0"/>
              <w:snapToGrid w:val="0"/>
              <w:spacing w:before="0" w:beforeAutospacing="0" w:after="0" w:afterAutospacing="0" w:line="320" w:lineRule="exact"/>
              <w:ind w:left="0" w:right="0"/>
              <w:jc w:val="center"/>
              <w:rPr>
                <w:rFonts w:hint="default" w:ascii="宋体" w:hAnsi="宋体" w:eastAsia="宋体"/>
                <w:szCs w:val="21"/>
                <w:lang w:val="en-US" w:eastAsia="zh-CN"/>
              </w:rPr>
            </w:pPr>
            <w:r>
              <w:rPr>
                <w:rFonts w:hint="eastAsia" w:ascii="宋体" w:hAnsi="宋体"/>
                <w:szCs w:val="21"/>
                <w:lang w:val="en-US" w:eastAsia="zh-CN"/>
              </w:rPr>
              <w:t>营业执照</w:t>
            </w:r>
          </w:p>
        </w:tc>
        <w:tc>
          <w:tcPr>
            <w:tcW w:w="4101" w:type="pct"/>
            <w:vAlign w:val="center"/>
          </w:tcPr>
          <w:p w14:paraId="6B6F1FE8">
            <w:pPr>
              <w:keepNext w:val="0"/>
              <w:keepLines w:val="0"/>
              <w:suppressLineNumbers w:val="0"/>
              <w:snapToGrid w:val="0"/>
              <w:spacing w:before="0" w:beforeAutospacing="0" w:after="0" w:afterAutospacing="0" w:line="320" w:lineRule="exact"/>
              <w:ind w:left="0" w:right="0"/>
              <w:rPr>
                <w:rFonts w:hint="eastAsia" w:ascii="宋体" w:hAnsi="宋体"/>
                <w:kern w:val="0"/>
                <w:szCs w:val="21"/>
              </w:rPr>
            </w:pPr>
            <w:r>
              <w:rPr>
                <w:rFonts w:hint="eastAsia" w:ascii="宋体" w:hAnsi="宋体"/>
                <w:kern w:val="0"/>
                <w:szCs w:val="21"/>
              </w:rPr>
              <w:t>具有</w:t>
            </w:r>
            <w:r>
              <w:rPr>
                <w:rFonts w:hint="eastAsia"/>
              </w:rPr>
              <w:t>独立法人资格，持有有效</w:t>
            </w:r>
            <w:r>
              <w:rPr>
                <w:rFonts w:hint="eastAsia"/>
                <w:lang w:val="en-US" w:eastAsia="zh-CN"/>
              </w:rPr>
              <w:t>企业</w:t>
            </w:r>
            <w:r>
              <w:rPr>
                <w:rFonts w:hint="eastAsia"/>
              </w:rPr>
              <w:t>营业执照。</w:t>
            </w:r>
          </w:p>
        </w:tc>
      </w:tr>
    </w:tbl>
    <w:p w14:paraId="5D1A92F8">
      <w:pPr>
        <w:rPr>
          <w:rFonts w:hint="eastAsia" w:ascii="宋体" w:hAnsi="宋体"/>
          <w:sz w:val="24"/>
          <w:szCs w:val="24"/>
        </w:rPr>
      </w:pPr>
    </w:p>
    <w:p w14:paraId="4CE5802F">
      <w:pPr>
        <w:rPr>
          <w:rFonts w:hint="eastAsia" w:ascii="宋体" w:hAnsi="宋体"/>
          <w:sz w:val="24"/>
          <w:szCs w:val="24"/>
        </w:rPr>
      </w:pPr>
    </w:p>
    <w:p w14:paraId="13805AB9">
      <w:pPr>
        <w:rPr>
          <w:rFonts w:hint="eastAsia" w:ascii="宋体" w:hAnsi="宋体"/>
          <w:sz w:val="24"/>
          <w:szCs w:val="24"/>
        </w:rPr>
      </w:pPr>
    </w:p>
    <w:p w14:paraId="6E98FA0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szCs w:val="24"/>
        </w:rPr>
      </w:pPr>
      <w:r>
        <w:rPr>
          <w:rFonts w:hint="eastAsia" w:ascii="宋体" w:hAnsi="宋体"/>
          <w:b/>
          <w:sz w:val="24"/>
          <w:szCs w:val="24"/>
        </w:rPr>
        <w:t>附录2  资格审查条件（业绩最低要求）</w:t>
      </w:r>
    </w:p>
    <w:p w14:paraId="0508876B">
      <w:pPr>
        <w:jc w:val="center"/>
        <w:rPr>
          <w:rFonts w:hint="eastAsia" w:ascii="宋体" w:hAnsi="宋体"/>
          <w:b/>
          <w:sz w:val="24"/>
          <w:szCs w:val="24"/>
        </w:rPr>
      </w:pPr>
    </w:p>
    <w:tbl>
      <w:tblPr>
        <w:tblStyle w:val="7"/>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4"/>
      </w:tblGrid>
      <w:tr w14:paraId="7A34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54" w:type="dxa"/>
            <w:vAlign w:val="center"/>
          </w:tcPr>
          <w:p w14:paraId="14E767F6">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业绩要求</w:t>
            </w:r>
          </w:p>
        </w:tc>
      </w:tr>
      <w:tr w14:paraId="5CC6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54" w:type="dxa"/>
            <w:vAlign w:val="center"/>
          </w:tcPr>
          <w:p w14:paraId="394AA19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textAlignment w:val="auto"/>
              <w:rPr>
                <w:rFonts w:hint="eastAsia" w:ascii="宋体" w:hAnsi="宋体" w:eastAsia="宋体"/>
                <w:kern w:val="0"/>
                <w:szCs w:val="21"/>
                <w:highlight w:val="none"/>
                <w:lang w:eastAsia="zh"/>
              </w:rPr>
            </w:pPr>
            <w:r>
              <w:rPr>
                <w:rFonts w:hint="eastAsia" w:ascii="宋体" w:hAnsi="宋体"/>
                <w:color w:val="000000"/>
                <w:szCs w:val="21"/>
                <w:highlight w:val="none"/>
              </w:rPr>
              <w:t>投标人近3年内（</w:t>
            </w:r>
            <w:r>
              <w:rPr>
                <w:rFonts w:hint="eastAsia" w:ascii="宋体" w:hAnsi="宋体"/>
                <w:color w:val="000000"/>
                <w:szCs w:val="21"/>
                <w:highlight w:val="none"/>
                <w:lang w:eastAsia="zh-CN"/>
              </w:rPr>
              <w:t>2022年1月1日</w:t>
            </w:r>
            <w:r>
              <w:rPr>
                <w:rFonts w:hint="eastAsia" w:ascii="宋体" w:hAnsi="宋体"/>
                <w:color w:val="000000"/>
                <w:szCs w:val="21"/>
                <w:highlight w:val="none"/>
              </w:rPr>
              <w:t>至今，以合同签订时间为准）至少承担过一项合同额不少于20万元的社会责任报告编制（或可持续发展报告编制）项目业绩。</w:t>
            </w:r>
          </w:p>
        </w:tc>
      </w:tr>
    </w:tbl>
    <w:p w14:paraId="6AE48294">
      <w:pPr>
        <w:widowControl/>
        <w:jc w:val="both"/>
        <w:rPr>
          <w:rFonts w:hint="eastAsia" w:ascii="宋体" w:hAnsi="宋体"/>
          <w:b/>
          <w:sz w:val="24"/>
          <w:szCs w:val="24"/>
        </w:rPr>
      </w:pPr>
    </w:p>
    <w:p w14:paraId="0A427B3E">
      <w:pPr>
        <w:widowControl/>
        <w:jc w:val="center"/>
        <w:rPr>
          <w:rFonts w:hint="eastAsia" w:ascii="宋体" w:hAnsi="宋体"/>
          <w:b/>
          <w:bCs/>
          <w:szCs w:val="21"/>
        </w:rPr>
      </w:pPr>
      <w:r>
        <w:rPr>
          <w:rFonts w:hint="eastAsia" w:ascii="宋体" w:hAnsi="宋体"/>
          <w:b/>
          <w:sz w:val="24"/>
          <w:szCs w:val="24"/>
        </w:rPr>
        <w:t>附</w:t>
      </w:r>
      <w:r>
        <w:rPr>
          <w:rFonts w:ascii="宋体" w:hAnsi="宋体"/>
          <w:b/>
          <w:bCs/>
          <w:sz w:val="24"/>
          <w:szCs w:val="24"/>
        </w:rPr>
        <w:t>录</w:t>
      </w:r>
      <w:r>
        <w:rPr>
          <w:rFonts w:hint="eastAsia" w:ascii="宋体" w:hAnsi="宋体"/>
          <w:b/>
          <w:bCs/>
          <w:sz w:val="24"/>
          <w:szCs w:val="24"/>
          <w:lang w:val="en-US" w:eastAsia="zh-CN"/>
        </w:rPr>
        <w:t>3</w:t>
      </w:r>
      <w:r>
        <w:rPr>
          <w:rFonts w:ascii="宋体" w:hAnsi="宋体"/>
          <w:b/>
          <w:bCs/>
          <w:sz w:val="24"/>
          <w:szCs w:val="24"/>
        </w:rPr>
        <w:t xml:space="preserve">  资格审查条件（信誉要求</w:t>
      </w:r>
      <w:r>
        <w:rPr>
          <w:rFonts w:hint="eastAsia" w:ascii="宋体" w:hAnsi="宋体"/>
          <w:b/>
          <w:bCs/>
          <w:szCs w:val="21"/>
        </w:rPr>
        <w:t>）</w:t>
      </w:r>
    </w:p>
    <w:p w14:paraId="625E66B1">
      <w:pPr>
        <w:pStyle w:val="6"/>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9C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14:paraId="4C748994">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b/>
                <w:szCs w:val="21"/>
              </w:rPr>
            </w:pPr>
            <w:r>
              <w:rPr>
                <w:rFonts w:hint="default" w:ascii="宋体" w:hAnsi="宋体"/>
                <w:szCs w:val="21"/>
              </w:rPr>
              <w:t>信    誉</w:t>
            </w:r>
          </w:p>
        </w:tc>
      </w:tr>
      <w:tr w14:paraId="15C6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5000" w:type="pct"/>
            <w:vAlign w:val="center"/>
          </w:tcPr>
          <w:p w14:paraId="5C4B5E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default" w:hAnsi="宋体"/>
                <w:sz w:val="21"/>
                <w:szCs w:val="21"/>
              </w:rPr>
            </w:pPr>
            <w:r>
              <w:rPr>
                <w:rFonts w:hint="eastAsia" w:ascii="宋体" w:hAnsi="宋体" w:eastAsia="宋体" w:cs="Times New Roman"/>
                <w:color w:val="000000"/>
                <w:szCs w:val="21"/>
                <w:highlight w:val="none"/>
              </w:rPr>
              <w:t>投标人过去1年（</w:t>
            </w:r>
            <w:r>
              <w:rPr>
                <w:rFonts w:hint="eastAsia" w:ascii="宋体" w:hAnsi="宋体" w:eastAsia="宋体" w:cs="Times New Roman"/>
                <w:color w:val="000000"/>
                <w:szCs w:val="21"/>
                <w:highlight w:val="none"/>
                <w:lang w:eastAsia="zh"/>
              </w:rPr>
              <w:t>202</w:t>
            </w:r>
            <w:r>
              <w:rPr>
                <w:rFonts w:hint="eastAsia" w:ascii="宋体" w:hAnsi="宋体" w:cs="Times New Roman"/>
                <w:color w:val="000000"/>
                <w:szCs w:val="21"/>
                <w:highlight w:val="none"/>
                <w:lang w:val="en-US" w:eastAsia="zh-CN"/>
              </w:rPr>
              <w:t>4</w:t>
            </w:r>
            <w:r>
              <w:rPr>
                <w:rFonts w:hint="eastAsia" w:ascii="宋体" w:hAnsi="宋体" w:eastAsia="宋体" w:cs="Times New Roman"/>
                <w:color w:val="000000"/>
                <w:szCs w:val="21"/>
                <w:highlight w:val="none"/>
                <w:lang w:eastAsia="zh"/>
              </w:rPr>
              <w:t>年</w:t>
            </w:r>
            <w:r>
              <w:rPr>
                <w:rFonts w:hint="eastAsia" w:ascii="宋体" w:hAnsi="宋体" w:cs="Times New Roman"/>
                <w:color w:val="000000"/>
                <w:szCs w:val="21"/>
                <w:highlight w:val="none"/>
                <w:lang w:eastAsia="zh-CN"/>
              </w:rPr>
              <w:t>1月1日</w:t>
            </w:r>
            <w:r>
              <w:rPr>
                <w:rFonts w:hint="eastAsia" w:ascii="宋体" w:hAnsi="宋体" w:eastAsia="宋体" w:cs="Times New Roman"/>
                <w:color w:val="000000"/>
                <w:szCs w:val="21"/>
                <w:highlight w:val="none"/>
              </w:rPr>
              <w:t>至今）不曾在社会责任报告编制（或可持续发展报告编制）合同中违约而被驱逐或因投标人自身的原因而使社会责任报告编制（或可持续发展报告编制）合同被解除。</w:t>
            </w:r>
          </w:p>
        </w:tc>
      </w:tr>
    </w:tbl>
    <w:p w14:paraId="15A09523">
      <w:pPr>
        <w:jc w:val="both"/>
        <w:rPr>
          <w:rFonts w:hint="eastAsia" w:ascii="宋体" w:hAnsi="宋体" w:eastAsia="宋体" w:cs="Times New Roman"/>
          <w:b/>
          <w:sz w:val="24"/>
          <w:szCs w:val="24"/>
        </w:rPr>
      </w:pPr>
    </w:p>
    <w:p w14:paraId="7AE4789E">
      <w:pPr>
        <w:jc w:val="both"/>
        <w:rPr>
          <w:rFonts w:hint="eastAsia" w:ascii="宋体" w:hAnsi="宋体" w:eastAsia="宋体" w:cs="Times New Roman"/>
          <w:b/>
          <w:sz w:val="24"/>
          <w:szCs w:val="24"/>
        </w:rPr>
      </w:pPr>
    </w:p>
    <w:p w14:paraId="42716329">
      <w:pPr>
        <w:jc w:val="both"/>
        <w:rPr>
          <w:rFonts w:hint="eastAsia" w:ascii="宋体" w:hAnsi="宋体" w:eastAsia="宋体" w:cs="Times New Roman"/>
          <w:b/>
          <w:sz w:val="24"/>
          <w:szCs w:val="24"/>
        </w:rPr>
      </w:pPr>
    </w:p>
    <w:p w14:paraId="51D057A5">
      <w:pPr>
        <w:jc w:val="center"/>
        <w:rPr>
          <w:rFonts w:hint="eastAsia" w:ascii="宋体" w:hAnsi="宋体" w:eastAsia="宋体" w:cs="Times New Roman"/>
          <w:b/>
          <w:sz w:val="24"/>
          <w:szCs w:val="24"/>
        </w:rPr>
      </w:pPr>
      <w:r>
        <w:rPr>
          <w:rFonts w:hint="eastAsia" w:ascii="宋体" w:hAnsi="宋体" w:eastAsia="宋体" w:cs="Times New Roman"/>
          <w:b/>
          <w:sz w:val="24"/>
          <w:szCs w:val="24"/>
        </w:rPr>
        <w:t>附录</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 xml:space="preserve">  资格审查条件（</w:t>
      </w:r>
      <w:r>
        <w:rPr>
          <w:rFonts w:hint="eastAsia" w:ascii="宋体" w:hAnsi="宋体" w:cs="Times New Roman"/>
          <w:b/>
          <w:sz w:val="24"/>
          <w:szCs w:val="24"/>
          <w:lang w:val="en-US" w:eastAsia="zh-CN"/>
        </w:rPr>
        <w:t>项目负责人</w:t>
      </w:r>
      <w:r>
        <w:rPr>
          <w:rFonts w:hint="eastAsia" w:ascii="宋体" w:hAnsi="宋体" w:cs="Times New Roman"/>
          <w:b/>
          <w:sz w:val="24"/>
          <w:szCs w:val="24"/>
          <w:lang w:eastAsia="zh"/>
        </w:rPr>
        <w:t>最低</w:t>
      </w:r>
      <w:r>
        <w:rPr>
          <w:rFonts w:hint="eastAsia" w:ascii="宋体" w:hAnsi="宋体" w:eastAsia="宋体" w:cs="Times New Roman"/>
          <w:b/>
          <w:sz w:val="24"/>
          <w:szCs w:val="24"/>
        </w:rPr>
        <w:t>要求）</w:t>
      </w:r>
    </w:p>
    <w:p w14:paraId="541345F9">
      <w:pPr>
        <w:pStyle w:val="6"/>
        <w:rPr>
          <w:rFonts w:hint="eastAsia"/>
        </w:rPr>
      </w:pPr>
    </w:p>
    <w:tbl>
      <w:tblPr>
        <w:tblStyle w:val="7"/>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021"/>
        <w:gridCol w:w="5518"/>
      </w:tblGrid>
      <w:tr w14:paraId="4FB4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 w:hRule="atLeast"/>
          <w:jc w:val="center"/>
        </w:trPr>
        <w:tc>
          <w:tcPr>
            <w:tcW w:w="1169" w:type="pct"/>
            <w:vAlign w:val="center"/>
          </w:tcPr>
          <w:p w14:paraId="5E2E3172">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人  员</w:t>
            </w:r>
          </w:p>
        </w:tc>
        <w:tc>
          <w:tcPr>
            <w:tcW w:w="597" w:type="pct"/>
            <w:vAlign w:val="center"/>
          </w:tcPr>
          <w:p w14:paraId="3611A4B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数量</w:t>
            </w:r>
          </w:p>
        </w:tc>
        <w:tc>
          <w:tcPr>
            <w:tcW w:w="3232" w:type="pct"/>
            <w:vAlign w:val="center"/>
          </w:tcPr>
          <w:p w14:paraId="3C105672">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资 格 要 求</w:t>
            </w:r>
          </w:p>
        </w:tc>
      </w:tr>
      <w:tr w14:paraId="7881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69" w:type="pct"/>
            <w:vAlign w:val="center"/>
          </w:tcPr>
          <w:p w14:paraId="67CAA610">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Cs w:val="21"/>
                <w:highlight w:val="none"/>
                <w:lang w:val="en-US" w:eastAsia="zh-CN"/>
              </w:rPr>
            </w:pPr>
            <w:r>
              <w:rPr>
                <w:rFonts w:hint="eastAsia" w:ascii="宋体" w:hAnsi="宋体"/>
                <w:szCs w:val="21"/>
                <w:highlight w:val="none"/>
                <w:lang w:eastAsia="zh-CN"/>
              </w:rPr>
              <w:t>项目负责人</w:t>
            </w:r>
          </w:p>
        </w:tc>
        <w:tc>
          <w:tcPr>
            <w:tcW w:w="597" w:type="pct"/>
            <w:vAlign w:val="center"/>
          </w:tcPr>
          <w:p w14:paraId="2D9415A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3232" w:type="pct"/>
            <w:vAlign w:val="center"/>
          </w:tcPr>
          <w:p w14:paraId="1D0A3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color w:val="000000"/>
                <w:szCs w:val="21"/>
                <w:highlight w:val="none"/>
              </w:rPr>
            </w:pPr>
            <w:r>
              <w:rPr>
                <w:rFonts w:hint="eastAsia" w:ascii="宋体" w:hAnsi="宋体"/>
                <w:color w:val="000000"/>
                <w:szCs w:val="21"/>
                <w:highlight w:val="none"/>
                <w:lang w:eastAsia="zh-CN"/>
              </w:rPr>
              <w:t>近3年内（2022年1月1日至今，以合同签订时间为准）担任过一项合同额不少于20万元的社会责任报告编制（或可持续发展报告编制）项目业绩的项目负责人（或项目经理）。</w:t>
            </w:r>
          </w:p>
        </w:tc>
      </w:tr>
    </w:tbl>
    <w:p w14:paraId="0F9992E7">
      <w:pPr>
        <w:snapToGrid w:val="0"/>
        <w:spacing w:line="360" w:lineRule="auto"/>
        <w:ind w:firstLine="448" w:firstLineChars="200"/>
        <w:rPr>
          <w:rFonts w:ascii="黑体" w:eastAsia="黑体"/>
          <w:spacing w:val="-8"/>
          <w:sz w:val="24"/>
          <w:szCs w:val="24"/>
          <w:highlight w:val="yellow"/>
        </w:rPr>
      </w:pPr>
    </w:p>
    <w:p w14:paraId="7A7E05B6">
      <w:r>
        <w:br w:type="page"/>
      </w:r>
    </w:p>
    <w:p w14:paraId="1E814D03">
      <w:pPr>
        <w:pStyle w:val="2"/>
        <w:snapToGrid w:val="0"/>
        <w:spacing w:before="158" w:beforeLines="50" w:after="158" w:afterLines="50" w:line="240" w:lineRule="auto"/>
        <w:rPr>
          <w:rFonts w:hint="eastAsia" w:ascii="宋体" w:hAnsi="宋体"/>
          <w:sz w:val="24"/>
          <w:szCs w:val="24"/>
        </w:rPr>
      </w:pPr>
      <w:bookmarkStart w:id="7" w:name="_Toc171573455"/>
      <w:bookmarkStart w:id="8" w:name="_Toc172796497"/>
      <w:bookmarkStart w:id="9" w:name="_Toc14361"/>
      <w:r>
        <w:rPr>
          <w:rFonts w:hint="eastAsia" w:ascii="宋体" w:hAnsi="宋体"/>
          <w:sz w:val="24"/>
          <w:szCs w:val="24"/>
        </w:rPr>
        <w:t>附件2：评标办法</w:t>
      </w:r>
      <w:bookmarkEnd w:id="1"/>
      <w:bookmarkEnd w:id="2"/>
      <w:bookmarkEnd w:id="3"/>
      <w:bookmarkEnd w:id="4"/>
      <w:bookmarkEnd w:id="7"/>
      <w:bookmarkEnd w:id="8"/>
      <w:bookmarkEnd w:id="9"/>
    </w:p>
    <w:p w14:paraId="0D4EBEB9">
      <w:pPr>
        <w:pStyle w:val="2"/>
        <w:snapToGrid w:val="0"/>
        <w:spacing w:before="120" w:after="120" w:line="240" w:lineRule="auto"/>
        <w:jc w:val="center"/>
        <w:rPr>
          <w:sz w:val="24"/>
          <w:szCs w:val="24"/>
        </w:rPr>
      </w:pPr>
      <w:bookmarkStart w:id="10" w:name="_Toc146031775"/>
      <w:bookmarkStart w:id="11" w:name="_Toc21839"/>
      <w:bookmarkStart w:id="12" w:name="_Toc145426380"/>
      <w:bookmarkStart w:id="13" w:name="_Toc171919756"/>
      <w:bookmarkStart w:id="14" w:name="_Toc169637959"/>
      <w:bookmarkStart w:id="15" w:name="_Toc66337244"/>
      <w:bookmarkStart w:id="16" w:name="_Toc171120326"/>
      <w:bookmarkStart w:id="17" w:name="_Toc171573456"/>
      <w:bookmarkStart w:id="18" w:name="_Toc171491580"/>
      <w:bookmarkStart w:id="19" w:name="_Toc141780408"/>
      <w:bookmarkStart w:id="20" w:name="_Toc138793770"/>
      <w:bookmarkStart w:id="21" w:name="_Toc172796498"/>
      <w:bookmarkStart w:id="22" w:name="_Toc65820978"/>
      <w:bookmarkStart w:id="23" w:name="_Toc66984522"/>
      <w:bookmarkStart w:id="24" w:name="_Toc65857110"/>
      <w:bookmarkStart w:id="25" w:name="_Toc10623"/>
      <w:r>
        <w:rPr>
          <w:rFonts w:hint="eastAsia"/>
          <w:sz w:val="24"/>
          <w:szCs w:val="24"/>
        </w:rPr>
        <w:t>评标办法前附表</w:t>
      </w:r>
      <w:bookmarkEnd w:id="5"/>
      <w:bookmarkEnd w:id="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Hlk144505320"/>
      <w:bookmarkStart w:id="27" w:name="_Hlk71130285"/>
    </w:p>
    <w:bookmarkEnd w:id="26"/>
    <w:bookmarkEnd w:id="27"/>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1"/>
        <w:gridCol w:w="6780"/>
      </w:tblGrid>
      <w:tr w14:paraId="14A1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6" w:type="pct"/>
            <w:gridSpan w:val="2"/>
            <w:vAlign w:val="center"/>
          </w:tcPr>
          <w:p w14:paraId="3D5D120E">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条款号</w:t>
            </w:r>
          </w:p>
        </w:tc>
        <w:tc>
          <w:tcPr>
            <w:tcW w:w="3983" w:type="pct"/>
            <w:vAlign w:val="center"/>
          </w:tcPr>
          <w:p w14:paraId="4E214570">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评审因素与评审标准</w:t>
            </w:r>
          </w:p>
        </w:tc>
      </w:tr>
      <w:tr w14:paraId="4AE3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1389186D">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w:t>
            </w:r>
          </w:p>
        </w:tc>
        <w:tc>
          <w:tcPr>
            <w:tcW w:w="593" w:type="pct"/>
            <w:vAlign w:val="center"/>
          </w:tcPr>
          <w:p w14:paraId="433D7468">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评标方法</w:t>
            </w:r>
          </w:p>
        </w:tc>
        <w:tc>
          <w:tcPr>
            <w:tcW w:w="3983" w:type="pct"/>
            <w:vAlign w:val="center"/>
          </w:tcPr>
          <w:p w14:paraId="0D97FCD3">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BBBAE78">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（1）评标价低的投标人优先；</w:t>
            </w:r>
          </w:p>
          <w:p w14:paraId="64C50736">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（2）技术得分较高的投标人优先；</w:t>
            </w:r>
          </w:p>
          <w:p w14:paraId="68534081">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（3）投标人满足资格审查条件(业绩最低条件)要求的业绩累计金额高的优先。</w:t>
            </w:r>
          </w:p>
        </w:tc>
      </w:tr>
      <w:tr w14:paraId="24C6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E171A03">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2.1.1</w:t>
            </w:r>
          </w:p>
          <w:p w14:paraId="0C7073DC">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2.1.3</w:t>
            </w:r>
          </w:p>
        </w:tc>
        <w:tc>
          <w:tcPr>
            <w:tcW w:w="593" w:type="pct"/>
            <w:vAlign w:val="center"/>
          </w:tcPr>
          <w:p w14:paraId="662879A4">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形式评审与响应性评审标准</w:t>
            </w:r>
          </w:p>
        </w:tc>
        <w:tc>
          <w:tcPr>
            <w:tcW w:w="3983" w:type="pct"/>
          </w:tcPr>
          <w:p w14:paraId="4521B430">
            <w:pPr>
              <w:keepNext w:val="0"/>
              <w:keepLines w:val="0"/>
              <w:suppressLineNumbers w:val="0"/>
              <w:tabs>
                <w:tab w:val="left" w:pos="3060"/>
              </w:tabs>
              <w:spacing w:before="0" w:beforeAutospacing="0" w:after="0" w:afterAutospacing="0" w:line="320" w:lineRule="exact"/>
              <w:ind w:left="0" w:right="0"/>
              <w:rPr>
                <w:rFonts w:hint="eastAsia" w:ascii="宋体" w:hAnsi="宋体" w:eastAsia="宋体"/>
                <w:b/>
                <w:szCs w:val="21"/>
                <w:highlight w:val="none"/>
                <w:lang w:eastAsia="zh-CN"/>
              </w:rPr>
            </w:pPr>
            <w:r>
              <w:rPr>
                <w:rFonts w:hint="eastAsia" w:ascii="宋体" w:hAnsi="宋体"/>
                <w:b/>
                <w:szCs w:val="21"/>
                <w:highlight w:val="none"/>
              </w:rPr>
              <w:t>第一个信封（商务文件）评审标准：</w:t>
            </w:r>
          </w:p>
          <w:p w14:paraId="71ED91D1">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（1）投标文件按照招标文件规定的格式、内容填写，字迹清晰可辨：</w:t>
            </w:r>
          </w:p>
          <w:p w14:paraId="00D90907">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a．投标函按招标文件规定填报了招标人名称、项目名称、补遗书编号（如有）、</w:t>
            </w:r>
            <w:r>
              <w:rPr>
                <w:rFonts w:hint="eastAsia" w:ascii="宋体" w:hAnsi="宋体"/>
                <w:szCs w:val="21"/>
                <w:lang w:eastAsia="zh-CN"/>
              </w:rPr>
              <w:t>主要人员</w:t>
            </w:r>
            <w:r>
              <w:rPr>
                <w:rFonts w:hint="eastAsia" w:ascii="宋体" w:hAnsi="宋体"/>
                <w:szCs w:val="21"/>
              </w:rPr>
              <w:t>相关信息、质量要求、服务期限</w:t>
            </w:r>
            <w:r>
              <w:rPr>
                <w:rFonts w:hint="eastAsia" w:ascii="宋体" w:hAnsi="宋体"/>
                <w:szCs w:val="21"/>
                <w:lang w:val="en-US" w:eastAsia="zh-CN"/>
              </w:rPr>
              <w:t>、安全目标</w:t>
            </w:r>
            <w:r>
              <w:rPr>
                <w:rFonts w:hint="eastAsia" w:ascii="宋体" w:hAnsi="宋体"/>
                <w:szCs w:val="21"/>
              </w:rPr>
              <w:t>等内容；</w:t>
            </w:r>
          </w:p>
          <w:p w14:paraId="096386E1">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30C2A38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bCs/>
                <w:szCs w:val="21"/>
              </w:rPr>
            </w:pPr>
            <w:r>
              <w:rPr>
                <w:rFonts w:hint="eastAsia" w:ascii="宋体" w:hAnsi="宋体"/>
                <w:bCs/>
                <w:szCs w:val="21"/>
              </w:rPr>
              <w:t>（</w:t>
            </w:r>
            <w:r>
              <w:rPr>
                <w:rFonts w:hint="default" w:ascii="宋体" w:hAnsi="宋体"/>
                <w:bCs/>
                <w:szCs w:val="21"/>
              </w:rPr>
              <w:t>2</w:t>
            </w:r>
            <w:r>
              <w:rPr>
                <w:rFonts w:hint="eastAsia" w:ascii="宋体" w:hAnsi="宋体"/>
                <w:bCs/>
                <w:szCs w:val="21"/>
              </w:rPr>
              <w:t>）投标文件上法定代表人或其授权代理人的签字、投标人的单位章盖章齐全，符合招标文件规定。</w:t>
            </w:r>
          </w:p>
          <w:p w14:paraId="7992FED5">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cs="宋体"/>
                <w:szCs w:val="21"/>
              </w:rPr>
              <w:t>（3）投标人按照招标文件的规定提供了投标保证金，满足招标文件投标人须知前附表第3.4.1款。</w:t>
            </w:r>
          </w:p>
          <w:p w14:paraId="619DF76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4</w:t>
            </w:r>
            <w:r>
              <w:rPr>
                <w:rFonts w:hint="eastAsia" w:ascii="宋体" w:hAnsi="宋体"/>
                <w:szCs w:val="21"/>
              </w:rPr>
              <w:t>）投标人法定代表人授权委托代理人签署投标文件的，须提交授权委托书，授权委托书符合招标文件规定。</w:t>
            </w:r>
          </w:p>
          <w:p w14:paraId="6C9E731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5</w:t>
            </w:r>
            <w:r>
              <w:rPr>
                <w:rFonts w:hint="eastAsia" w:ascii="宋体" w:hAnsi="宋体"/>
                <w:szCs w:val="21"/>
              </w:rPr>
              <w:t>）投标人法定代表人亲自签署投标文件的，提供了法定代表人身份证明，法定代表人身份证明符合招标文件规定。</w:t>
            </w:r>
          </w:p>
          <w:p w14:paraId="78A38AD2">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lang w:val="en-US" w:eastAsia="zh-CN"/>
              </w:rPr>
              <w:t>投标人未对本项目进行分包。</w:t>
            </w:r>
          </w:p>
          <w:p w14:paraId="6CB8F5C8">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szCs w:val="21"/>
                <w:lang w:val="en-US" w:eastAsia="zh-CN"/>
              </w:rPr>
            </w:pPr>
            <w:r>
              <w:rPr>
                <w:rFonts w:hint="eastAsia" w:ascii="宋体" w:hAnsi="宋体"/>
                <w:szCs w:val="21"/>
                <w:lang w:val="en-US" w:eastAsia="zh-CN"/>
              </w:rPr>
              <w:t>（7）投标人未以联合体形式投标。</w:t>
            </w:r>
          </w:p>
          <w:p w14:paraId="60A3989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）投标人未提交两个以上不同的投标文件。</w:t>
            </w:r>
          </w:p>
          <w:p w14:paraId="232C68A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）投标文件中未出现有关投标报价的内容。</w:t>
            </w:r>
          </w:p>
          <w:p w14:paraId="4DC3C699">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）投标文件载明的招标项目完成期限未超过招标文件规定的时限。</w:t>
            </w:r>
          </w:p>
          <w:p w14:paraId="30C2F93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）投标文件对招标文件的实质性要求和条件作出响应。</w:t>
            </w:r>
          </w:p>
          <w:p w14:paraId="117F68D5">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1</w:t>
            </w:r>
            <w:r>
              <w:rPr>
                <w:rFonts w:hint="eastAsia" w:ascii="宋体" w:hAnsi="宋体"/>
                <w:szCs w:val="21"/>
                <w:lang w:val="en-US" w:eastAsia="zh-CN"/>
              </w:rPr>
              <w:t>2</w:t>
            </w:r>
            <w:r>
              <w:rPr>
                <w:rFonts w:hint="eastAsia" w:ascii="宋体" w:hAnsi="宋体"/>
                <w:szCs w:val="21"/>
              </w:rPr>
              <w:t>）权利义务符合招标文件规定：</w:t>
            </w:r>
          </w:p>
          <w:p w14:paraId="261D0965">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a.投标人应接受招标文件规定的风险划分原则，未提出新的风险划分办法；</w:t>
            </w:r>
          </w:p>
          <w:p w14:paraId="15AD112F">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b.投标人未增加发包人的责任范围，或减少投标人义务；</w:t>
            </w:r>
          </w:p>
          <w:p w14:paraId="20C3625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c.投标人未提出不同的支付办法；</w:t>
            </w:r>
          </w:p>
          <w:p w14:paraId="246ACF4D">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d.投标人对合同纠纷、事故处理办法未提出异议；</w:t>
            </w:r>
          </w:p>
          <w:p w14:paraId="3382DC1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e.投标人在投标活动中无欺诈行为；</w:t>
            </w:r>
          </w:p>
          <w:p w14:paraId="5EC90E3F">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b/>
                <w:szCs w:val="21"/>
              </w:rPr>
            </w:pPr>
            <w:r>
              <w:rPr>
                <w:rFonts w:hint="eastAsia" w:ascii="宋体" w:hAnsi="宋体"/>
                <w:szCs w:val="21"/>
              </w:rPr>
              <w:t>f.投标人未对合同条款有重要保留。</w:t>
            </w:r>
          </w:p>
          <w:p w14:paraId="5242A51F">
            <w:pPr>
              <w:keepNext w:val="0"/>
              <w:keepLines w:val="0"/>
              <w:suppressLineNumbers w:val="0"/>
              <w:tabs>
                <w:tab w:val="left" w:pos="3060"/>
              </w:tabs>
              <w:spacing w:before="0" w:beforeAutospacing="0" w:after="0" w:afterAutospacing="0" w:line="320" w:lineRule="exact"/>
              <w:ind w:left="0" w:right="0" w:firstLine="211" w:firstLineChars="100"/>
              <w:rPr>
                <w:rFonts w:hint="eastAsia" w:ascii="宋体" w:hAnsi="宋体"/>
                <w:szCs w:val="21"/>
              </w:rPr>
            </w:pPr>
            <w:r>
              <w:rPr>
                <w:rFonts w:hint="eastAsia" w:ascii="宋体" w:hAnsi="宋体"/>
                <w:b/>
                <w:szCs w:val="21"/>
              </w:rPr>
              <w:t>第一个信封（技术文件）评审标准：</w:t>
            </w:r>
          </w:p>
          <w:p w14:paraId="09E8BD2F">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highlight w:val="none"/>
              </w:rPr>
              <w:t>（1）技术</w:t>
            </w:r>
            <w:r>
              <w:rPr>
                <w:rFonts w:hint="eastAsia" w:ascii="宋体" w:hAnsi="宋体"/>
                <w:szCs w:val="21"/>
                <w:highlight w:val="none"/>
                <w:lang w:eastAsia="zh-CN"/>
              </w:rPr>
              <w:t>部分</w:t>
            </w:r>
            <w:r>
              <w:rPr>
                <w:rFonts w:hint="eastAsia" w:ascii="宋体" w:hAnsi="宋体"/>
                <w:szCs w:val="21"/>
                <w:highlight w:val="none"/>
              </w:rPr>
              <w:t>的编制符合招标文件第二章“投标人须知”第10.2款的规定。</w:t>
            </w:r>
          </w:p>
          <w:p w14:paraId="291C1BC0">
            <w:pPr>
              <w:keepNext w:val="0"/>
              <w:keepLines w:val="0"/>
              <w:suppressLineNumbers w:val="0"/>
              <w:tabs>
                <w:tab w:val="left" w:pos="3060"/>
              </w:tabs>
              <w:spacing w:before="0" w:beforeAutospacing="0" w:after="0" w:afterAutospacing="0" w:line="320" w:lineRule="exact"/>
              <w:ind w:left="0" w:right="0"/>
              <w:rPr>
                <w:rFonts w:hint="eastAsia" w:ascii="宋体" w:hAnsi="宋体"/>
                <w:b/>
                <w:szCs w:val="21"/>
              </w:rPr>
            </w:pPr>
            <w:r>
              <w:rPr>
                <w:rFonts w:hint="eastAsia" w:ascii="宋体" w:hAnsi="宋体"/>
                <w:b/>
                <w:szCs w:val="21"/>
              </w:rPr>
              <w:t>第二个信封（报价文件）评审标准：</w:t>
            </w:r>
          </w:p>
          <w:p w14:paraId="68E2FEA8">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（1）投标文件按照招标文件规定的格式、内容填写，字迹清晰可辨，内容齐全完整：</w:t>
            </w:r>
          </w:p>
          <w:p w14:paraId="1040127E">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w:t>
            </w:r>
            <w:r>
              <w:rPr>
                <w:rFonts w:hint="eastAsia" w:ascii="宋体" w:hAnsi="宋体"/>
                <w:szCs w:val="21"/>
                <w:lang w:val="en-US" w:eastAsia="zh-CN"/>
              </w:rPr>
              <w:t>、投标报价汇总表</w:t>
            </w:r>
            <w:r>
              <w:rPr>
                <w:rFonts w:hint="eastAsia" w:ascii="宋体" w:hAnsi="宋体"/>
                <w:szCs w:val="21"/>
              </w:rPr>
              <w:t>按招标文件规定填报了招标人名称、项目名称、补遗书编号（如有）、投标报价（包括大写金额和小写金额）；</w:t>
            </w:r>
          </w:p>
          <w:p w14:paraId="02AC3CA0">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07757845">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（2）投标文件上法定代表人或其授权代理人的签字、投标人的单位章盖章齐全，符合招标文件规定。</w:t>
            </w:r>
          </w:p>
          <w:p w14:paraId="763EE26C">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）投标报价的大写金额能够确定具体数值。</w:t>
            </w:r>
          </w:p>
          <w:p w14:paraId="3142D2D1">
            <w:pPr>
              <w:keepNext w:val="0"/>
              <w:keepLines w:val="0"/>
              <w:suppressLineNumbers w:val="0"/>
              <w:tabs>
                <w:tab w:val="left" w:pos="3060"/>
              </w:tabs>
              <w:spacing w:before="0" w:beforeAutospacing="0" w:after="0" w:afterAutospacing="0" w:line="320" w:lineRule="exact"/>
              <w:ind w:left="0" w:right="0" w:firstLine="205" w:firstLineChars="98"/>
              <w:rPr>
                <w:rFonts w:hint="eastAsia" w:eastAsia="宋体"/>
                <w:lang w:val="en-US" w:eastAsia="zh-CN"/>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）投标人未提交两个以上不同的投标报价。</w:t>
            </w:r>
          </w:p>
        </w:tc>
      </w:tr>
      <w:tr w14:paraId="382C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vAlign w:val="center"/>
          </w:tcPr>
          <w:p w14:paraId="647B2A1A">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2.1.2</w:t>
            </w:r>
          </w:p>
        </w:tc>
        <w:tc>
          <w:tcPr>
            <w:tcW w:w="593" w:type="pct"/>
            <w:vAlign w:val="center"/>
          </w:tcPr>
          <w:p w14:paraId="464A9391">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资格评审标准</w:t>
            </w:r>
          </w:p>
        </w:tc>
        <w:tc>
          <w:tcPr>
            <w:tcW w:w="3983" w:type="pct"/>
          </w:tcPr>
          <w:p w14:paraId="275552EE">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（1）投标人具备有效的营业执照</w:t>
            </w:r>
            <w:r>
              <w:rPr>
                <w:rFonts w:hint="eastAsia" w:ascii="宋体" w:hAnsi="宋体"/>
                <w:szCs w:val="21"/>
                <w:lang w:val="en-US" w:eastAsia="zh-CN"/>
              </w:rPr>
              <w:t>或</w:t>
            </w:r>
            <w:r>
              <w:rPr>
                <w:rFonts w:hint="eastAsia"/>
                <w:lang w:val="en-US" w:eastAsia="zh-CN"/>
              </w:rPr>
              <w:t>事业单位法人登记证书</w:t>
            </w:r>
            <w:r>
              <w:rPr>
                <w:rFonts w:hint="eastAsia" w:ascii="宋体" w:hAnsi="宋体"/>
                <w:szCs w:val="21"/>
              </w:rPr>
              <w:t>、基本账户开户许可证（或基本存款账户信息）；</w:t>
            </w:r>
          </w:p>
          <w:p w14:paraId="0BA7D0C4">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）投标人的类似项目业绩符合招标文件规定；</w:t>
            </w:r>
          </w:p>
          <w:p w14:paraId="7636E98B">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）投标人的信誉符合招标文件规定；</w:t>
            </w:r>
          </w:p>
          <w:p w14:paraId="2E4B4AA0">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）投标人的</w:t>
            </w:r>
            <w:r>
              <w:rPr>
                <w:rFonts w:hint="eastAsia" w:ascii="宋体" w:hAnsi="宋体"/>
                <w:szCs w:val="21"/>
                <w:lang w:eastAsia="zh-CN"/>
              </w:rPr>
              <w:t>主要人员资格</w:t>
            </w:r>
            <w:r>
              <w:rPr>
                <w:rFonts w:hint="eastAsia" w:ascii="宋体" w:hAnsi="宋体"/>
                <w:szCs w:val="21"/>
              </w:rPr>
              <w:t xml:space="preserve">符合招标文件规定； </w:t>
            </w:r>
          </w:p>
          <w:p w14:paraId="38867D65">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）投标人不存在第二章“投标人须知”第1.4.3项或第1.4.4项规定的任何一种情形。</w:t>
            </w:r>
          </w:p>
        </w:tc>
      </w:tr>
      <w:tr w14:paraId="4A0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423" w:type="pct"/>
            <w:vAlign w:val="center"/>
          </w:tcPr>
          <w:p w14:paraId="2BC8E7E8">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2.2.1</w:t>
            </w:r>
          </w:p>
        </w:tc>
        <w:tc>
          <w:tcPr>
            <w:tcW w:w="593" w:type="pct"/>
            <w:vAlign w:val="center"/>
          </w:tcPr>
          <w:p w14:paraId="52256C61">
            <w:pPr>
              <w:keepNext w:val="0"/>
              <w:keepLines w:val="0"/>
              <w:suppressLineNumbers w:val="0"/>
              <w:spacing w:before="0" w:beforeAutospacing="0" w:after="0" w:afterAutospacing="0"/>
              <w:ind w:left="0" w:leftChars="0" w:right="0" w:rightChars="0"/>
              <w:jc w:val="center"/>
              <w:rPr>
                <w:rFonts w:hint="eastAsia" w:ascii="宋体" w:hAnsi="宋体"/>
              </w:rPr>
            </w:pPr>
            <w:r>
              <w:rPr>
                <w:rFonts w:hint="eastAsia" w:ascii="宋体" w:hAnsi="宋体"/>
              </w:rPr>
              <w:t>分值构成（总分100分）</w:t>
            </w:r>
          </w:p>
        </w:tc>
        <w:tc>
          <w:tcPr>
            <w:tcW w:w="3983" w:type="pct"/>
            <w:vAlign w:val="center"/>
          </w:tcPr>
          <w:p w14:paraId="01DE85CD">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第一信封（商务及技术文件）</w:t>
            </w:r>
          </w:p>
          <w:p w14:paraId="648698DE">
            <w:pPr>
              <w:keepNext w:val="0"/>
              <w:keepLines w:val="0"/>
              <w:suppressLineNumbers w:val="0"/>
              <w:spacing w:before="0" w:beforeAutospacing="0" w:after="0" w:afterAutospacing="0"/>
              <w:ind w:left="0" w:right="0"/>
              <w:rPr>
                <w:rFonts w:hint="default" w:ascii="宋体" w:hAnsi="宋体" w:cs="宋体"/>
                <w:szCs w:val="21"/>
                <w:highlight w:val="none"/>
              </w:rPr>
            </w:pPr>
            <w:r>
              <w:rPr>
                <w:rFonts w:hint="default" w:ascii="宋体" w:hAnsi="宋体" w:cs="宋体"/>
                <w:szCs w:val="21"/>
                <w:highlight w:val="none"/>
              </w:rPr>
              <w:t>技术</w:t>
            </w:r>
            <w:r>
              <w:rPr>
                <w:rFonts w:hint="eastAsia" w:ascii="宋体" w:hAnsi="宋体" w:cs="宋体"/>
                <w:szCs w:val="21"/>
                <w:highlight w:val="none"/>
                <w:lang w:eastAsia="zh-CN"/>
              </w:rPr>
              <w:t>部分</w:t>
            </w:r>
            <w:r>
              <w:rPr>
                <w:rFonts w:hint="default" w:ascii="宋体" w:hAnsi="宋体" w:cs="宋体"/>
                <w:szCs w:val="21"/>
                <w:highlight w:val="none"/>
              </w:rPr>
              <w:t>（</w:t>
            </w:r>
            <w:r>
              <w:rPr>
                <w:rFonts w:hint="eastAsia" w:ascii="宋体" w:hAnsi="宋体" w:cs="宋体"/>
                <w:szCs w:val="21"/>
                <w:highlight w:val="none"/>
                <w:lang w:val="en-US" w:eastAsia="zh-CN"/>
              </w:rPr>
              <w:t>45</w:t>
            </w:r>
            <w:r>
              <w:rPr>
                <w:rFonts w:hint="default" w:ascii="宋体" w:hAnsi="宋体" w:cs="宋体"/>
                <w:szCs w:val="21"/>
                <w:highlight w:val="none"/>
              </w:rPr>
              <w:t>分）</w:t>
            </w:r>
          </w:p>
          <w:p w14:paraId="3425FACA">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lang w:eastAsia="zh-CN"/>
              </w:rPr>
              <w:t>项目</w:t>
            </w:r>
            <w:r>
              <w:rPr>
                <w:rFonts w:hint="eastAsia" w:ascii="宋体" w:hAnsi="宋体" w:cs="宋体"/>
                <w:szCs w:val="21"/>
                <w:lang w:val="en-US" w:eastAsia="zh-CN"/>
              </w:rPr>
              <w:t>负责人</w:t>
            </w:r>
            <w:r>
              <w:rPr>
                <w:rFonts w:hint="default" w:ascii="宋体" w:hAnsi="宋体" w:cs="宋体"/>
                <w:szCs w:val="21"/>
              </w:rPr>
              <w:t>（</w:t>
            </w:r>
            <w:r>
              <w:rPr>
                <w:rFonts w:hint="eastAsia" w:ascii="宋体" w:hAnsi="宋体" w:cs="宋体"/>
                <w:szCs w:val="21"/>
                <w:lang w:val="en-US" w:eastAsia="zh-CN"/>
              </w:rPr>
              <w:t>15</w:t>
            </w:r>
            <w:r>
              <w:rPr>
                <w:rFonts w:hint="default" w:ascii="宋体" w:hAnsi="宋体" w:cs="宋体"/>
                <w:szCs w:val="21"/>
              </w:rPr>
              <w:t>分）</w:t>
            </w:r>
          </w:p>
          <w:p w14:paraId="04840B32">
            <w:pPr>
              <w:keepNext w:val="0"/>
              <w:keepLines w:val="0"/>
              <w:suppressLineNumbers w:val="0"/>
              <w:spacing w:before="0" w:beforeAutospacing="0" w:after="0" w:afterAutospacing="0"/>
              <w:ind w:left="0" w:right="0"/>
              <w:rPr>
                <w:rFonts w:hint="eastAsia" w:ascii="宋体" w:hAnsi="宋体" w:cs="宋体"/>
                <w:szCs w:val="21"/>
                <w:lang w:eastAsia="zh-CN"/>
              </w:rPr>
            </w:pPr>
            <w:r>
              <w:rPr>
                <w:rFonts w:hint="eastAsia" w:ascii="宋体" w:hAnsi="宋体" w:cs="宋体"/>
                <w:szCs w:val="21"/>
                <w:lang w:eastAsia="zh"/>
              </w:rPr>
              <w:t>企业业绩</w:t>
            </w:r>
            <w:r>
              <w:rPr>
                <w:rFonts w:hint="eastAsia" w:ascii="宋体" w:hAnsi="宋体" w:cs="宋体"/>
                <w:szCs w:val="21"/>
                <w:lang w:eastAsia="zh-CN"/>
              </w:rPr>
              <w:t>（</w:t>
            </w:r>
            <w:r>
              <w:rPr>
                <w:rFonts w:hint="eastAsia" w:ascii="宋体" w:hAnsi="宋体" w:cs="宋体"/>
                <w:szCs w:val="21"/>
                <w:lang w:val="en-US" w:eastAsia="zh-CN"/>
              </w:rPr>
              <w:t>20分</w:t>
            </w:r>
            <w:r>
              <w:rPr>
                <w:rFonts w:hint="eastAsia" w:ascii="宋体" w:hAnsi="宋体" w:cs="宋体"/>
                <w:szCs w:val="21"/>
                <w:lang w:eastAsia="zh-CN"/>
              </w:rPr>
              <w:t>）</w:t>
            </w:r>
          </w:p>
          <w:p w14:paraId="6C44E1DA">
            <w:pPr>
              <w:keepNext w:val="0"/>
              <w:keepLines w:val="0"/>
              <w:suppressLineNumbers w:val="0"/>
              <w:spacing w:before="0" w:beforeAutospacing="0" w:after="0" w:afterAutospacing="0"/>
              <w:ind w:left="0" w:right="0"/>
              <w:rPr>
                <w:rFonts w:hint="eastAsia" w:ascii="宋体" w:hAnsi="宋体" w:cs="宋体"/>
                <w:szCs w:val="21"/>
                <w:lang w:eastAsia="zh-CN"/>
              </w:rPr>
            </w:pPr>
            <w:r>
              <w:rPr>
                <w:rFonts w:hint="eastAsia" w:ascii="宋体" w:hAnsi="宋体" w:cs="宋体"/>
                <w:szCs w:val="21"/>
                <w:lang w:eastAsia="zh"/>
              </w:rPr>
              <w:t>其他主要人员：</w:t>
            </w:r>
            <w:r>
              <w:rPr>
                <w:rFonts w:hint="eastAsia" w:ascii="宋体" w:hAnsi="宋体" w:cs="宋体"/>
                <w:szCs w:val="21"/>
                <w:lang w:eastAsia="zh-CN"/>
              </w:rPr>
              <w:t>（</w:t>
            </w:r>
            <w:r>
              <w:rPr>
                <w:rFonts w:hint="eastAsia" w:ascii="宋体" w:hAnsi="宋体" w:cs="宋体"/>
                <w:szCs w:val="21"/>
                <w:lang w:eastAsia="zh"/>
              </w:rPr>
              <w:t>10分</w:t>
            </w:r>
            <w:r>
              <w:rPr>
                <w:rFonts w:hint="eastAsia" w:ascii="宋体" w:hAnsi="宋体" w:cs="宋体"/>
                <w:szCs w:val="21"/>
                <w:lang w:eastAsia="zh-CN"/>
              </w:rPr>
              <w:t>）</w:t>
            </w:r>
          </w:p>
          <w:p w14:paraId="1C7E2C5B">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第二信封（报价文件）</w:t>
            </w:r>
          </w:p>
          <w:p w14:paraId="13D5607E">
            <w:pPr>
              <w:keepNext w:val="0"/>
              <w:keepLines w:val="0"/>
              <w:suppressLineNumbers w:val="0"/>
              <w:spacing w:before="0" w:beforeAutospacing="0" w:after="0" w:afterAutospacing="0"/>
              <w:ind w:left="0" w:leftChars="0" w:right="0" w:rightChars="0"/>
              <w:rPr>
                <w:rFonts w:hint="eastAsia" w:ascii="宋体" w:hAnsi="宋体"/>
                <w:b/>
              </w:rPr>
            </w:pPr>
            <w:r>
              <w:rPr>
                <w:rFonts w:hint="eastAsia" w:ascii="宋体" w:hAnsi="宋体" w:cs="宋体"/>
                <w:szCs w:val="21"/>
              </w:rPr>
              <w:t>报价部分（1</w:t>
            </w:r>
            <w:r>
              <w:rPr>
                <w:rFonts w:hint="eastAsia" w:ascii="宋体" w:hAnsi="宋体" w:cs="宋体"/>
                <w:szCs w:val="21"/>
                <w:lang w:val="en-US" w:eastAsia="zh-CN"/>
              </w:rPr>
              <w:t>0</w:t>
            </w:r>
            <w:r>
              <w:rPr>
                <w:rFonts w:hint="eastAsia" w:ascii="宋体" w:hAnsi="宋体" w:cs="宋体"/>
                <w:szCs w:val="21"/>
              </w:rPr>
              <w:t>分）</w:t>
            </w:r>
          </w:p>
        </w:tc>
      </w:tr>
      <w:tr w14:paraId="3B89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6B0CB1CC">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2.2.2</w:t>
            </w:r>
          </w:p>
        </w:tc>
        <w:tc>
          <w:tcPr>
            <w:tcW w:w="593" w:type="pct"/>
            <w:vAlign w:val="center"/>
          </w:tcPr>
          <w:p w14:paraId="7C39569F">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highlight w:val="none"/>
              </w:rPr>
              <w:t>评标基准价计算方法</w:t>
            </w:r>
          </w:p>
        </w:tc>
        <w:tc>
          <w:tcPr>
            <w:tcW w:w="3983" w:type="pct"/>
            <w:vAlign w:val="center"/>
          </w:tcPr>
          <w:p w14:paraId="6FD977CE">
            <w:pPr>
              <w:keepNext w:val="0"/>
              <w:keepLines w:val="0"/>
              <w:suppressLineNumbers w:val="0"/>
              <w:snapToGrid w:val="0"/>
              <w:spacing w:before="0" w:beforeAutospacing="0" w:after="0" w:afterAutospacing="0" w:line="320" w:lineRule="exact"/>
              <w:ind w:left="0" w:right="0"/>
              <w:jc w:val="left"/>
              <w:rPr>
                <w:rFonts w:hint="eastAsia" w:ascii="宋体" w:hAnsi="宋体"/>
                <w:b/>
              </w:rPr>
            </w:pPr>
            <w:r>
              <w:rPr>
                <w:rFonts w:hint="eastAsia" w:ascii="宋体" w:hAnsi="宋体"/>
                <w:b/>
              </w:rPr>
              <w:t>评标基准价的计算：</w:t>
            </w:r>
          </w:p>
          <w:p w14:paraId="51434874">
            <w:pPr>
              <w:keepNext w:val="0"/>
              <w:keepLines w:val="0"/>
              <w:suppressLineNumbers w:val="0"/>
              <w:tabs>
                <w:tab w:val="left" w:pos="3060"/>
              </w:tabs>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(1)评标价的确定：</w:t>
            </w:r>
          </w:p>
          <w:p w14:paraId="5144A6D0">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评标价=投标函文字报价</w:t>
            </w:r>
          </w:p>
          <w:p w14:paraId="2AF06F29">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(2)评标价平均值的计算：</w:t>
            </w:r>
          </w:p>
          <w:p w14:paraId="4E7D2A00">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8A4DF85">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(3)评标基准价的确定：</w:t>
            </w:r>
          </w:p>
          <w:p w14:paraId="7D163AC7">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评标价平均值直接作为评标基准价。</w:t>
            </w:r>
          </w:p>
          <w:p w14:paraId="592DC40E">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评标基准价保留小数点后两位，小数点后第三位四舍五入。</w:t>
            </w:r>
          </w:p>
          <w:p w14:paraId="0E714CEA">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0F4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FE672E2">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2.2.3</w:t>
            </w:r>
          </w:p>
        </w:tc>
        <w:tc>
          <w:tcPr>
            <w:tcW w:w="593" w:type="pct"/>
            <w:vAlign w:val="center"/>
          </w:tcPr>
          <w:p w14:paraId="1A90E697">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评标价的偏差率计算公式</w:t>
            </w:r>
          </w:p>
        </w:tc>
        <w:tc>
          <w:tcPr>
            <w:tcW w:w="3983" w:type="pct"/>
            <w:vAlign w:val="center"/>
          </w:tcPr>
          <w:p w14:paraId="513E7CB2">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偏差率=100%×（投标人评标价-评标基准价）／评标基准价</w:t>
            </w:r>
          </w:p>
        </w:tc>
      </w:tr>
      <w:tr w14:paraId="5869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DC3F213">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rPr>
              <w:t>3</w:t>
            </w:r>
            <w:r>
              <w:rPr>
                <w:rFonts w:hint="default" w:ascii="宋体" w:hAnsi="宋体"/>
              </w:rPr>
              <w:t>.6.1</w:t>
            </w:r>
          </w:p>
        </w:tc>
        <w:tc>
          <w:tcPr>
            <w:tcW w:w="593" w:type="pct"/>
            <w:vAlign w:val="center"/>
          </w:tcPr>
          <w:p w14:paraId="014B51D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rPr>
            </w:pPr>
            <w:r>
              <w:rPr>
                <w:rFonts w:hint="eastAsia" w:ascii="宋体" w:hAnsi="宋体"/>
              </w:rPr>
              <w:t>信息查询</w:t>
            </w:r>
          </w:p>
        </w:tc>
        <w:tc>
          <w:tcPr>
            <w:tcW w:w="3983" w:type="pct"/>
            <w:vAlign w:val="center"/>
          </w:tcPr>
          <w:p w14:paraId="78975F55">
            <w:pPr>
              <w:keepNext w:val="0"/>
              <w:keepLines w:val="0"/>
              <w:suppressLineNumbers w:val="0"/>
              <w:autoSpaceDE w:val="0"/>
              <w:autoSpaceDN w:val="0"/>
              <w:spacing w:before="0" w:beforeAutospacing="0" w:after="0" w:afterAutospacing="0" w:line="273" w:lineRule="auto"/>
              <w:ind w:left="0" w:right="0"/>
              <w:rPr>
                <w:rFonts w:hint="eastAsia" w:ascii="宋体" w:hAnsi="宋体"/>
                <w:highlight w:val="none"/>
              </w:rPr>
            </w:pPr>
            <w:r>
              <w:rPr>
                <w:rFonts w:hint="eastAsia" w:ascii="宋体" w:hAnsi="宋体"/>
                <w:highlight w:val="none"/>
              </w:rPr>
              <w:t>本款修改为：</w:t>
            </w:r>
          </w:p>
          <w:p w14:paraId="1EB1778C">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1）投标人信用情况网页截图内容与在“国家企业信用信息公示系统”中严重违法失信企业名单或在“信用中国”网站中列入失信被执行人、经营异常名录、重大税收违法失信主体、政府采购严重违法失信行为记录名单的复核结果一致。</w:t>
            </w:r>
          </w:p>
          <w:p w14:paraId="2CB7CDA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如投标人未提供相关网页截图或所附截图与复核结果不一致，评标委员会应否决其投标。</w:t>
            </w:r>
          </w:p>
          <w:p w14:paraId="31CFD03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2AA0A0D4">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4A1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2E3300D8">
            <w:pPr>
              <w:keepNext w:val="0"/>
              <w:keepLines w:val="0"/>
              <w:suppressLineNumbers w:val="0"/>
              <w:spacing w:before="0" w:beforeAutospacing="0" w:after="0" w:afterAutospacing="0" w:line="340" w:lineRule="exact"/>
              <w:ind w:left="0" w:right="-105"/>
              <w:rPr>
                <w:rFonts w:hint="eastAsia" w:ascii="宋体" w:hAnsi="宋体"/>
                <w:bCs/>
                <w:szCs w:val="21"/>
              </w:rPr>
            </w:pPr>
            <w:r>
              <w:rPr>
                <w:rFonts w:hint="eastAsia" w:ascii="宋体" w:hAnsi="宋体"/>
                <w:szCs w:val="21"/>
              </w:rPr>
              <w:t>需要补充的其他内容：</w:t>
            </w:r>
            <w:r>
              <w:rPr>
                <w:rFonts w:hint="eastAsia" w:ascii="宋体" w:hAnsi="宋体"/>
                <w:bCs/>
                <w:szCs w:val="21"/>
              </w:rPr>
              <w:t>无</w:t>
            </w:r>
          </w:p>
        </w:tc>
      </w:tr>
    </w:tbl>
    <w:p w14:paraId="7DC4144C"/>
    <w:p w14:paraId="6561B529">
      <w:pPr>
        <w:jc w:val="right"/>
        <w:rPr>
          <w:rFonts w:hint="eastAsia"/>
        </w:rPr>
      </w:pPr>
      <w:r>
        <w:rPr>
          <w:rFonts w:hint="eastAsia"/>
          <w:lang w:eastAsia="zh"/>
        </w:rPr>
        <w:t xml:space="preserve"> </w:t>
      </w:r>
      <w:r>
        <w:br w:type="page"/>
      </w:r>
      <w:r>
        <w:rPr>
          <w:rFonts w:hint="eastAsia"/>
        </w:rPr>
        <w:t>续上表</w:t>
      </w:r>
    </w:p>
    <w:tbl>
      <w:tblPr>
        <w:tblStyle w:val="7"/>
        <w:tblW w:w="94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8"/>
        <w:gridCol w:w="659"/>
        <w:gridCol w:w="545"/>
        <w:gridCol w:w="1577"/>
        <w:gridCol w:w="565"/>
        <w:gridCol w:w="5510"/>
      </w:tblGrid>
      <w:tr w14:paraId="6AFF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28" w:type="dxa"/>
            <w:vAlign w:val="center"/>
          </w:tcPr>
          <w:p w14:paraId="3D57513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bookmarkStart w:id="28" w:name="_GoBack"/>
            <w:r>
              <w:rPr>
                <w:rFonts w:hint="eastAsia" w:ascii="宋体" w:hAnsi="宋体" w:eastAsia="宋体" w:cs="宋体"/>
                <w:b/>
                <w:color w:val="auto"/>
                <w:kern w:val="0"/>
                <w:sz w:val="21"/>
                <w:szCs w:val="21"/>
              </w:rPr>
              <w:t>条款号</w:t>
            </w:r>
          </w:p>
        </w:tc>
        <w:tc>
          <w:tcPr>
            <w:tcW w:w="659" w:type="dxa"/>
            <w:vAlign w:val="center"/>
          </w:tcPr>
          <w:p w14:paraId="67F9BC0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5" w:type="dxa"/>
            <w:vAlign w:val="center"/>
          </w:tcPr>
          <w:p w14:paraId="6D114F5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评分因素权重分值</w:t>
            </w:r>
          </w:p>
        </w:tc>
        <w:tc>
          <w:tcPr>
            <w:tcW w:w="1577" w:type="dxa"/>
            <w:tcBorders>
              <w:right w:val="single" w:color="auto" w:sz="4" w:space="0"/>
            </w:tcBorders>
            <w:vAlign w:val="center"/>
          </w:tcPr>
          <w:p w14:paraId="278365B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各评分因素细分项</w:t>
            </w:r>
          </w:p>
        </w:tc>
        <w:tc>
          <w:tcPr>
            <w:tcW w:w="565" w:type="dxa"/>
            <w:tcBorders>
              <w:left w:val="single" w:color="auto" w:sz="4" w:space="0"/>
              <w:right w:val="single" w:color="auto" w:sz="4" w:space="0"/>
            </w:tcBorders>
            <w:vAlign w:val="center"/>
          </w:tcPr>
          <w:p w14:paraId="55270F3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分值</w:t>
            </w:r>
          </w:p>
        </w:tc>
        <w:tc>
          <w:tcPr>
            <w:tcW w:w="5510" w:type="dxa"/>
            <w:tcBorders>
              <w:left w:val="single" w:color="auto" w:sz="4" w:space="0"/>
            </w:tcBorders>
            <w:vAlign w:val="center"/>
          </w:tcPr>
          <w:p w14:paraId="7D5EEBF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评分标准</w:t>
            </w:r>
          </w:p>
        </w:tc>
      </w:tr>
      <w:tr w14:paraId="1A2D0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restart"/>
            <w:vAlign w:val="center"/>
          </w:tcPr>
          <w:p w14:paraId="3AE8BE05">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2.2.4（1）</w:t>
            </w:r>
          </w:p>
        </w:tc>
        <w:tc>
          <w:tcPr>
            <w:tcW w:w="659" w:type="dxa"/>
            <w:vMerge w:val="restart"/>
            <w:vAlign w:val="center"/>
          </w:tcPr>
          <w:p w14:paraId="635BA82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
              </w:rPr>
              <w:t>技术</w:t>
            </w:r>
            <w:r>
              <w:rPr>
                <w:rFonts w:hint="eastAsia" w:ascii="宋体" w:hAnsi="宋体" w:cs="宋体"/>
                <w:color w:val="auto"/>
                <w:kern w:val="0"/>
                <w:sz w:val="21"/>
                <w:szCs w:val="21"/>
                <w:highlight w:val="none"/>
                <w:lang w:eastAsia="zh-CN"/>
              </w:rPr>
              <w:t>部分</w:t>
            </w:r>
          </w:p>
        </w:tc>
        <w:tc>
          <w:tcPr>
            <w:tcW w:w="545" w:type="dxa"/>
            <w:vMerge w:val="restart"/>
            <w:vAlign w:val="center"/>
          </w:tcPr>
          <w:p w14:paraId="572F88E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分</w:t>
            </w:r>
          </w:p>
        </w:tc>
        <w:tc>
          <w:tcPr>
            <w:tcW w:w="1577" w:type="dxa"/>
            <w:tcBorders>
              <w:right w:val="single" w:color="auto" w:sz="4" w:space="0"/>
            </w:tcBorders>
            <w:vAlign w:val="center"/>
          </w:tcPr>
          <w:p w14:paraId="0CB1034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snapToGrid w:val="0"/>
                <w:color w:val="auto"/>
                <w:sz w:val="21"/>
                <w:szCs w:val="21"/>
                <w:highlight w:val="none"/>
                <w:lang w:val="en-US" w:eastAsia="zh-CN"/>
              </w:rPr>
              <w:t>完成服务工作的范围、内容、步骤、程序</w:t>
            </w:r>
          </w:p>
        </w:tc>
        <w:tc>
          <w:tcPr>
            <w:tcW w:w="565" w:type="dxa"/>
            <w:tcBorders>
              <w:left w:val="single" w:color="auto" w:sz="4" w:space="0"/>
              <w:right w:val="single" w:color="auto" w:sz="4" w:space="0"/>
            </w:tcBorders>
            <w:vAlign w:val="center"/>
          </w:tcPr>
          <w:p w14:paraId="459CC45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510" w:type="dxa"/>
            <w:tcBorders>
              <w:left w:val="single" w:color="auto" w:sz="4" w:space="0"/>
            </w:tcBorders>
            <w:vAlign w:val="center"/>
          </w:tcPr>
          <w:p w14:paraId="4840DF95">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第一档，实施计划科学合理，总体方案完整、内容齐全，有针对性，得</w:t>
            </w:r>
            <w:r>
              <w:rPr>
                <w:rFonts w:hint="default" w:ascii="宋体" w:hAnsi="宋体" w:cs="宋体"/>
                <w:bCs/>
                <w:szCs w:val="21"/>
                <w:highlight w:val="none"/>
              </w:rPr>
              <w:t>12</w:t>
            </w:r>
            <w:r>
              <w:rPr>
                <w:rFonts w:hint="eastAsia" w:ascii="宋体" w:hAnsi="宋体" w:cs="宋体"/>
                <w:bCs/>
                <w:szCs w:val="21"/>
                <w:highlight w:val="none"/>
              </w:rPr>
              <w:t>-</w:t>
            </w:r>
            <w:r>
              <w:rPr>
                <w:rFonts w:hint="default" w:ascii="宋体" w:hAnsi="宋体" w:cs="宋体"/>
                <w:bCs/>
                <w:szCs w:val="21"/>
                <w:highlight w:val="none"/>
              </w:rPr>
              <w:t>15</w:t>
            </w:r>
            <w:r>
              <w:rPr>
                <w:rFonts w:hint="eastAsia" w:ascii="宋体" w:hAnsi="宋体" w:cs="宋体"/>
                <w:bCs/>
                <w:szCs w:val="21"/>
                <w:highlight w:val="none"/>
              </w:rPr>
              <w:t>分；</w:t>
            </w:r>
          </w:p>
          <w:p w14:paraId="1A89965E">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第二档，实施计划较科学合理，总体方案较完整，得</w:t>
            </w:r>
            <w:r>
              <w:rPr>
                <w:rFonts w:hint="default" w:ascii="宋体" w:hAnsi="宋体" w:cs="宋体"/>
                <w:bCs/>
                <w:szCs w:val="21"/>
                <w:highlight w:val="none"/>
              </w:rPr>
              <w:t>9</w:t>
            </w:r>
            <w:r>
              <w:rPr>
                <w:rFonts w:hint="eastAsia" w:ascii="宋体" w:hAnsi="宋体" w:cs="宋体"/>
                <w:bCs/>
                <w:szCs w:val="21"/>
                <w:highlight w:val="none"/>
              </w:rPr>
              <w:t>-</w:t>
            </w:r>
            <w:r>
              <w:rPr>
                <w:rFonts w:hint="default" w:ascii="宋体" w:hAnsi="宋体" w:cs="宋体"/>
                <w:bCs/>
                <w:szCs w:val="21"/>
                <w:highlight w:val="none"/>
              </w:rPr>
              <w:t>12</w:t>
            </w:r>
            <w:r>
              <w:rPr>
                <w:rFonts w:hint="eastAsia" w:ascii="宋体" w:hAnsi="宋体" w:cs="宋体"/>
                <w:bCs/>
                <w:szCs w:val="21"/>
                <w:highlight w:val="none"/>
              </w:rPr>
              <w:t>分；</w:t>
            </w:r>
          </w:p>
          <w:p w14:paraId="36263C42">
            <w:pPr>
              <w:keepNext w:val="0"/>
              <w:keepLines w:val="0"/>
              <w:suppressLineNumbers w:val="0"/>
              <w:autoSpaceDE w:val="0"/>
              <w:autoSpaceDN w:val="0"/>
              <w:spacing w:before="0" w:beforeAutospacing="0" w:after="0" w:afterAutospacing="0" w:line="273" w:lineRule="auto"/>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第三档，实施计划基本合理，总体方案简单，得</w:t>
            </w:r>
            <w:r>
              <w:rPr>
                <w:rFonts w:hint="default" w:ascii="宋体" w:hAnsi="宋体" w:cs="宋体"/>
                <w:bCs/>
                <w:szCs w:val="21"/>
                <w:highlight w:val="none"/>
              </w:rPr>
              <w:t>9</w:t>
            </w:r>
            <w:r>
              <w:rPr>
                <w:rFonts w:hint="eastAsia" w:ascii="宋体" w:hAnsi="宋体" w:cs="宋体"/>
                <w:bCs/>
                <w:szCs w:val="21"/>
                <w:highlight w:val="none"/>
              </w:rPr>
              <w:t>分。</w:t>
            </w:r>
          </w:p>
        </w:tc>
      </w:tr>
      <w:tr w14:paraId="3AD05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continue"/>
            <w:vAlign w:val="center"/>
          </w:tcPr>
          <w:p w14:paraId="3D37C0B7">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743C4B53">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06BE40D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right w:val="single" w:color="auto" w:sz="4" w:space="0"/>
            </w:tcBorders>
            <w:vAlign w:val="center"/>
          </w:tcPr>
          <w:p w14:paraId="4C2D5E6B">
            <w:pPr>
              <w:pStyle w:val="4"/>
              <w:keepNext w:val="0"/>
              <w:keepLines w:val="0"/>
              <w:suppressLineNumbers w:val="0"/>
              <w:spacing w:before="0" w:beforeAutospacing="0" w:after="0" w:afterAutospacing="0"/>
              <w:ind w:left="0" w:right="0"/>
              <w:jc w:val="left"/>
              <w:rPr>
                <w:rFonts w:hint="default" w:ascii="宋体" w:hAnsi="宋体" w:eastAsia="宋体" w:cs="宋体"/>
                <w:color w:val="auto"/>
                <w:sz w:val="21"/>
                <w:szCs w:val="21"/>
                <w:highlight w:val="none"/>
                <w:lang w:val="en-US"/>
              </w:rPr>
            </w:pPr>
            <w:r>
              <w:rPr>
                <w:rFonts w:hint="eastAsia" w:cs="宋体"/>
                <w:snapToGrid w:val="0"/>
                <w:color w:val="auto"/>
                <w:spacing w:val="0"/>
                <w:w w:val="100"/>
                <w:kern w:val="2"/>
                <w:sz w:val="21"/>
                <w:szCs w:val="21"/>
                <w:highlight w:val="none"/>
                <w:lang w:val="en-US" w:eastAsia="zh-CN" w:bidi="ar-SA"/>
              </w:rPr>
              <w:t>服务工作的重点和难点分析</w:t>
            </w:r>
          </w:p>
        </w:tc>
        <w:tc>
          <w:tcPr>
            <w:tcW w:w="565" w:type="dxa"/>
            <w:tcBorders>
              <w:top w:val="single" w:color="auto" w:sz="4" w:space="0"/>
              <w:left w:val="single" w:color="auto" w:sz="4" w:space="0"/>
              <w:right w:val="single" w:color="auto" w:sz="4" w:space="0"/>
            </w:tcBorders>
            <w:vAlign w:val="center"/>
          </w:tcPr>
          <w:p w14:paraId="11DDE05F">
            <w:pPr>
              <w:pStyle w:val="4"/>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510" w:type="dxa"/>
            <w:tcBorders>
              <w:top w:val="single" w:color="auto" w:sz="4" w:space="0"/>
              <w:left w:val="single" w:color="auto" w:sz="4" w:space="0"/>
            </w:tcBorders>
            <w:vAlign w:val="center"/>
          </w:tcPr>
          <w:p w14:paraId="06FEEABD">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第一档，科学合理，内容详细，得</w:t>
            </w:r>
            <w:r>
              <w:rPr>
                <w:rFonts w:hint="default" w:ascii="宋体" w:hAnsi="宋体" w:cs="宋体"/>
                <w:bCs/>
                <w:szCs w:val="21"/>
                <w:highlight w:val="none"/>
              </w:rPr>
              <w:t>8-10</w:t>
            </w:r>
            <w:r>
              <w:rPr>
                <w:rFonts w:hint="eastAsia" w:ascii="宋体" w:hAnsi="宋体" w:cs="宋体"/>
                <w:bCs/>
                <w:szCs w:val="21"/>
                <w:highlight w:val="none"/>
              </w:rPr>
              <w:t>分；</w:t>
            </w:r>
          </w:p>
          <w:p w14:paraId="5B9B4771">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第二档，较科学合理，内容较详细，得</w:t>
            </w:r>
            <w:r>
              <w:rPr>
                <w:rFonts w:hint="default" w:ascii="宋体" w:hAnsi="宋体" w:cs="宋体"/>
                <w:bCs/>
                <w:szCs w:val="21"/>
                <w:highlight w:val="none"/>
              </w:rPr>
              <w:t>6-8</w:t>
            </w:r>
            <w:r>
              <w:rPr>
                <w:rFonts w:hint="eastAsia" w:ascii="宋体" w:hAnsi="宋体" w:cs="宋体"/>
                <w:bCs/>
                <w:szCs w:val="21"/>
                <w:highlight w:val="none"/>
              </w:rPr>
              <w:t>分；</w:t>
            </w:r>
          </w:p>
          <w:p w14:paraId="3C4B9094">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第三档，基本合理，内容简单，得</w:t>
            </w:r>
            <w:r>
              <w:rPr>
                <w:rFonts w:hint="default" w:ascii="宋体" w:hAnsi="宋体" w:cs="宋体"/>
                <w:bCs/>
                <w:szCs w:val="21"/>
                <w:highlight w:val="none"/>
              </w:rPr>
              <w:t>6</w:t>
            </w:r>
            <w:r>
              <w:rPr>
                <w:rFonts w:hint="eastAsia" w:ascii="宋体" w:hAnsi="宋体" w:cs="宋体"/>
                <w:bCs/>
                <w:szCs w:val="21"/>
                <w:highlight w:val="none"/>
              </w:rPr>
              <w:t>分。</w:t>
            </w:r>
          </w:p>
        </w:tc>
      </w:tr>
      <w:tr w14:paraId="169C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continue"/>
            <w:vAlign w:val="center"/>
          </w:tcPr>
          <w:p w14:paraId="1588AEDA">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10621F85">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697200B6">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top w:val="single" w:color="auto" w:sz="4" w:space="0"/>
              <w:right w:val="single" w:color="auto" w:sz="4" w:space="0"/>
            </w:tcBorders>
            <w:vAlign w:val="center"/>
          </w:tcPr>
          <w:p w14:paraId="1121BE0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cs="宋体"/>
                <w:snapToGrid w:val="0"/>
                <w:color w:val="auto"/>
                <w:spacing w:val="0"/>
                <w:w w:val="100"/>
                <w:kern w:val="2"/>
                <w:sz w:val="21"/>
                <w:szCs w:val="21"/>
                <w:highlight w:val="none"/>
                <w:lang w:val="en-US" w:eastAsia="zh-CN" w:bidi="ar-SA"/>
              </w:rPr>
              <w:t>服务工作的质量、进度控制措施</w:t>
            </w:r>
          </w:p>
        </w:tc>
        <w:tc>
          <w:tcPr>
            <w:tcW w:w="565" w:type="dxa"/>
            <w:tcBorders>
              <w:top w:val="single" w:color="auto" w:sz="4" w:space="0"/>
              <w:left w:val="single" w:color="auto" w:sz="4" w:space="0"/>
              <w:right w:val="single" w:color="auto" w:sz="4" w:space="0"/>
            </w:tcBorders>
            <w:vAlign w:val="center"/>
          </w:tcPr>
          <w:p w14:paraId="01A74FB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pacing w:val="-12"/>
                <w:sz w:val="21"/>
                <w:szCs w:val="21"/>
                <w:highlight w:val="none"/>
                <w:lang w:val="en-US" w:eastAsia="zh-CN"/>
              </w:rPr>
              <w:t>10</w:t>
            </w:r>
            <w:r>
              <w:rPr>
                <w:rFonts w:hint="eastAsia" w:ascii="宋体" w:hAnsi="宋体" w:eastAsia="宋体" w:cs="宋体"/>
                <w:color w:val="auto"/>
                <w:spacing w:val="-12"/>
                <w:sz w:val="21"/>
                <w:szCs w:val="21"/>
                <w:highlight w:val="none"/>
              </w:rPr>
              <w:t>分</w:t>
            </w:r>
          </w:p>
        </w:tc>
        <w:tc>
          <w:tcPr>
            <w:tcW w:w="5510" w:type="dxa"/>
            <w:tcBorders>
              <w:top w:val="single" w:color="auto" w:sz="4" w:space="0"/>
              <w:left w:val="single" w:color="auto" w:sz="4" w:space="0"/>
            </w:tcBorders>
            <w:vAlign w:val="center"/>
          </w:tcPr>
          <w:p w14:paraId="4921F22D">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第一档，科学合理、完善可行、有针对性，得</w:t>
            </w:r>
            <w:r>
              <w:rPr>
                <w:rFonts w:hint="default" w:ascii="宋体" w:hAnsi="宋体" w:cs="宋体"/>
                <w:bCs/>
                <w:szCs w:val="21"/>
                <w:highlight w:val="none"/>
              </w:rPr>
              <w:t>8-10</w:t>
            </w:r>
            <w:r>
              <w:rPr>
                <w:rFonts w:hint="eastAsia" w:ascii="宋体" w:hAnsi="宋体" w:cs="宋体"/>
                <w:bCs/>
                <w:szCs w:val="21"/>
                <w:highlight w:val="none"/>
              </w:rPr>
              <w:t>分；</w:t>
            </w:r>
          </w:p>
          <w:p w14:paraId="58D7B578">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第二档，较科学、较完善可行、较有针对性，得</w:t>
            </w:r>
            <w:r>
              <w:rPr>
                <w:rFonts w:hint="default" w:ascii="宋体" w:hAnsi="宋体" w:cs="宋体"/>
                <w:bCs/>
                <w:szCs w:val="21"/>
                <w:highlight w:val="none"/>
              </w:rPr>
              <w:t>6-8</w:t>
            </w:r>
            <w:r>
              <w:rPr>
                <w:rFonts w:hint="eastAsia" w:ascii="宋体" w:hAnsi="宋体" w:cs="宋体"/>
                <w:bCs/>
                <w:szCs w:val="21"/>
                <w:highlight w:val="none"/>
              </w:rPr>
              <w:t>分；</w:t>
            </w:r>
          </w:p>
          <w:p w14:paraId="1E4BA691">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第三档，保证措施一般，得</w:t>
            </w:r>
            <w:r>
              <w:rPr>
                <w:rFonts w:hint="default" w:ascii="宋体" w:hAnsi="宋体" w:cs="宋体"/>
                <w:bCs/>
                <w:szCs w:val="21"/>
                <w:highlight w:val="none"/>
              </w:rPr>
              <w:t>6</w:t>
            </w:r>
            <w:r>
              <w:rPr>
                <w:rFonts w:hint="eastAsia" w:ascii="宋体" w:hAnsi="宋体" w:cs="宋体"/>
                <w:bCs/>
                <w:szCs w:val="21"/>
                <w:highlight w:val="none"/>
              </w:rPr>
              <w:t>分。</w:t>
            </w:r>
          </w:p>
        </w:tc>
      </w:tr>
      <w:tr w14:paraId="7D91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continue"/>
            <w:vAlign w:val="center"/>
          </w:tcPr>
          <w:p w14:paraId="279F7421">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58247D75">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5799BC31">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top w:val="single" w:color="auto" w:sz="4" w:space="0"/>
              <w:right w:val="single" w:color="auto" w:sz="4" w:space="0"/>
            </w:tcBorders>
            <w:vAlign w:val="center"/>
          </w:tcPr>
          <w:p w14:paraId="63D0CAF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后续服务</w:t>
            </w:r>
          </w:p>
        </w:tc>
        <w:tc>
          <w:tcPr>
            <w:tcW w:w="565" w:type="dxa"/>
            <w:tcBorders>
              <w:top w:val="single" w:color="auto" w:sz="4" w:space="0"/>
              <w:left w:val="single" w:color="auto" w:sz="4" w:space="0"/>
              <w:right w:val="single" w:color="auto" w:sz="4" w:space="0"/>
            </w:tcBorders>
            <w:vAlign w:val="center"/>
          </w:tcPr>
          <w:p w14:paraId="31B1677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510" w:type="dxa"/>
            <w:tcBorders>
              <w:top w:val="single" w:color="auto" w:sz="4" w:space="0"/>
              <w:left w:val="single" w:color="auto" w:sz="4" w:space="0"/>
            </w:tcBorders>
            <w:vAlign w:val="center"/>
          </w:tcPr>
          <w:p w14:paraId="21BBD3CF">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第一档，服务措施系统全面、科学合理，得8-10分；</w:t>
            </w:r>
          </w:p>
          <w:p w14:paraId="5DFCEE37">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第二档，服务措施较完整、较科学，得6-8分；</w:t>
            </w:r>
          </w:p>
          <w:p w14:paraId="3E7A6D81">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第三档，服务措施基本完整或基本合理，得</w:t>
            </w:r>
            <w:r>
              <w:rPr>
                <w:rFonts w:hint="default" w:ascii="宋体" w:hAnsi="宋体" w:cs="宋体"/>
                <w:bCs/>
                <w:szCs w:val="21"/>
                <w:highlight w:val="none"/>
              </w:rPr>
              <w:t>6</w:t>
            </w:r>
            <w:r>
              <w:rPr>
                <w:rFonts w:hint="eastAsia" w:ascii="宋体" w:hAnsi="宋体" w:cs="宋体"/>
                <w:bCs/>
                <w:szCs w:val="21"/>
                <w:highlight w:val="none"/>
              </w:rPr>
              <w:t>分。</w:t>
            </w:r>
          </w:p>
        </w:tc>
      </w:tr>
      <w:tr w14:paraId="4820D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28" w:type="dxa"/>
            <w:vAlign w:val="center"/>
          </w:tcPr>
          <w:p w14:paraId="50B6AF24">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p>
        </w:tc>
        <w:tc>
          <w:tcPr>
            <w:tcW w:w="659" w:type="dxa"/>
            <w:vAlign w:val="center"/>
          </w:tcPr>
          <w:p w14:paraId="539E663E">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其他主要人员</w:t>
            </w:r>
          </w:p>
        </w:tc>
        <w:tc>
          <w:tcPr>
            <w:tcW w:w="545" w:type="dxa"/>
            <w:vAlign w:val="center"/>
          </w:tcPr>
          <w:p w14:paraId="3618A092">
            <w:pPr>
              <w:keepNext w:val="0"/>
              <w:keepLines w:val="0"/>
              <w:suppressLineNumbers w:val="0"/>
              <w:snapToGrid w:val="0"/>
              <w:spacing w:before="0" w:beforeAutospacing="0" w:after="0" w:afterAutospacing="0" w:line="264" w:lineRule="auto"/>
              <w:ind w:left="0" w:right="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10分</w:t>
            </w:r>
          </w:p>
        </w:tc>
        <w:tc>
          <w:tcPr>
            <w:tcW w:w="7652" w:type="dxa"/>
            <w:gridSpan w:val="3"/>
            <w:tcBorders>
              <w:top w:val="single" w:color="auto" w:sz="4" w:space="0"/>
            </w:tcBorders>
            <w:vAlign w:val="center"/>
          </w:tcPr>
          <w:p w14:paraId="20E5363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项目团队成员：每</w:t>
            </w:r>
            <w:r>
              <w:rPr>
                <w:rFonts w:hint="eastAsia" w:ascii="宋体" w:hAnsi="宋体" w:cs="宋体"/>
                <w:color w:val="000000"/>
                <w:sz w:val="21"/>
                <w:szCs w:val="21"/>
                <w:highlight w:val="none"/>
                <w:lang w:val="en-US" w:eastAsia="zh-CN"/>
              </w:rPr>
              <w:t>有</w:t>
            </w:r>
            <w:r>
              <w:rPr>
                <w:rFonts w:hint="eastAsia" w:ascii="宋体" w:hAnsi="宋体" w:eastAsia="宋体" w:cs="宋体"/>
                <w:color w:val="000000"/>
                <w:sz w:val="21"/>
                <w:szCs w:val="21"/>
                <w:highlight w:val="none"/>
              </w:rPr>
              <w:t>1名具有高级职称（副研究员及以上）的项目团队成员加5分，最高加10分。</w:t>
            </w:r>
          </w:p>
        </w:tc>
      </w:tr>
      <w:tr w14:paraId="7ADD1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jc w:val="center"/>
        </w:trPr>
        <w:tc>
          <w:tcPr>
            <w:tcW w:w="628" w:type="dxa"/>
            <w:vMerge w:val="restart"/>
            <w:vAlign w:val="center"/>
          </w:tcPr>
          <w:p w14:paraId="1F7908B7">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p>
        </w:tc>
        <w:tc>
          <w:tcPr>
            <w:tcW w:w="659" w:type="dxa"/>
            <w:vMerge w:val="restart"/>
            <w:vAlign w:val="center"/>
          </w:tcPr>
          <w:p w14:paraId="62312B17">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eastAsia="zh"/>
              </w:rPr>
            </w:pPr>
            <w:r>
              <w:rPr>
                <w:rFonts w:hint="eastAsia" w:ascii="宋体" w:hAnsi="宋体" w:eastAsia="宋体" w:cs="宋体"/>
                <w:color w:val="000000"/>
                <w:sz w:val="21"/>
                <w:szCs w:val="21"/>
                <w:highlight w:val="none"/>
                <w:lang w:eastAsia="zh"/>
              </w:rPr>
              <w:t>企业</w:t>
            </w:r>
          </w:p>
          <w:p w14:paraId="54944980">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w:t>
            </w:r>
          </w:p>
        </w:tc>
        <w:tc>
          <w:tcPr>
            <w:tcW w:w="545" w:type="dxa"/>
            <w:vMerge w:val="restart"/>
            <w:vAlign w:val="center"/>
          </w:tcPr>
          <w:p w14:paraId="24A1157E">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分</w:t>
            </w:r>
          </w:p>
        </w:tc>
        <w:tc>
          <w:tcPr>
            <w:tcW w:w="1577" w:type="dxa"/>
            <w:tcBorders>
              <w:top w:val="single" w:color="auto" w:sz="4" w:space="0"/>
              <w:bottom w:val="single" w:color="auto" w:sz="4" w:space="0"/>
              <w:right w:val="single" w:color="auto" w:sz="4" w:space="0"/>
            </w:tcBorders>
            <w:vAlign w:val="center"/>
          </w:tcPr>
          <w:p w14:paraId="3F623B83">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36B71E0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分</w:t>
            </w:r>
          </w:p>
        </w:tc>
        <w:tc>
          <w:tcPr>
            <w:tcW w:w="5510" w:type="dxa"/>
            <w:tcBorders>
              <w:top w:val="single" w:color="auto" w:sz="4" w:space="0"/>
              <w:left w:val="single" w:color="auto" w:sz="4" w:space="0"/>
              <w:bottom w:val="single" w:color="auto" w:sz="4" w:space="0"/>
            </w:tcBorders>
            <w:vAlign w:val="center"/>
          </w:tcPr>
          <w:p w14:paraId="044A12FC">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满足资格审查条件，得</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分</w:t>
            </w:r>
          </w:p>
        </w:tc>
      </w:tr>
      <w:tr w14:paraId="1161C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628" w:type="dxa"/>
            <w:vMerge w:val="continue"/>
            <w:vAlign w:val="center"/>
          </w:tcPr>
          <w:p w14:paraId="6F54475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659" w:type="dxa"/>
            <w:vMerge w:val="continue"/>
            <w:vAlign w:val="center"/>
          </w:tcPr>
          <w:p w14:paraId="168FEB1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545" w:type="dxa"/>
            <w:vMerge w:val="continue"/>
            <w:vAlign w:val="center"/>
          </w:tcPr>
          <w:p w14:paraId="362C477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1577" w:type="dxa"/>
            <w:tcBorders>
              <w:top w:val="single" w:color="auto" w:sz="4" w:space="0"/>
              <w:bottom w:val="single" w:color="auto" w:sz="4" w:space="0"/>
              <w:right w:val="single" w:color="auto" w:sz="4" w:space="0"/>
            </w:tcBorders>
            <w:vAlign w:val="center"/>
          </w:tcPr>
          <w:p w14:paraId="73CD704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类似项目业绩</w:t>
            </w:r>
          </w:p>
        </w:tc>
        <w:tc>
          <w:tcPr>
            <w:tcW w:w="565" w:type="dxa"/>
            <w:tcBorders>
              <w:top w:val="single" w:color="auto" w:sz="4" w:space="0"/>
              <w:left w:val="single" w:color="auto" w:sz="4" w:space="0"/>
              <w:bottom w:val="single" w:color="auto" w:sz="4" w:space="0"/>
              <w:right w:val="single" w:color="auto" w:sz="4" w:space="0"/>
            </w:tcBorders>
            <w:vAlign w:val="center"/>
          </w:tcPr>
          <w:p w14:paraId="5ED924AC">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8分</w:t>
            </w:r>
          </w:p>
        </w:tc>
        <w:tc>
          <w:tcPr>
            <w:tcW w:w="5510" w:type="dxa"/>
            <w:tcBorders>
              <w:top w:val="single" w:color="auto" w:sz="4" w:space="0"/>
              <w:left w:val="single" w:color="auto" w:sz="4" w:space="0"/>
              <w:bottom w:val="single" w:color="auto" w:sz="4" w:space="0"/>
            </w:tcBorders>
            <w:vAlign w:val="center"/>
          </w:tcPr>
          <w:p w14:paraId="5B823114">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eastAsia="zh"/>
              </w:rPr>
            </w:pPr>
            <w:r>
              <w:rPr>
                <w:rFonts w:hint="eastAsia" w:ascii="宋体" w:hAnsi="宋体" w:eastAsia="宋体" w:cs="宋体"/>
                <w:color w:val="000000"/>
                <w:sz w:val="21"/>
                <w:szCs w:val="21"/>
                <w:highlight w:val="none"/>
              </w:rPr>
              <w:t>每增加一项满足资格审查条件要求(业绩最低要求)的业绩加2分，最高加8分。</w:t>
            </w:r>
          </w:p>
        </w:tc>
      </w:tr>
      <w:tr w14:paraId="4DD7F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628" w:type="dxa"/>
            <w:vMerge w:val="restart"/>
            <w:vAlign w:val="center"/>
          </w:tcPr>
          <w:p w14:paraId="179010BF">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p>
        </w:tc>
        <w:tc>
          <w:tcPr>
            <w:tcW w:w="659" w:type="dxa"/>
            <w:vMerge w:val="restart"/>
            <w:vAlign w:val="center"/>
          </w:tcPr>
          <w:p w14:paraId="1A014F2F">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项目负责人</w:t>
            </w:r>
          </w:p>
        </w:tc>
        <w:tc>
          <w:tcPr>
            <w:tcW w:w="545" w:type="dxa"/>
            <w:vMerge w:val="restart"/>
            <w:vAlign w:val="center"/>
          </w:tcPr>
          <w:p w14:paraId="48494192">
            <w:pPr>
              <w:keepNext w:val="0"/>
              <w:keepLines w:val="0"/>
              <w:suppressLineNumbers w:val="0"/>
              <w:snapToGrid w:val="0"/>
              <w:spacing w:before="0" w:beforeAutospacing="0" w:after="0" w:afterAutospacing="0" w:line="264" w:lineRule="auto"/>
              <w:ind w:left="0" w:right="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15分</w:t>
            </w:r>
          </w:p>
        </w:tc>
        <w:tc>
          <w:tcPr>
            <w:tcW w:w="1577" w:type="dxa"/>
            <w:tcBorders>
              <w:top w:val="single" w:color="auto" w:sz="4" w:space="0"/>
              <w:bottom w:val="single" w:color="auto" w:sz="4" w:space="0"/>
              <w:right w:val="single" w:color="auto" w:sz="4" w:space="0"/>
            </w:tcBorders>
            <w:vAlign w:val="center"/>
          </w:tcPr>
          <w:p w14:paraId="1C9F7E2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18C4C33A">
            <w:pPr>
              <w:keepNext w:val="0"/>
              <w:keepLines w:val="0"/>
              <w:suppressLineNumbers w:val="0"/>
              <w:snapToGrid w:val="0"/>
              <w:spacing w:before="0" w:beforeAutospacing="0" w:after="0" w:afterAutospacing="0" w:line="264" w:lineRule="auto"/>
              <w:ind w:left="0" w:right="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9分</w:t>
            </w:r>
          </w:p>
        </w:tc>
        <w:tc>
          <w:tcPr>
            <w:tcW w:w="5510" w:type="dxa"/>
            <w:tcBorders>
              <w:top w:val="single" w:color="auto" w:sz="4" w:space="0"/>
              <w:left w:val="single" w:color="auto" w:sz="4" w:space="0"/>
              <w:bottom w:val="single" w:color="auto" w:sz="4" w:space="0"/>
            </w:tcBorders>
            <w:vAlign w:val="center"/>
          </w:tcPr>
          <w:p w14:paraId="7AE3EC67">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满足资格审查条件要求（项目负责人最低要求）得9分；</w:t>
            </w:r>
          </w:p>
        </w:tc>
      </w:tr>
      <w:tr w14:paraId="79016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628" w:type="dxa"/>
            <w:vMerge w:val="continue"/>
            <w:vAlign w:val="center"/>
          </w:tcPr>
          <w:p w14:paraId="165AB7B1">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659" w:type="dxa"/>
            <w:vMerge w:val="continue"/>
            <w:vAlign w:val="center"/>
          </w:tcPr>
          <w:p w14:paraId="4858D173">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545" w:type="dxa"/>
            <w:vMerge w:val="continue"/>
            <w:vAlign w:val="center"/>
          </w:tcPr>
          <w:p w14:paraId="54C781F4">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p>
        </w:tc>
        <w:tc>
          <w:tcPr>
            <w:tcW w:w="1577" w:type="dxa"/>
            <w:tcBorders>
              <w:top w:val="single" w:color="auto" w:sz="4" w:space="0"/>
              <w:bottom w:val="single" w:color="auto" w:sz="4" w:space="0"/>
              <w:right w:val="single" w:color="auto" w:sz="4" w:space="0"/>
            </w:tcBorders>
            <w:vAlign w:val="center"/>
          </w:tcPr>
          <w:p w14:paraId="173832E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类似项目业绩</w:t>
            </w:r>
          </w:p>
        </w:tc>
        <w:tc>
          <w:tcPr>
            <w:tcW w:w="565" w:type="dxa"/>
            <w:tcBorders>
              <w:top w:val="single" w:color="auto" w:sz="4" w:space="0"/>
              <w:left w:val="single" w:color="auto" w:sz="4" w:space="0"/>
              <w:bottom w:val="single" w:color="auto" w:sz="4" w:space="0"/>
              <w:right w:val="single" w:color="auto" w:sz="4" w:space="0"/>
            </w:tcBorders>
            <w:vAlign w:val="center"/>
          </w:tcPr>
          <w:p w14:paraId="64F8280F">
            <w:pPr>
              <w:keepNext w:val="0"/>
              <w:keepLines w:val="0"/>
              <w:suppressLineNumbers w:val="0"/>
              <w:snapToGrid w:val="0"/>
              <w:spacing w:before="0" w:beforeAutospacing="0" w:after="0" w:afterAutospacing="0" w:line="264" w:lineRule="auto"/>
              <w:ind w:left="0" w:right="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c>
          <w:tcPr>
            <w:tcW w:w="5510" w:type="dxa"/>
            <w:tcBorders>
              <w:top w:val="single" w:color="auto" w:sz="4" w:space="0"/>
              <w:left w:val="single" w:color="auto" w:sz="4" w:space="0"/>
              <w:bottom w:val="single" w:color="auto" w:sz="4" w:space="0"/>
            </w:tcBorders>
            <w:vAlign w:val="center"/>
          </w:tcPr>
          <w:p w14:paraId="2A7BD1B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每增加一项满足资格审查条件要求(项目负责人最低要求)的项目负责人业绩加2分，最高加6分。</w:t>
            </w:r>
          </w:p>
        </w:tc>
      </w:tr>
      <w:tr w14:paraId="5B4D2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628" w:type="dxa"/>
            <w:vAlign w:val="center"/>
          </w:tcPr>
          <w:p w14:paraId="501EE00E">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2.2.4（</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w:t>
            </w:r>
          </w:p>
        </w:tc>
        <w:tc>
          <w:tcPr>
            <w:tcW w:w="659" w:type="dxa"/>
            <w:vAlign w:val="center"/>
          </w:tcPr>
          <w:p w14:paraId="496F9C72">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rPr>
              <w:t>评标价</w:t>
            </w:r>
          </w:p>
        </w:tc>
        <w:tc>
          <w:tcPr>
            <w:tcW w:w="545" w:type="dxa"/>
            <w:vAlign w:val="center"/>
          </w:tcPr>
          <w:p w14:paraId="6E6A7040">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分</w:t>
            </w:r>
          </w:p>
        </w:tc>
        <w:tc>
          <w:tcPr>
            <w:tcW w:w="7652" w:type="dxa"/>
            <w:gridSpan w:val="3"/>
            <w:tcBorders>
              <w:top w:val="single" w:color="auto" w:sz="4" w:space="0"/>
            </w:tcBorders>
            <w:vAlign w:val="center"/>
          </w:tcPr>
          <w:p w14:paraId="6AF655A9">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评标价得分计算公式：</w:t>
            </w:r>
          </w:p>
          <w:p w14:paraId="5BDD0A85">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（1）如果投标人的评标价＞评标基准价，则评标价得分=F-偏差率×100×E1；</w:t>
            </w:r>
          </w:p>
          <w:p w14:paraId="0978DD5B">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（2）如果投标人的评标价≤评标基准价，则评标价得分=F+偏差率×100×E2。</w:t>
            </w:r>
          </w:p>
          <w:p w14:paraId="5408721C">
            <w:pPr>
              <w:keepNext w:val="0"/>
              <w:keepLines w:val="0"/>
              <w:suppressLineNumbers w:val="0"/>
              <w:spacing w:before="0" w:beforeAutospacing="0" w:after="0" w:afterAutospacing="0"/>
              <w:ind w:left="0" w:leftChars="0" w:right="0" w:rightChars="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其中，F=10；E1=0.2；E2=0.1；评标价最低得分为0分，保留2位小数。</w:t>
            </w:r>
          </w:p>
        </w:tc>
      </w:tr>
      <w:bookmarkEnd w:id="28"/>
    </w:tbl>
    <w:p w14:paraId="3ED0DEB2">
      <w:pPr>
        <w:rPr>
          <w:rFonts w:hint="eastAsia"/>
        </w:rPr>
      </w:pPr>
      <w:r>
        <w:rPr>
          <w:rFonts w:hint="eastAsia"/>
        </w:rPr>
        <w:t>注：1、技术部分各项得分应以评标委员会各成员的打分平均值确定；评委打分保留1位小数，汇总得分保留小数点后两位。</w:t>
      </w:r>
    </w:p>
    <w:p w14:paraId="38DB7084">
      <w:pPr>
        <w:rPr>
          <w:rFonts w:hint="eastAsia"/>
        </w:rPr>
      </w:pPr>
      <w:r>
        <w:rPr>
          <w:rFonts w:hint="eastAsia"/>
        </w:rPr>
        <w:t>2、技术部分各项评审因素细分项缺项则该项得0分。</w:t>
      </w:r>
    </w:p>
    <w:p w14:paraId="63E874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1A8D2258"/>
    <w:rsid w:val="1A8D2258"/>
    <w:rsid w:val="1EBB0851"/>
    <w:rsid w:val="74CE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Plain Text"/>
    <w:basedOn w:val="1"/>
    <w:autoRedefine/>
    <w:qFormat/>
    <w:uiPriority w:val="0"/>
    <w:pPr>
      <w:spacing w:line="300" w:lineRule="exact"/>
    </w:pPr>
    <w:rPr>
      <w:rFonts w:ascii="宋体" w:hAnsi="宋体" w:cs="宋体"/>
      <w:color w:val="FF0000"/>
      <w:spacing w:val="5"/>
      <w:w w:val="95"/>
      <w:kern w:val="0"/>
      <w:szCs w:val="21"/>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Body Text First Indent 2"/>
    <w:basedOn w:val="3"/>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2345</Words>
  <Characters>2641</Characters>
  <Lines>0</Lines>
  <Paragraphs>0</Paragraphs>
  <TotalTime>2</TotalTime>
  <ScaleCrop>false</ScaleCrop>
  <LinksUpToDate>false</LinksUpToDate>
  <CharactersWithSpaces>2675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2025-01-20T03:16:00Z</dcterms:created>
  <dc:creator>冯歌</dc:creator>
  <cp:lastModifiedBy>李娜</cp:lastModifiedBy>
  <dcterms:modified xsi:type="dcterms:W3CDTF">2025-01-21T00:43:09Z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E6C09C13043748089E618AE40AA959C2_11</vt:lpwstr>
  </property>
  <property fmtid="{D5CDD505-2E9C-101B-9397-08002B2CF9AE}" pid="4" name="KSOTemplateDocerSaveRecord">
    <vt:lpwstr>eyJoZGlkIjoiOWYyZDYxNTJjZmI2NmVkYTMyOWVjMGFiZjEzZGM5NjgiLCJ1c2VySWQiOiIxNTI1NDExOTAzIn0=</vt:lpwstr>
  </property>
</Properties>
</file>