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23234">
      <w:pPr>
        <w:pStyle w:val="2"/>
        <w:adjustRightInd w:val="0"/>
        <w:snapToGrid w:val="0"/>
        <w:spacing w:before="0" w:after="0" w:line="360" w:lineRule="auto"/>
        <w:rPr>
          <w:rFonts w:hint="eastAsia" w:cs="Times New Roman" w:asciiTheme="minorEastAsia" w:hAnsiTheme="minorEastAsia" w:eastAsiaTheme="minorEastAsia"/>
          <w:sz w:val="24"/>
          <w:szCs w:val="24"/>
        </w:rPr>
      </w:pPr>
      <w:bookmarkStart w:id="0" w:name="_Toc131956854"/>
      <w:r>
        <w:rPr>
          <w:rFonts w:hint="eastAsia" w:cs="Times New Roman" w:asciiTheme="minorEastAsia" w:hAnsiTheme="minorEastAsia" w:eastAsiaTheme="minorEastAsia"/>
          <w:sz w:val="24"/>
          <w:szCs w:val="24"/>
        </w:rPr>
        <w:t>附件1：资格审查条件</w:t>
      </w:r>
      <w:bookmarkEnd w:id="0"/>
    </w:p>
    <w:p w14:paraId="1A6CE55C">
      <w:pPr>
        <w:pStyle w:val="2"/>
        <w:adjustRightInd w:val="0"/>
        <w:snapToGrid w:val="0"/>
        <w:spacing w:before="0" w:after="0" w:line="360" w:lineRule="auto"/>
        <w:jc w:val="center"/>
        <w:rPr>
          <w:rFonts w:hint="eastAsia" w:cs="Times New Roman" w:asciiTheme="minorEastAsia" w:hAnsiTheme="minorEastAsia" w:eastAsiaTheme="minorEastAsia"/>
          <w:sz w:val="24"/>
          <w:szCs w:val="24"/>
        </w:rPr>
      </w:pPr>
      <w:bookmarkStart w:id="1" w:name="_Toc131956855"/>
      <w:r>
        <w:rPr>
          <w:rFonts w:hint="eastAsia" w:cs="Times New Roman" w:asciiTheme="minorEastAsia" w:hAnsiTheme="minorEastAsia" w:eastAsiaTheme="minorEastAsia"/>
          <w:sz w:val="24"/>
          <w:szCs w:val="24"/>
        </w:rPr>
        <w:t>附录1  资格审查条件(资质最低条件)</w:t>
      </w:r>
      <w:bookmarkEnd w:id="1"/>
    </w:p>
    <w:tbl>
      <w:tblPr>
        <w:tblStyle w:val="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67F6F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3"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6578D7AD">
            <w:pPr>
              <w:jc w:val="center"/>
              <w:textAlignment w:val="baseline"/>
              <w:rPr>
                <w:rStyle w:val="7"/>
                <w:rFonts w:hint="eastAsia" w:asciiTheme="minorEastAsia" w:hAnsiTheme="minorEastAsia" w:eastAsiaTheme="minorEastAsia"/>
                <w:b/>
                <w:szCs w:val="21"/>
              </w:rPr>
            </w:pPr>
            <w:r>
              <w:rPr>
                <w:rStyle w:val="7"/>
                <w:rFonts w:hint="eastAsia" w:asciiTheme="minorEastAsia" w:hAnsiTheme="minorEastAsia" w:eastAsiaTheme="minorEastAsia"/>
                <w:b/>
                <w:szCs w:val="21"/>
              </w:rPr>
              <w:t>资质要求</w:t>
            </w:r>
          </w:p>
        </w:tc>
      </w:tr>
      <w:tr w14:paraId="1C80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1"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460CD727">
            <w:pPr>
              <w:pStyle w:val="8"/>
              <w:spacing w:line="240" w:lineRule="auto"/>
              <w:jc w:val="left"/>
              <w:rPr>
                <w:rFonts w:hint="eastAsia"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（1）具有独立企业法人资格，持有有效的企业法人营业执照。</w:t>
            </w:r>
          </w:p>
          <w:p w14:paraId="6A4E020A">
            <w:pPr>
              <w:pStyle w:val="8"/>
              <w:spacing w:line="240" w:lineRule="auto"/>
              <w:jc w:val="left"/>
              <w:rPr>
                <w:rFonts w:hint="eastAsia"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（2）具备交通运输部颁发的公路工程监理甲级资质。</w:t>
            </w:r>
          </w:p>
          <w:p w14:paraId="75A6D685">
            <w:pPr>
              <w:pStyle w:val="8"/>
              <w:spacing w:line="240" w:lineRule="auto"/>
              <w:jc w:val="left"/>
              <w:rPr>
                <w:rStyle w:val="7"/>
                <w:rFonts w:hint="eastAsia" w:asciiTheme="minorEastAsia" w:hAnsiTheme="minorEastAsia" w:eastAsiaTheme="minorEastAsia"/>
                <w:color w:val="auto"/>
                <w:kern w:val="2"/>
                <w:szCs w:val="24"/>
              </w:rPr>
            </w:pPr>
            <w:r>
              <w:rPr>
                <w:rFonts w:hint="eastAsia"/>
                <w:color w:val="auto"/>
              </w:rPr>
              <w:t>注：</w:t>
            </w:r>
            <w:r>
              <w:rPr>
                <w:rFonts w:hint="eastAsia" w:hAnsi="宋体"/>
                <w:bCs w:val="0"/>
                <w:color w:val="auto"/>
              </w:rPr>
              <w:t>以</w:t>
            </w:r>
            <w:r>
              <w:rPr>
                <w:rFonts w:hint="eastAsia" w:hAnsi="宋体"/>
                <w:color w:val="auto"/>
              </w:rPr>
              <w:t>联合体形式投标的，联合体所有成员数量不得超过</w:t>
            </w:r>
            <w:r>
              <w:rPr>
                <w:rFonts w:hint="eastAsia" w:hAnsi="宋体"/>
                <w:color w:val="auto"/>
                <w:u w:val="single"/>
              </w:rPr>
              <w:t>2</w:t>
            </w:r>
            <w:r>
              <w:rPr>
                <w:rFonts w:hint="eastAsia" w:hAnsi="宋体"/>
                <w:color w:val="auto"/>
              </w:rPr>
              <w:t>家，联合体各方均须满足第（1）、（2）项</w:t>
            </w:r>
            <w:r>
              <w:rPr>
                <w:rFonts w:hint="eastAsia"/>
                <w:color w:val="auto"/>
              </w:rPr>
              <w:t>规定</w:t>
            </w:r>
            <w:r>
              <w:rPr>
                <w:rFonts w:hint="eastAsia" w:hAnsi="宋体"/>
                <w:color w:val="auto"/>
              </w:rPr>
              <w:t>的资格条件。</w:t>
            </w:r>
          </w:p>
        </w:tc>
      </w:tr>
    </w:tbl>
    <w:p w14:paraId="36A1B61B">
      <w:pPr>
        <w:pStyle w:val="2"/>
        <w:adjustRightInd w:val="0"/>
        <w:snapToGrid w:val="0"/>
        <w:spacing w:before="0" w:after="0" w:line="360" w:lineRule="auto"/>
        <w:jc w:val="center"/>
        <w:rPr>
          <w:rFonts w:hint="eastAsia" w:cs="Times New Roman" w:asciiTheme="minorEastAsia" w:hAnsiTheme="minorEastAsia" w:eastAsiaTheme="minorEastAsia"/>
          <w:sz w:val="24"/>
          <w:szCs w:val="24"/>
        </w:rPr>
      </w:pPr>
      <w:bookmarkStart w:id="2" w:name="_Toc131956856"/>
    </w:p>
    <w:p w14:paraId="261D7643">
      <w:pPr>
        <w:pStyle w:val="2"/>
        <w:adjustRightInd w:val="0"/>
        <w:snapToGrid w:val="0"/>
        <w:spacing w:before="0" w:after="0"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附录2  资格审查条件(业绩最低要求)</w:t>
      </w:r>
      <w:bookmarkEnd w:id="2"/>
    </w:p>
    <w:tbl>
      <w:tblPr>
        <w:tblStyle w:val="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5FA4D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3"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0EB8B92E">
            <w:pPr>
              <w:jc w:val="center"/>
              <w:textAlignment w:val="baseline"/>
              <w:rPr>
                <w:rStyle w:val="7"/>
                <w:rFonts w:hint="eastAsia" w:asciiTheme="minorEastAsia" w:hAnsiTheme="minorEastAsia" w:eastAsiaTheme="minorEastAsia"/>
                <w:b/>
                <w:szCs w:val="21"/>
              </w:rPr>
            </w:pPr>
            <w:r>
              <w:rPr>
                <w:rStyle w:val="7"/>
                <w:rFonts w:hint="eastAsia" w:asciiTheme="minorEastAsia" w:hAnsiTheme="minorEastAsia" w:eastAsiaTheme="minorEastAsia"/>
                <w:b/>
                <w:szCs w:val="21"/>
              </w:rPr>
              <w:t>业绩要求</w:t>
            </w:r>
          </w:p>
        </w:tc>
      </w:tr>
      <w:tr w14:paraId="24AC5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1"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67F756E0">
            <w:pPr>
              <w:pStyle w:val="8"/>
              <w:spacing w:line="240" w:lineRule="auto"/>
              <w:jc w:val="left"/>
              <w:rPr>
                <w:rFonts w:hint="eastAsia" w:asciiTheme="minorEastAsia" w:hAnsiTheme="minorEastAsia" w:eastAsiaTheme="minorEastAsia"/>
                <w:color w:val="auto"/>
                <w:kern w:val="2"/>
              </w:rPr>
            </w:pPr>
            <w:r>
              <w:rPr>
                <w:rFonts w:hint="eastAsia" w:asciiTheme="minorEastAsia" w:hAnsiTheme="minorEastAsia" w:eastAsiaTheme="minorEastAsia"/>
                <w:color w:val="auto"/>
                <w:kern w:val="2"/>
              </w:rPr>
              <w:t>近5年内（2019年12月1日至今，以交工时间为准），至少独立完成过1条（段）新建或改扩建高速公路</w:t>
            </w:r>
            <w:r>
              <w:rPr>
                <w:color w:val="auto"/>
              </w:rPr>
              <w:t>主体工程（同时包含路基、路面、</w:t>
            </w:r>
            <w:r>
              <w:rPr>
                <w:rFonts w:hint="eastAsia"/>
                <w:color w:val="auto"/>
              </w:rPr>
              <w:t>桥梁、交通安全设施工程</w:t>
            </w:r>
            <w:r>
              <w:rPr>
                <w:color w:val="auto"/>
              </w:rPr>
              <w:t>）施工监理业绩</w:t>
            </w:r>
            <w:r>
              <w:rPr>
                <w:rFonts w:hint="eastAsia" w:asciiTheme="minorEastAsia" w:hAnsiTheme="minorEastAsia" w:eastAsiaTheme="minorEastAsia"/>
                <w:color w:val="auto"/>
                <w:kern w:val="2"/>
              </w:rPr>
              <w:t>。</w:t>
            </w:r>
          </w:p>
          <w:p w14:paraId="41F9BBF4">
            <w:pPr>
              <w:pStyle w:val="3"/>
              <w:spacing w:after="0"/>
              <w:ind w:firstLine="0" w:firstLineChars="0"/>
              <w:rPr>
                <w:rStyle w:val="7"/>
                <w:rFonts w:hint="eastAsia" w:asciiTheme="minorEastAsia" w:hAnsiTheme="minorEastAsia" w:eastAsiaTheme="minorEastAsia"/>
                <w:color w:val="auto"/>
              </w:rPr>
            </w:pPr>
            <w:r>
              <w:rPr>
                <w:rFonts w:hint="eastAsia"/>
                <w:color w:val="auto"/>
              </w:rPr>
              <w:t>注：以联合体形式投标的，联合体各方均须满足本项规定的资格条件。</w:t>
            </w:r>
          </w:p>
        </w:tc>
      </w:tr>
    </w:tbl>
    <w:p w14:paraId="060CB86D">
      <w:pPr>
        <w:pStyle w:val="2"/>
        <w:adjustRightInd w:val="0"/>
        <w:snapToGrid w:val="0"/>
        <w:spacing w:before="0" w:after="0" w:line="360" w:lineRule="auto"/>
        <w:jc w:val="center"/>
        <w:rPr>
          <w:rFonts w:hint="eastAsia" w:cs="Times New Roman" w:asciiTheme="minorEastAsia" w:hAnsiTheme="minorEastAsia" w:eastAsiaTheme="minorEastAsia"/>
          <w:sz w:val="24"/>
          <w:szCs w:val="24"/>
        </w:rPr>
      </w:pPr>
      <w:bookmarkStart w:id="3" w:name="_Toc131956857"/>
    </w:p>
    <w:p w14:paraId="61BAA91A">
      <w:pPr>
        <w:pStyle w:val="2"/>
        <w:adjustRightInd w:val="0"/>
        <w:snapToGrid w:val="0"/>
        <w:spacing w:before="0" w:after="0"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附录3  资格审查条件(信誉最低要求)</w:t>
      </w:r>
      <w:bookmarkEnd w:id="3"/>
    </w:p>
    <w:tbl>
      <w:tblPr>
        <w:tblStyle w:val="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26B74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3" w:hRule="atLeast"/>
        </w:trPr>
        <w:tc>
          <w:tcPr>
            <w:tcW w:w="5000" w:type="pct"/>
            <w:tcBorders>
              <w:top w:val="single" w:color="000000" w:sz="2" w:space="0"/>
              <w:left w:val="single" w:color="auto" w:sz="4" w:space="0"/>
              <w:bottom w:val="single" w:color="000000" w:sz="4" w:space="0"/>
              <w:right w:val="single" w:color="000000" w:sz="2" w:space="0"/>
            </w:tcBorders>
            <w:vAlign w:val="center"/>
          </w:tcPr>
          <w:p w14:paraId="0DEF0C4B">
            <w:pPr>
              <w:jc w:val="center"/>
              <w:textAlignment w:val="baseline"/>
              <w:rPr>
                <w:rStyle w:val="7"/>
                <w:rFonts w:hint="eastAsia" w:asciiTheme="minorEastAsia" w:hAnsiTheme="minorEastAsia" w:eastAsiaTheme="minorEastAsia"/>
                <w:b/>
                <w:szCs w:val="21"/>
              </w:rPr>
            </w:pPr>
            <w:r>
              <w:rPr>
                <w:rStyle w:val="7"/>
                <w:rFonts w:hint="eastAsia" w:asciiTheme="minorEastAsia" w:hAnsiTheme="minorEastAsia" w:eastAsiaTheme="minorEastAsia"/>
                <w:b/>
                <w:szCs w:val="21"/>
              </w:rPr>
              <w:t>信誉要求</w:t>
            </w:r>
          </w:p>
        </w:tc>
      </w:tr>
      <w:tr w14:paraId="47786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1" w:hRule="atLeast"/>
        </w:trPr>
        <w:tc>
          <w:tcPr>
            <w:tcW w:w="5000" w:type="pct"/>
            <w:tcBorders>
              <w:top w:val="single" w:color="000000" w:sz="2" w:space="0"/>
              <w:left w:val="single" w:color="auto" w:sz="4" w:space="0"/>
              <w:bottom w:val="single" w:color="000000" w:sz="2" w:space="0"/>
              <w:right w:val="single" w:color="000000" w:sz="2" w:space="0"/>
            </w:tcBorders>
            <w:vAlign w:val="center"/>
          </w:tcPr>
          <w:p w14:paraId="7765721E">
            <w:pPr>
              <w:pStyle w:val="8"/>
              <w:spacing w:line="240" w:lineRule="auto"/>
              <w:jc w:val="left"/>
              <w:rPr>
                <w:rStyle w:val="7"/>
                <w:rFonts w:hint="eastAsia" w:asciiTheme="minorEastAsia" w:hAnsiTheme="minorEastAsia" w:eastAsiaTheme="minorEastAsia"/>
                <w:color w:val="auto"/>
                <w:kern w:val="2"/>
                <w:szCs w:val="24"/>
              </w:rPr>
            </w:pPr>
            <w:r>
              <w:rPr>
                <w:rStyle w:val="7"/>
                <w:rFonts w:hint="eastAsia" w:asciiTheme="minorEastAsia" w:hAnsiTheme="minorEastAsia" w:eastAsiaTheme="minorEastAsia"/>
                <w:color w:val="auto"/>
                <w:kern w:val="2"/>
                <w:szCs w:val="24"/>
              </w:rPr>
              <w:t>投标人在近1年内(2023年12月1日至今)不曾在工程施工监理合同中违约而被驱逐或因投标人自身的原因而使工程施工监理合同被解除。</w:t>
            </w:r>
          </w:p>
          <w:p w14:paraId="342D4337">
            <w:pPr>
              <w:pStyle w:val="8"/>
              <w:spacing w:line="240" w:lineRule="auto"/>
              <w:jc w:val="left"/>
              <w:rPr>
                <w:rStyle w:val="7"/>
                <w:rFonts w:hint="eastAsia" w:asciiTheme="minorEastAsia" w:hAnsiTheme="minorEastAsia" w:eastAsiaTheme="minorEastAsia"/>
                <w:color w:val="auto"/>
                <w:kern w:val="2"/>
                <w:szCs w:val="24"/>
              </w:rPr>
            </w:pPr>
            <w:r>
              <w:rPr>
                <w:rFonts w:hint="eastAsia" w:hAnsi="宋体"/>
                <w:color w:val="auto"/>
              </w:rPr>
              <w:t>注：以联合体形式投标的，联合体</w:t>
            </w:r>
            <w:r>
              <w:rPr>
                <w:rFonts w:hint="eastAsia"/>
                <w:color w:val="auto"/>
              </w:rPr>
              <w:t>各方</w:t>
            </w:r>
            <w:r>
              <w:rPr>
                <w:rFonts w:hint="eastAsia" w:hAnsi="宋体"/>
                <w:color w:val="auto"/>
              </w:rPr>
              <w:t>均须满足本项</w:t>
            </w:r>
            <w:r>
              <w:rPr>
                <w:rFonts w:hint="eastAsia"/>
                <w:color w:val="auto"/>
              </w:rPr>
              <w:t>规定</w:t>
            </w:r>
            <w:r>
              <w:rPr>
                <w:rFonts w:hint="eastAsia" w:hAnsi="宋体"/>
                <w:color w:val="auto"/>
              </w:rPr>
              <w:t>的资格条件。</w:t>
            </w:r>
          </w:p>
        </w:tc>
      </w:tr>
    </w:tbl>
    <w:p w14:paraId="312AD78A">
      <w:pPr>
        <w:pStyle w:val="2"/>
        <w:adjustRightInd w:val="0"/>
        <w:snapToGrid w:val="0"/>
        <w:spacing w:before="0" w:after="0" w:line="360" w:lineRule="auto"/>
        <w:jc w:val="center"/>
        <w:rPr>
          <w:rFonts w:hint="eastAsia" w:cs="Times New Roman" w:asciiTheme="minorEastAsia" w:hAnsiTheme="minorEastAsia" w:eastAsiaTheme="minorEastAsia"/>
          <w:sz w:val="24"/>
          <w:szCs w:val="24"/>
        </w:rPr>
      </w:pPr>
      <w:bookmarkStart w:id="4" w:name="_Toc131956858"/>
    </w:p>
    <w:p w14:paraId="2A2CD650">
      <w:pPr>
        <w:pStyle w:val="2"/>
        <w:adjustRightInd w:val="0"/>
        <w:snapToGrid w:val="0"/>
        <w:spacing w:before="0" w:after="0"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附录4  资格审查条件(总监理工程师最低要求)</w:t>
      </w:r>
      <w:bookmarkEnd w:id="4"/>
    </w:p>
    <w:tbl>
      <w:tblPr>
        <w:tblStyle w:val="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690"/>
        <w:gridCol w:w="551"/>
        <w:gridCol w:w="5696"/>
        <w:gridCol w:w="1585"/>
      </w:tblGrid>
      <w:tr w14:paraId="5779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6" w:hRule="atLeast"/>
          <w:jc w:val="center"/>
        </w:trPr>
        <w:tc>
          <w:tcPr>
            <w:tcW w:w="405" w:type="pct"/>
            <w:tcBorders>
              <w:top w:val="single" w:color="000000" w:sz="2" w:space="0"/>
              <w:left w:val="single" w:color="000000" w:sz="2" w:space="0"/>
              <w:bottom w:val="single" w:color="000000" w:sz="4" w:space="0"/>
              <w:right w:val="single" w:color="000000" w:sz="2" w:space="0"/>
            </w:tcBorders>
            <w:vAlign w:val="center"/>
          </w:tcPr>
          <w:p w14:paraId="0361FCA6">
            <w:pPr>
              <w:jc w:val="center"/>
              <w:textAlignment w:val="baseline"/>
              <w:rPr>
                <w:rStyle w:val="7"/>
                <w:rFonts w:hint="eastAsia" w:asciiTheme="minorEastAsia" w:hAnsiTheme="minorEastAsia" w:eastAsiaTheme="minorEastAsia"/>
                <w:b/>
                <w:szCs w:val="21"/>
              </w:rPr>
            </w:pPr>
            <w:r>
              <w:rPr>
                <w:rStyle w:val="7"/>
                <w:rFonts w:hint="eastAsia" w:asciiTheme="minorEastAsia" w:hAnsiTheme="minorEastAsia" w:eastAsiaTheme="minorEastAsia"/>
                <w:b/>
                <w:szCs w:val="21"/>
              </w:rPr>
              <w:t>人员</w:t>
            </w:r>
          </w:p>
        </w:tc>
        <w:tc>
          <w:tcPr>
            <w:tcW w:w="323" w:type="pct"/>
            <w:tcBorders>
              <w:top w:val="single" w:color="000000" w:sz="2" w:space="0"/>
              <w:left w:val="single" w:color="000000" w:sz="2" w:space="0"/>
              <w:bottom w:val="single" w:color="000000" w:sz="4" w:space="0"/>
              <w:right w:val="single" w:color="auto" w:sz="4" w:space="0"/>
            </w:tcBorders>
            <w:vAlign w:val="center"/>
          </w:tcPr>
          <w:p w14:paraId="61260CE6">
            <w:pPr>
              <w:jc w:val="center"/>
              <w:textAlignment w:val="baseline"/>
              <w:rPr>
                <w:rStyle w:val="7"/>
                <w:rFonts w:hint="eastAsia" w:asciiTheme="minorEastAsia" w:hAnsiTheme="minorEastAsia" w:eastAsiaTheme="minorEastAsia"/>
                <w:b/>
                <w:szCs w:val="21"/>
              </w:rPr>
            </w:pPr>
            <w:r>
              <w:rPr>
                <w:rStyle w:val="7"/>
                <w:rFonts w:hint="eastAsia" w:asciiTheme="minorEastAsia" w:hAnsiTheme="minorEastAsia" w:eastAsiaTheme="minorEastAsia"/>
                <w:b/>
                <w:szCs w:val="21"/>
              </w:rPr>
              <w:t>数量</w:t>
            </w:r>
          </w:p>
        </w:tc>
        <w:tc>
          <w:tcPr>
            <w:tcW w:w="3342" w:type="pct"/>
            <w:tcBorders>
              <w:top w:val="single" w:color="000000" w:sz="2" w:space="0"/>
              <w:left w:val="single" w:color="auto" w:sz="4" w:space="0"/>
              <w:bottom w:val="single" w:color="000000" w:sz="4" w:space="0"/>
              <w:right w:val="single" w:color="000000" w:sz="2" w:space="0"/>
            </w:tcBorders>
            <w:vAlign w:val="center"/>
          </w:tcPr>
          <w:p w14:paraId="0BC9ADEC">
            <w:pPr>
              <w:jc w:val="center"/>
              <w:textAlignment w:val="baseline"/>
              <w:rPr>
                <w:rStyle w:val="7"/>
                <w:rFonts w:hint="eastAsia" w:asciiTheme="minorEastAsia" w:hAnsiTheme="minorEastAsia" w:eastAsiaTheme="minorEastAsia"/>
                <w:b/>
                <w:szCs w:val="21"/>
              </w:rPr>
            </w:pPr>
            <w:r>
              <w:rPr>
                <w:rStyle w:val="7"/>
                <w:rFonts w:hint="eastAsia" w:asciiTheme="minorEastAsia" w:hAnsiTheme="minorEastAsia" w:eastAsiaTheme="minorEastAsia"/>
                <w:b/>
                <w:szCs w:val="21"/>
              </w:rPr>
              <w:t>资格要求</w:t>
            </w:r>
          </w:p>
        </w:tc>
        <w:tc>
          <w:tcPr>
            <w:tcW w:w="930" w:type="pct"/>
            <w:tcBorders>
              <w:top w:val="single" w:color="000000" w:sz="2" w:space="0"/>
              <w:left w:val="single" w:color="auto" w:sz="4" w:space="0"/>
              <w:bottom w:val="single" w:color="000000" w:sz="4" w:space="0"/>
              <w:right w:val="single" w:color="000000" w:sz="2" w:space="0"/>
            </w:tcBorders>
            <w:vAlign w:val="center"/>
          </w:tcPr>
          <w:p w14:paraId="5321EC75">
            <w:pPr>
              <w:jc w:val="center"/>
              <w:textAlignment w:val="baseline"/>
              <w:rPr>
                <w:rStyle w:val="7"/>
                <w:rFonts w:hint="eastAsia" w:asciiTheme="minorEastAsia" w:hAnsiTheme="minorEastAsia" w:eastAsiaTheme="minorEastAsia"/>
                <w:b/>
                <w:szCs w:val="21"/>
              </w:rPr>
            </w:pPr>
            <w:r>
              <w:rPr>
                <w:rFonts w:hint="eastAsia" w:cs="宋体" w:asciiTheme="minorEastAsia" w:hAnsiTheme="minorEastAsia" w:eastAsiaTheme="minorEastAsia"/>
                <w:szCs w:val="21"/>
              </w:rPr>
              <w:t>在岗要求</w:t>
            </w:r>
          </w:p>
        </w:tc>
      </w:tr>
      <w:tr w14:paraId="5B577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jc w:val="center"/>
        </w:trPr>
        <w:tc>
          <w:tcPr>
            <w:tcW w:w="405" w:type="pct"/>
            <w:tcBorders>
              <w:top w:val="single" w:color="000000" w:sz="2" w:space="0"/>
              <w:left w:val="single" w:color="000000" w:sz="2" w:space="0"/>
              <w:bottom w:val="single" w:color="000000" w:sz="2" w:space="0"/>
              <w:right w:val="single" w:color="000000" w:sz="2" w:space="0"/>
            </w:tcBorders>
            <w:vAlign w:val="center"/>
          </w:tcPr>
          <w:p w14:paraId="5CD97BDA">
            <w:pPr>
              <w:widowControl/>
              <w:jc w:val="center"/>
              <w:textAlignment w:val="baseline"/>
              <w:rPr>
                <w:rFonts w:hint="eastAsia" w:cs="宋体" w:asciiTheme="minorEastAsia" w:hAnsiTheme="minorEastAsia" w:eastAsiaTheme="minorEastAsia"/>
                <w:bCs/>
              </w:rPr>
            </w:pPr>
            <w:bookmarkStart w:id="5" w:name="_Hlk184324322"/>
            <w:r>
              <w:rPr>
                <w:rFonts w:hint="eastAsia" w:cs="宋体" w:asciiTheme="minorEastAsia" w:hAnsiTheme="minorEastAsia" w:eastAsiaTheme="minorEastAsia"/>
                <w:bCs/>
              </w:rPr>
              <w:t>总监理工程师</w:t>
            </w:r>
            <w:bookmarkEnd w:id="5"/>
          </w:p>
        </w:tc>
        <w:tc>
          <w:tcPr>
            <w:tcW w:w="323" w:type="pct"/>
            <w:tcBorders>
              <w:top w:val="single" w:color="000000" w:sz="2" w:space="0"/>
              <w:left w:val="single" w:color="000000" w:sz="2" w:space="0"/>
              <w:bottom w:val="single" w:color="000000" w:sz="2" w:space="0"/>
              <w:right w:val="single" w:color="auto" w:sz="4" w:space="0"/>
            </w:tcBorders>
            <w:vAlign w:val="center"/>
          </w:tcPr>
          <w:p w14:paraId="1E714831">
            <w:pPr>
              <w:pStyle w:val="8"/>
              <w:spacing w:line="240" w:lineRule="auto"/>
              <w:rPr>
                <w:rFonts w:hint="eastAsia"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1</w:t>
            </w:r>
          </w:p>
        </w:tc>
        <w:tc>
          <w:tcPr>
            <w:tcW w:w="3342" w:type="pct"/>
            <w:tcBorders>
              <w:top w:val="single" w:color="000000" w:sz="2" w:space="0"/>
              <w:left w:val="single" w:color="auto" w:sz="4" w:space="0"/>
              <w:bottom w:val="single" w:color="000000" w:sz="2" w:space="0"/>
              <w:right w:val="single" w:color="000000" w:sz="2" w:space="0"/>
            </w:tcBorders>
            <w:vAlign w:val="center"/>
          </w:tcPr>
          <w:p w14:paraId="0E97FE84">
            <w:pPr>
              <w:pStyle w:val="8"/>
              <w:jc w:val="left"/>
              <w:rPr>
                <w:rFonts w:hint="eastAsia" w:asciiTheme="minorEastAsia" w:hAnsiTheme="minorEastAsia" w:eastAsiaTheme="minorEastAsia"/>
                <w:color w:val="auto"/>
              </w:rPr>
            </w:pPr>
            <w:r>
              <w:rPr>
                <w:rFonts w:hint="eastAsia" w:cs="宋体" w:asciiTheme="minorEastAsia" w:hAnsiTheme="minorEastAsia" w:eastAsiaTheme="minorEastAsia"/>
                <w:color w:val="auto"/>
                <w:kern w:val="2"/>
              </w:rPr>
              <w:t>1、高级工程师，</w:t>
            </w:r>
            <w:r>
              <w:rPr>
                <w:rFonts w:hint="eastAsia" w:asciiTheme="minorEastAsia" w:hAnsiTheme="minorEastAsia" w:eastAsiaTheme="minorEastAsia"/>
                <w:color w:val="auto"/>
              </w:rPr>
              <w:t>具有交通运输部颁发的监理工程师资格证书或人社部颁发的监理工程师资格证书（交通运输工程）</w:t>
            </w:r>
            <w:r>
              <w:rPr>
                <w:rFonts w:hint="eastAsia" w:cs="宋体" w:asciiTheme="minorEastAsia" w:hAnsiTheme="minorEastAsia" w:eastAsiaTheme="minorEastAsia"/>
                <w:color w:val="auto"/>
                <w:kern w:val="2"/>
              </w:rPr>
              <w:t>且在投标单位注册。</w:t>
            </w:r>
          </w:p>
          <w:p w14:paraId="2FD55188">
            <w:pPr>
              <w:pStyle w:val="8"/>
              <w:jc w:val="left"/>
              <w:rPr>
                <w:rFonts w:hint="eastAsia" w:cs="宋体" w:asciiTheme="minorEastAsia" w:hAnsiTheme="minorEastAsia" w:eastAsiaTheme="minorEastAsia"/>
                <w:color w:val="auto"/>
                <w:kern w:val="2"/>
              </w:rPr>
            </w:pPr>
            <w:r>
              <w:rPr>
                <w:rFonts w:hint="eastAsia" w:cs="宋体" w:asciiTheme="minorEastAsia" w:hAnsiTheme="minorEastAsia" w:eastAsiaTheme="minorEastAsia"/>
                <w:color w:val="auto"/>
                <w:kern w:val="2"/>
              </w:rPr>
              <w:t>2、近5年内（2019年12月1日至今，以交工时间为准），至少担任过1条（段）新建或改扩建高速公路主体工程（同时包含路基、路面、</w:t>
            </w:r>
            <w:r>
              <w:rPr>
                <w:rFonts w:hint="eastAsia"/>
                <w:color w:val="auto"/>
              </w:rPr>
              <w:t>桥梁</w:t>
            </w:r>
            <w:r>
              <w:rPr>
                <w:rFonts w:hint="eastAsia" w:cs="宋体" w:asciiTheme="minorEastAsia" w:hAnsiTheme="minorEastAsia" w:eastAsiaTheme="minorEastAsia"/>
                <w:color w:val="auto"/>
                <w:kern w:val="2"/>
              </w:rPr>
              <w:t>、交通安全设施工程）施工监理的总监理工程师或副总监理工程师或驻地监理工程师职务。</w:t>
            </w:r>
          </w:p>
        </w:tc>
        <w:tc>
          <w:tcPr>
            <w:tcW w:w="930" w:type="pct"/>
            <w:tcBorders>
              <w:top w:val="single" w:color="000000" w:sz="2" w:space="0"/>
              <w:left w:val="single" w:color="auto" w:sz="4" w:space="0"/>
              <w:right w:val="single" w:color="000000" w:sz="2" w:space="0"/>
            </w:tcBorders>
            <w:vAlign w:val="center"/>
          </w:tcPr>
          <w:p w14:paraId="25A58E79">
            <w:pPr>
              <w:widowControl/>
              <w:jc w:val="center"/>
              <w:textAlignment w:val="baseline"/>
              <w:rPr>
                <w:rFonts w:hint="eastAsia" w:cs="宋体" w:asciiTheme="minorEastAsia" w:hAnsiTheme="minorEastAsia" w:eastAsiaTheme="minorEastAsia"/>
              </w:rPr>
            </w:pPr>
            <w:r>
              <w:rPr>
                <w:rFonts w:hint="eastAsia" w:cs="宋体" w:asciiTheme="minorEastAsia" w:hAnsiTheme="minorEastAsia" w:eastAsiaTheme="minorEastAsia"/>
                <w:bCs/>
              </w:rPr>
              <w:t>目前未在其他项目上任职，或虽在其他项目上任职但本项目中标后能够从该项目撤离</w:t>
            </w:r>
          </w:p>
        </w:tc>
      </w:tr>
    </w:tbl>
    <w:p w14:paraId="457EDEF3">
      <w:pPr>
        <w:pStyle w:val="3"/>
        <w:spacing w:after="0" w:line="240" w:lineRule="auto"/>
        <w:rPr>
          <w:rFonts w:hint="eastAsia" w:cs="宋体" w:asciiTheme="minorEastAsia" w:hAnsiTheme="minorEastAsia"/>
          <w:szCs w:val="24"/>
        </w:rPr>
      </w:pPr>
      <w:r>
        <w:rPr>
          <w:rFonts w:hint="eastAsia"/>
          <w:color w:val="auto"/>
        </w:rPr>
        <w:t>注：以联合体形式投标的，总监理工程师</w:t>
      </w:r>
      <w:r>
        <w:rPr>
          <w:color w:val="auto"/>
        </w:rPr>
        <w:t>必须是联合体牵头人单位人员。</w:t>
      </w:r>
      <w:r>
        <w:rPr>
          <w:rFonts w:asciiTheme="minorEastAsia" w:hAnsiTheme="minorEastAsia" w:eastAsiaTheme="minorEastAsia"/>
          <w:color w:val="auto"/>
        </w:rPr>
        <w:br w:type="page"/>
      </w:r>
    </w:p>
    <w:p w14:paraId="2F3BF715">
      <w:pPr>
        <w:adjustRightInd w:val="0"/>
        <w:spacing w:line="400" w:lineRule="exact"/>
        <w:jc w:val="left"/>
        <w:rPr>
          <w:rFonts w:hint="eastAsia" w:asciiTheme="minorEastAsia" w:hAnsiTheme="minorEastAsia" w:eastAsiaTheme="minorEastAsia"/>
          <w:b/>
          <w:sz w:val="24"/>
        </w:rPr>
      </w:pPr>
      <w:bookmarkStart w:id="6" w:name="_Toc131956860"/>
      <w:r>
        <w:rPr>
          <w:rFonts w:hint="eastAsia" w:asciiTheme="minorEastAsia" w:hAnsiTheme="minorEastAsia" w:eastAsiaTheme="minorEastAsia"/>
          <w:b/>
          <w:sz w:val="24"/>
        </w:rPr>
        <w:t>附件2：随机确定评标基准价计算方法的规则与程序</w:t>
      </w:r>
    </w:p>
    <w:p w14:paraId="029CA40B">
      <w:pPr>
        <w:spacing w:line="360" w:lineRule="auto"/>
        <w:ind w:firstLine="482" w:firstLineChars="200"/>
        <w:rPr>
          <w:rFonts w:hint="eastAsia" w:ascii="宋体" w:hAnsi="宋体"/>
          <w:b/>
          <w:bCs/>
          <w:sz w:val="24"/>
        </w:rPr>
      </w:pPr>
      <w:r>
        <w:rPr>
          <w:rFonts w:hint="eastAsia" w:ascii="宋体" w:hAnsi="宋体"/>
          <w:b/>
          <w:bCs/>
          <w:sz w:val="24"/>
        </w:rPr>
        <w:t>一、随机抽取确定评标基准价计算方法规则</w:t>
      </w:r>
    </w:p>
    <w:p w14:paraId="4E4DEB60">
      <w:pPr>
        <w:spacing w:line="360" w:lineRule="auto"/>
        <w:ind w:firstLine="480" w:firstLineChars="200"/>
        <w:rPr>
          <w:rFonts w:hint="eastAsia" w:ascii="宋体" w:hAnsi="宋体"/>
          <w:sz w:val="24"/>
        </w:rPr>
      </w:pPr>
      <w:r>
        <w:rPr>
          <w:rFonts w:hint="eastAsia" w:ascii="宋体" w:hAnsi="宋体"/>
          <w:sz w:val="24"/>
        </w:rPr>
        <w:t>参与随机确定评标基准价计算方法的各方当事人（以下简称“各方”）应当严格遵守以下规则：</w:t>
      </w:r>
    </w:p>
    <w:p w14:paraId="1E4B9041">
      <w:pPr>
        <w:spacing w:line="360" w:lineRule="auto"/>
        <w:ind w:firstLine="480" w:firstLineChars="200"/>
        <w:rPr>
          <w:rFonts w:hint="eastAsia" w:ascii="宋体" w:hAnsi="宋体"/>
          <w:sz w:val="24"/>
        </w:rPr>
      </w:pPr>
      <w:r>
        <w:rPr>
          <w:rFonts w:hint="eastAsia" w:ascii="宋体" w:hAnsi="宋体"/>
          <w:sz w:val="24"/>
        </w:rPr>
        <w:t>（一）各方必须严格遵守公开、公平、公正和诚实信用原则；</w:t>
      </w:r>
    </w:p>
    <w:p w14:paraId="53E9D7F1">
      <w:pPr>
        <w:spacing w:line="360" w:lineRule="auto"/>
        <w:ind w:firstLine="480" w:firstLineChars="200"/>
        <w:rPr>
          <w:rFonts w:hint="eastAsia" w:ascii="宋体" w:hAnsi="宋体"/>
          <w:sz w:val="24"/>
        </w:rPr>
      </w:pPr>
      <w:r>
        <w:rPr>
          <w:rFonts w:hint="eastAsia" w:ascii="宋体" w:hAnsi="宋体"/>
          <w:sz w:val="24"/>
        </w:rPr>
        <w:t>（二）随机抽取活动在招标人的主持下进行，招标人做好影像记录，并存档备查；</w:t>
      </w:r>
    </w:p>
    <w:p w14:paraId="4D0E1995">
      <w:pPr>
        <w:spacing w:line="360" w:lineRule="auto"/>
        <w:ind w:firstLine="480" w:firstLineChars="200"/>
        <w:rPr>
          <w:rFonts w:hint="eastAsia" w:ascii="宋体" w:hAnsi="宋体"/>
          <w:sz w:val="24"/>
        </w:rPr>
      </w:pPr>
      <w:r>
        <w:rPr>
          <w:rFonts w:hint="eastAsia" w:ascii="宋体" w:hAnsi="宋体"/>
          <w:sz w:val="24"/>
        </w:rPr>
        <w:t>（三）用于随机抽取的器具由招标人提供；</w:t>
      </w:r>
    </w:p>
    <w:p w14:paraId="30F84B96">
      <w:pPr>
        <w:spacing w:line="360" w:lineRule="auto"/>
        <w:ind w:firstLine="480" w:firstLineChars="200"/>
        <w:rPr>
          <w:rFonts w:hint="eastAsia" w:ascii="宋体" w:hAnsi="宋体"/>
          <w:sz w:val="24"/>
        </w:rPr>
      </w:pPr>
      <w:r>
        <w:rPr>
          <w:rFonts w:hint="eastAsia" w:ascii="宋体" w:hAnsi="宋体"/>
          <w:sz w:val="24"/>
        </w:rPr>
        <w:t>（四）各方必须严格遵守现场纪律，确保随机抽取活动有序进行；</w:t>
      </w:r>
    </w:p>
    <w:p w14:paraId="407886E5">
      <w:pPr>
        <w:spacing w:line="360" w:lineRule="auto"/>
        <w:ind w:firstLine="480" w:firstLineChars="200"/>
        <w:rPr>
          <w:rFonts w:hint="eastAsia" w:ascii="宋体" w:hAnsi="宋体"/>
          <w:sz w:val="24"/>
        </w:rPr>
      </w:pPr>
      <w:r>
        <w:rPr>
          <w:rFonts w:hint="eastAsia" w:ascii="宋体" w:hAnsi="宋体"/>
          <w:sz w:val="24"/>
        </w:rPr>
        <w:t>（五）投标人对随机抽取过程有异议的，在“河北省公共资源交易服务平台”的项目流程中点异议按钮在线提出异议，招标人当场作出答复，并作好记录。</w:t>
      </w:r>
    </w:p>
    <w:p w14:paraId="6ADBCB04">
      <w:pPr>
        <w:spacing w:line="360" w:lineRule="auto"/>
        <w:ind w:firstLine="482" w:firstLineChars="200"/>
        <w:rPr>
          <w:rFonts w:hint="eastAsia" w:ascii="宋体" w:hAnsi="宋体"/>
          <w:b/>
          <w:bCs/>
          <w:sz w:val="24"/>
        </w:rPr>
      </w:pPr>
      <w:r>
        <w:rPr>
          <w:rFonts w:hint="eastAsia" w:ascii="宋体" w:hAnsi="宋体"/>
          <w:b/>
          <w:bCs/>
          <w:sz w:val="24"/>
        </w:rPr>
        <w:t>二、随机抽取确定评标基准价计算方法的程序</w:t>
      </w:r>
    </w:p>
    <w:p w14:paraId="0D0851C4">
      <w:pPr>
        <w:spacing w:line="360" w:lineRule="auto"/>
        <w:ind w:firstLine="480" w:firstLineChars="200"/>
        <w:rPr>
          <w:rFonts w:hint="eastAsia" w:ascii="宋体" w:hAnsi="宋体"/>
          <w:sz w:val="24"/>
        </w:rPr>
      </w:pPr>
      <w:r>
        <w:rPr>
          <w:rFonts w:hint="eastAsia" w:ascii="宋体" w:hAnsi="宋体"/>
          <w:sz w:val="24"/>
        </w:rPr>
        <w:t>（一）确定随机抽取代码球</w:t>
      </w:r>
    </w:p>
    <w:p w14:paraId="133582AE">
      <w:pPr>
        <w:spacing w:line="360" w:lineRule="auto"/>
        <w:ind w:firstLine="480" w:firstLineChars="200"/>
        <w:rPr>
          <w:rFonts w:hint="eastAsia" w:ascii="宋体" w:hAnsi="宋体"/>
          <w:sz w:val="24"/>
        </w:rPr>
      </w:pPr>
      <w:r>
        <w:rPr>
          <w:rFonts w:hint="eastAsia" w:ascii="宋体" w:hAnsi="宋体"/>
          <w:sz w:val="24"/>
        </w:rPr>
        <w:t>用抽取器具随机确定抽取代码球一套，作为本次随机抽取确定评标基准价计算方法的代码球。</w:t>
      </w:r>
    </w:p>
    <w:p w14:paraId="06E302B7">
      <w:pPr>
        <w:spacing w:line="360" w:lineRule="auto"/>
        <w:ind w:firstLine="480" w:firstLineChars="200"/>
        <w:rPr>
          <w:rFonts w:hint="eastAsia" w:ascii="宋体" w:hAnsi="宋体"/>
          <w:sz w:val="24"/>
        </w:rPr>
      </w:pPr>
      <w:r>
        <w:rPr>
          <w:rFonts w:hint="eastAsia" w:ascii="宋体" w:hAnsi="宋体"/>
          <w:sz w:val="24"/>
        </w:rPr>
        <w:t>（二）本次招标共设置三种评标基准价计算方法（详见评标办法）。</w:t>
      </w:r>
    </w:p>
    <w:p w14:paraId="4DEBCE1E">
      <w:pPr>
        <w:spacing w:line="360" w:lineRule="auto"/>
        <w:ind w:firstLine="480" w:firstLineChars="200"/>
        <w:rPr>
          <w:rFonts w:hint="eastAsia" w:ascii="宋体" w:hAnsi="宋体"/>
          <w:sz w:val="24"/>
        </w:rPr>
      </w:pPr>
      <w:r>
        <w:rPr>
          <w:rFonts w:hint="eastAsia" w:ascii="宋体" w:hAnsi="宋体"/>
          <w:sz w:val="24"/>
        </w:rPr>
        <w:t>确定评标基准价计算方法的编号及代码球，1号球代表评标基准价计算方法1；2号球代表评标基准价计算方法2；3号球代表评标基准价计算方法3。</w:t>
      </w:r>
    </w:p>
    <w:p w14:paraId="6A4F321B">
      <w:pPr>
        <w:spacing w:line="360" w:lineRule="auto"/>
        <w:ind w:firstLine="480" w:firstLineChars="200"/>
        <w:rPr>
          <w:rFonts w:hint="eastAsia" w:ascii="宋体" w:hAnsi="宋体"/>
          <w:sz w:val="24"/>
        </w:rPr>
      </w:pPr>
      <w:r>
        <w:rPr>
          <w:rFonts w:hint="eastAsia" w:ascii="宋体" w:hAnsi="宋体"/>
          <w:sz w:val="24"/>
        </w:rPr>
        <w:t>（三）在投标文件第一信封（商务及技术文件）开标现场，将编号1、2、3代码球全部放入随机抽取器具中，由抽取器具随机抽取产生本次招标评标基准价计算方法。</w:t>
      </w:r>
    </w:p>
    <w:p w14:paraId="7B423482">
      <w:pPr>
        <w:spacing w:line="360" w:lineRule="auto"/>
        <w:ind w:firstLine="480" w:firstLineChars="200"/>
        <w:rPr>
          <w:rFonts w:hint="eastAsia" w:ascii="宋体" w:hAnsi="宋体"/>
          <w:sz w:val="24"/>
        </w:rPr>
      </w:pPr>
      <w:r>
        <w:rPr>
          <w:rFonts w:hint="eastAsia" w:ascii="宋体" w:hAnsi="宋体"/>
          <w:sz w:val="24"/>
        </w:rPr>
        <w:t>（四）确定评标基准价计算方法需要的系数（如有）。</w:t>
      </w:r>
    </w:p>
    <w:p w14:paraId="35E56559">
      <w:pPr>
        <w:spacing w:line="360" w:lineRule="auto"/>
        <w:ind w:firstLine="480" w:firstLineChars="200"/>
        <w:rPr>
          <w:rFonts w:hint="eastAsia" w:ascii="宋体" w:hAnsi="宋体"/>
          <w:sz w:val="24"/>
        </w:rPr>
      </w:pPr>
      <w:r>
        <w:rPr>
          <w:rFonts w:hint="eastAsia" w:ascii="宋体" w:hAnsi="宋体"/>
          <w:sz w:val="24"/>
        </w:rPr>
        <w:t>1、如果抽取的评标基准价计算方法为方法一，则需要抽取评标基准价系数 K1。K1取值范围为0.98、0.985、0.99、0.995、1.00共5个数值。将编号为1～5的代码球放入抽取器具，由抽取器具随机抽取1个代码球。1号球代表K1值为0.98；2号球代表K1值为0.985；3号球代表K1值为0.99；4号球代表K1值为0.995；5号球代表K1值为1.00。在投标文件第一信封（商务及技术文件）开标现场通过随机抽取方式确定一个评标基准价系数K1，并当场公布。</w:t>
      </w:r>
    </w:p>
    <w:p w14:paraId="3C6DE691">
      <w:pPr>
        <w:spacing w:line="360" w:lineRule="auto"/>
        <w:ind w:firstLine="480" w:firstLineChars="200"/>
        <w:rPr>
          <w:rFonts w:hint="eastAsia" w:ascii="宋体" w:hAnsi="宋体"/>
          <w:sz w:val="24"/>
        </w:rPr>
      </w:pPr>
      <w:r>
        <w:rPr>
          <w:rFonts w:hint="eastAsia" w:ascii="宋体" w:hAnsi="宋体"/>
          <w:sz w:val="24"/>
        </w:rPr>
        <w:t>2、如果抽取的评标基准价计算方法为方法二，则需要抽取最高投标限价所占比例系数K2。K2取值范围为0.10、0.15、0.20、0.25、0.30。将编号为1～5的代码球放入抽取器具，由抽取器具随机抽取1个代码球，1号球代表K2值为0.10；2号球代表K2值为0.15；3号球代表K2值为0.20；4号球代表K2值为 0.25；5号球代表K2值为0.30。在投标文件第一信封（商务及技术文件）开标现场通过随机抽取方式确定一个最高投标限价所占比例系数K2，并当场公布。</w:t>
      </w:r>
    </w:p>
    <w:p w14:paraId="5F331D58">
      <w:pPr>
        <w:spacing w:line="360" w:lineRule="auto"/>
        <w:ind w:firstLine="480" w:firstLineChars="200"/>
        <w:rPr>
          <w:rFonts w:hint="eastAsia" w:ascii="宋体" w:hAnsi="宋体"/>
          <w:sz w:val="24"/>
        </w:rPr>
      </w:pPr>
      <w:r>
        <w:rPr>
          <w:rFonts w:hint="eastAsia" w:ascii="宋体" w:hAnsi="宋体"/>
          <w:sz w:val="24"/>
        </w:rPr>
        <w:t>3、如果抽取的评标基准价计算方法为方法三，则不需要抽取系数。</w:t>
      </w:r>
    </w:p>
    <w:p w14:paraId="46F99C8C">
      <w:pPr>
        <w:spacing w:line="360" w:lineRule="auto"/>
        <w:ind w:firstLine="482" w:firstLineChars="200"/>
        <w:rPr>
          <w:rFonts w:hint="eastAsia" w:ascii="宋体" w:hAnsi="宋体"/>
          <w:sz w:val="24"/>
        </w:rPr>
      </w:pPr>
      <w:r>
        <w:rPr>
          <w:rFonts w:hint="eastAsia" w:ascii="宋体" w:hAnsi="宋体"/>
          <w:b/>
          <w:bCs/>
          <w:sz w:val="24"/>
        </w:rPr>
        <w:t>三、</w:t>
      </w:r>
      <w:r>
        <w:rPr>
          <w:rFonts w:hint="eastAsia" w:ascii="宋体" w:hAnsi="宋体"/>
          <w:sz w:val="24"/>
        </w:rPr>
        <w:t>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41F806C0">
      <w:pPr>
        <w:widowControl/>
        <w:jc w:val="left"/>
        <w:rPr>
          <w:rFonts w:hint="eastAsia" w:asciiTheme="minorEastAsia" w:hAnsiTheme="minorEastAsia" w:eastAsiaTheme="minorEastAsia"/>
          <w:b/>
          <w:bCs/>
          <w:sz w:val="24"/>
        </w:rPr>
      </w:pPr>
      <w:r>
        <w:rPr>
          <w:rFonts w:asciiTheme="minorEastAsia" w:hAnsiTheme="minorEastAsia" w:eastAsiaTheme="minorEastAsia"/>
          <w:sz w:val="24"/>
        </w:rPr>
        <w:br w:type="page"/>
      </w:r>
    </w:p>
    <w:p w14:paraId="6327D95A">
      <w:pPr>
        <w:pStyle w:val="2"/>
        <w:adjustRightInd w:val="0"/>
        <w:snapToGrid w:val="0"/>
        <w:spacing w:before="0" w:after="0" w:line="360" w:lineRule="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附件</w:t>
      </w:r>
      <w:r>
        <w:rPr>
          <w:rFonts w:cs="Times New Roman" w:asciiTheme="minorEastAsia" w:hAnsiTheme="minorEastAsia" w:eastAsiaTheme="minorEastAsia"/>
          <w:sz w:val="24"/>
          <w:szCs w:val="24"/>
        </w:rPr>
        <w:t>3</w:t>
      </w:r>
      <w:r>
        <w:rPr>
          <w:rFonts w:hint="eastAsia" w:cs="Times New Roman" w:asciiTheme="minorEastAsia" w:hAnsiTheme="minorEastAsia" w:eastAsiaTheme="minorEastAsia"/>
          <w:sz w:val="24"/>
          <w:szCs w:val="24"/>
        </w:rPr>
        <w:t>：评标办法</w:t>
      </w:r>
      <w:bookmarkEnd w:id="6"/>
    </w:p>
    <w:p w14:paraId="0ACA373A">
      <w:pPr>
        <w:pStyle w:val="2"/>
        <w:adjustRightInd w:val="0"/>
        <w:snapToGrid w:val="0"/>
        <w:spacing w:before="0" w:after="0" w:line="360" w:lineRule="auto"/>
        <w:jc w:val="center"/>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评标办法前附表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898"/>
        <w:gridCol w:w="6770"/>
      </w:tblGrid>
      <w:tr w14:paraId="5E89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453" w:type="pct"/>
            <w:tcBorders>
              <w:top w:val="single" w:color="auto" w:sz="4" w:space="0"/>
              <w:left w:val="single" w:color="auto" w:sz="4" w:space="0"/>
              <w:bottom w:val="single" w:color="auto" w:sz="4" w:space="0"/>
              <w:right w:val="single" w:color="auto" w:sz="4" w:space="0"/>
            </w:tcBorders>
            <w:vAlign w:val="center"/>
          </w:tcPr>
          <w:p w14:paraId="0AB56445">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条款号</w:t>
            </w:r>
          </w:p>
        </w:tc>
        <w:tc>
          <w:tcPr>
            <w:tcW w:w="551" w:type="pct"/>
            <w:tcBorders>
              <w:top w:val="single" w:color="auto" w:sz="4" w:space="0"/>
              <w:left w:val="single" w:color="auto" w:sz="4" w:space="0"/>
              <w:bottom w:val="single" w:color="auto" w:sz="4" w:space="0"/>
              <w:right w:val="single" w:color="auto" w:sz="4" w:space="0"/>
            </w:tcBorders>
            <w:vAlign w:val="center"/>
          </w:tcPr>
          <w:p w14:paraId="6BD46762">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条款名称</w:t>
            </w:r>
          </w:p>
        </w:tc>
        <w:tc>
          <w:tcPr>
            <w:tcW w:w="3996" w:type="pct"/>
            <w:tcBorders>
              <w:top w:val="single" w:color="auto" w:sz="4" w:space="0"/>
              <w:left w:val="single" w:color="auto" w:sz="4" w:space="0"/>
              <w:bottom w:val="single" w:color="auto" w:sz="4" w:space="0"/>
              <w:right w:val="single" w:color="auto" w:sz="4" w:space="0"/>
            </w:tcBorders>
            <w:vAlign w:val="center"/>
          </w:tcPr>
          <w:p w14:paraId="4E8EFCE8">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评审因素与评审标准</w:t>
            </w:r>
          </w:p>
        </w:tc>
      </w:tr>
      <w:tr w14:paraId="3DAF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50EDA43E">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1</w:t>
            </w:r>
          </w:p>
        </w:tc>
        <w:tc>
          <w:tcPr>
            <w:tcW w:w="551" w:type="pct"/>
            <w:tcBorders>
              <w:top w:val="single" w:color="auto" w:sz="4" w:space="0"/>
              <w:left w:val="single" w:color="auto" w:sz="4" w:space="0"/>
              <w:bottom w:val="single" w:color="auto" w:sz="4" w:space="0"/>
              <w:right w:val="single" w:color="auto" w:sz="4" w:space="0"/>
            </w:tcBorders>
            <w:vAlign w:val="center"/>
          </w:tcPr>
          <w:p w14:paraId="47C2B0B8">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评标办法</w:t>
            </w:r>
          </w:p>
        </w:tc>
        <w:tc>
          <w:tcPr>
            <w:tcW w:w="3996" w:type="pct"/>
            <w:tcBorders>
              <w:top w:val="single" w:color="auto" w:sz="4" w:space="0"/>
              <w:left w:val="single" w:color="auto" w:sz="4" w:space="0"/>
              <w:bottom w:val="single" w:color="auto" w:sz="4" w:space="0"/>
              <w:right w:val="single" w:color="auto" w:sz="4" w:space="0"/>
            </w:tcBorders>
            <w:vAlign w:val="center"/>
          </w:tcPr>
          <w:p w14:paraId="130266A7">
            <w:pPr>
              <w:spacing w:line="276" w:lineRule="auto"/>
              <w:ind w:firstLine="420" w:firstLineChars="200"/>
              <w:jc w:val="left"/>
              <w:textAlignment w:val="baseline"/>
              <w:rPr>
                <w:rFonts w:hint="eastAsia" w:asciiTheme="minorEastAsia" w:hAnsiTheme="minorEastAsia" w:eastAsiaTheme="minorEastAsia"/>
                <w:sz w:val="20"/>
              </w:rPr>
            </w:pPr>
            <w:r>
              <w:rPr>
                <w:rFonts w:hint="eastAsia" w:asciiTheme="minorEastAsia" w:hAnsiTheme="minorEastAsia" w:eastAsiaTheme="minorEastAsia"/>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5E28C60B">
            <w:pPr>
              <w:spacing w:line="276" w:lineRule="auto"/>
              <w:ind w:left="205" w:leftChars="97" w:hanging="1"/>
              <w:jc w:val="left"/>
              <w:textAlignment w:val="baseline"/>
              <w:rPr>
                <w:rFonts w:hint="eastAsia" w:asciiTheme="minorEastAsia" w:hAnsiTheme="minorEastAsia" w:eastAsiaTheme="minorEastAsia"/>
                <w:sz w:val="20"/>
              </w:rPr>
            </w:pPr>
            <w:r>
              <w:rPr>
                <w:rFonts w:hint="eastAsia" w:asciiTheme="minorEastAsia" w:hAnsiTheme="minorEastAsia" w:eastAsiaTheme="minorEastAsia"/>
              </w:rPr>
              <w:t>（1）评标价低的投标人优先；</w:t>
            </w:r>
          </w:p>
          <w:p w14:paraId="5D4288BC">
            <w:pPr>
              <w:spacing w:line="276" w:lineRule="auto"/>
              <w:ind w:left="205" w:leftChars="97" w:hanging="1"/>
              <w:jc w:val="left"/>
              <w:textAlignment w:val="baseline"/>
              <w:rPr>
                <w:rFonts w:hint="eastAsia" w:asciiTheme="minorEastAsia" w:hAnsiTheme="minorEastAsia" w:eastAsiaTheme="minorEastAsia"/>
                <w:sz w:val="20"/>
              </w:rPr>
            </w:pPr>
            <w:r>
              <w:rPr>
                <w:rFonts w:hint="eastAsia" w:asciiTheme="minorEastAsia" w:hAnsiTheme="minorEastAsia" w:eastAsiaTheme="minorEastAsia"/>
              </w:rPr>
              <w:t>（2）技术建议书得分较高的投标人优先；</w:t>
            </w:r>
          </w:p>
          <w:p w14:paraId="5C846DFC">
            <w:pPr>
              <w:spacing w:line="276" w:lineRule="auto"/>
              <w:ind w:firstLine="210" w:firstLineChars="100"/>
              <w:jc w:val="left"/>
              <w:textAlignment w:val="baseline"/>
              <w:rPr>
                <w:rFonts w:hint="eastAsia" w:asciiTheme="minorEastAsia" w:hAnsiTheme="minorEastAsia" w:eastAsiaTheme="minorEastAsia"/>
                <w:szCs w:val="21"/>
              </w:rPr>
            </w:pPr>
            <w:r>
              <w:rPr>
                <w:rFonts w:hint="eastAsia" w:asciiTheme="minorEastAsia" w:hAnsiTheme="minorEastAsia" w:eastAsiaTheme="minorEastAsia"/>
              </w:rPr>
              <w:t>（3）满足资格审查条件(业绩最低条件)要求所附业绩中单项合同金额较大的优先</w:t>
            </w:r>
            <w:r>
              <w:rPr>
                <w:rFonts w:hint="eastAsia" w:asciiTheme="minorEastAsia" w:hAnsiTheme="minorEastAsia" w:eastAsiaTheme="minorEastAsia"/>
                <w:szCs w:val="21"/>
              </w:rPr>
              <w:t>。</w:t>
            </w:r>
          </w:p>
          <w:p w14:paraId="5F7C46A5">
            <w:pPr>
              <w:spacing w:line="276" w:lineRule="auto"/>
              <w:ind w:firstLine="210" w:firstLineChars="100"/>
              <w:jc w:val="left"/>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 xml:space="preserve">  注：本次招标为主体施工监理，投标人与本项目设计施工总承包第一中标候选人负责人为同一人或</w:t>
            </w:r>
            <w:r>
              <w:rPr>
                <w:rFonts w:hint="eastAsia" w:hAnsi="宋体"/>
                <w:szCs w:val="21"/>
              </w:rPr>
              <w:t>存在控股（参股）、管理关联关系的不同单位，不再推荐为中标候选人。</w:t>
            </w:r>
          </w:p>
        </w:tc>
      </w:tr>
      <w:tr w14:paraId="6540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7F0F19E0">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2.1.1</w:t>
            </w:r>
          </w:p>
          <w:p w14:paraId="01609F8A">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2.1.3</w:t>
            </w:r>
          </w:p>
        </w:tc>
        <w:tc>
          <w:tcPr>
            <w:tcW w:w="551" w:type="pct"/>
            <w:tcBorders>
              <w:top w:val="single" w:color="auto" w:sz="4" w:space="0"/>
              <w:left w:val="single" w:color="auto" w:sz="4" w:space="0"/>
              <w:bottom w:val="single" w:color="auto" w:sz="4" w:space="0"/>
              <w:right w:val="single" w:color="auto" w:sz="4" w:space="0"/>
            </w:tcBorders>
            <w:vAlign w:val="center"/>
          </w:tcPr>
          <w:p w14:paraId="72D519AB">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形式评审与响应性评审标准</w:t>
            </w:r>
          </w:p>
        </w:tc>
        <w:tc>
          <w:tcPr>
            <w:tcW w:w="3996" w:type="pct"/>
            <w:tcBorders>
              <w:top w:val="single" w:color="auto" w:sz="4" w:space="0"/>
              <w:left w:val="single" w:color="auto" w:sz="4" w:space="0"/>
              <w:bottom w:val="single" w:color="auto" w:sz="4" w:space="0"/>
              <w:right w:val="single" w:color="auto" w:sz="4" w:space="0"/>
            </w:tcBorders>
          </w:tcPr>
          <w:p w14:paraId="74469939">
            <w:pPr>
              <w:spacing w:line="276" w:lineRule="auto"/>
              <w:jc w:val="left"/>
              <w:textAlignment w:val="baseline"/>
              <w:rPr>
                <w:rFonts w:hint="eastAsia" w:cs="宋体" w:asciiTheme="minorEastAsia" w:hAnsiTheme="minorEastAsia" w:eastAsiaTheme="minorEastAsia"/>
                <w:b/>
                <w:bCs/>
                <w:sz w:val="20"/>
                <w:szCs w:val="21"/>
              </w:rPr>
            </w:pPr>
            <w:r>
              <w:rPr>
                <w:rFonts w:hint="eastAsia" w:cs="宋体" w:asciiTheme="minorEastAsia" w:hAnsiTheme="minorEastAsia" w:eastAsiaTheme="minorEastAsia"/>
                <w:b/>
                <w:bCs/>
                <w:szCs w:val="21"/>
              </w:rPr>
              <w:t>第一个信封（商务文件）评审标准：</w:t>
            </w:r>
          </w:p>
          <w:p w14:paraId="53711EDC">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（1）</w:t>
            </w:r>
            <w:r>
              <w:rPr>
                <w:rFonts w:hint="eastAsia" w:asciiTheme="minorEastAsia" w:hAnsiTheme="minorEastAsia" w:eastAsiaTheme="minorEastAsia"/>
              </w:rPr>
              <w:t>投标文件按照招标文件规定的格式、内容填写，字迹清晰可辨。</w:t>
            </w:r>
          </w:p>
          <w:p w14:paraId="35B9C134">
            <w:pPr>
              <w:spacing w:line="276" w:lineRule="auto"/>
              <w:textAlignment w:val="baseline"/>
              <w:rPr>
                <w:rFonts w:hint="eastAsia" w:asciiTheme="minorEastAsia" w:hAnsiTheme="minorEastAsia" w:eastAsiaTheme="minorEastAsia"/>
                <w:sz w:val="20"/>
              </w:rPr>
            </w:pPr>
            <w:r>
              <w:rPr>
                <w:rFonts w:hint="eastAsia" w:asciiTheme="minorEastAsia" w:hAnsiTheme="minorEastAsia" w:eastAsiaTheme="minorEastAsia"/>
              </w:rPr>
              <w:t>a．投标函按招标文件规定填报了项目名称、补遗书编号（如有）、质量要求、安全目标、监理服务期限、总监理工程师相关信息；</w:t>
            </w:r>
          </w:p>
          <w:p w14:paraId="3235B538">
            <w:pPr>
              <w:spacing w:line="276" w:lineRule="auto"/>
              <w:textAlignment w:val="baseline"/>
              <w:rPr>
                <w:rFonts w:hint="eastAsia" w:asciiTheme="minorEastAsia" w:hAnsiTheme="minorEastAsia" w:eastAsiaTheme="minorEastAsia"/>
                <w:sz w:val="20"/>
              </w:rPr>
            </w:pPr>
            <w:r>
              <w:rPr>
                <w:rFonts w:hint="eastAsia" w:asciiTheme="minorEastAsia" w:hAnsiTheme="minorEastAsia" w:eastAsiaTheme="minorEastAsia"/>
              </w:rPr>
              <w:t>b．投标文件组成齐全完整，内容均按规定填写。</w:t>
            </w:r>
          </w:p>
          <w:p w14:paraId="5175EA34">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（2）</w:t>
            </w:r>
            <w:r>
              <w:rPr>
                <w:rFonts w:hint="eastAsia" w:asciiTheme="minorEastAsia" w:hAnsiTheme="minorEastAsia" w:eastAsiaTheme="minorEastAsia"/>
                <w:szCs w:val="21"/>
              </w:rPr>
              <w:t>投标文件上法定代表人或其授权代理人的签字、投标人的单位章盖章齐全，符合招标文件规定。</w:t>
            </w:r>
          </w:p>
          <w:p w14:paraId="201889B7">
            <w:pPr>
              <w:spacing w:line="276" w:lineRule="auto"/>
              <w:jc w:val="left"/>
              <w:textAlignment w:val="baseline"/>
              <w:rPr>
                <w:rFonts w:hint="eastAsia" w:cs="宋体" w:asciiTheme="minorEastAsia" w:hAnsiTheme="minorEastAsia" w:eastAsiaTheme="minorEastAsia"/>
                <w:szCs w:val="21"/>
              </w:rPr>
            </w:pPr>
            <w:r>
              <w:rPr>
                <w:rFonts w:hint="eastAsia" w:asciiTheme="minorEastAsia" w:hAnsiTheme="minorEastAsia" w:eastAsiaTheme="minorEastAsia"/>
              </w:rPr>
              <w:t>（3）</w:t>
            </w:r>
            <w:r>
              <w:rPr>
                <w:rFonts w:hint="eastAsia" w:cs="宋体" w:asciiTheme="minorEastAsia" w:hAnsiTheme="minorEastAsia" w:eastAsiaTheme="minorEastAsia"/>
                <w:szCs w:val="21"/>
              </w:rPr>
              <w:t>投标人按照招标文件的规定提供了投标保证金，并符合投标人须知前附表3.4.1项的相关规定。</w:t>
            </w:r>
          </w:p>
          <w:p w14:paraId="6867F896">
            <w:pPr>
              <w:spacing w:line="276" w:lineRule="auto"/>
              <w:jc w:val="left"/>
              <w:textAlignment w:val="baseline"/>
              <w:rPr>
                <w:rFonts w:hint="eastAsia" w:asciiTheme="minorEastAsia" w:hAnsiTheme="minorEastAsia" w:eastAsiaTheme="minorEastAsia"/>
                <w:szCs w:val="21"/>
              </w:rPr>
            </w:pPr>
            <w:r>
              <w:rPr>
                <w:rFonts w:hint="eastAsia" w:cs="宋体" w:asciiTheme="minorEastAsia" w:hAnsiTheme="minorEastAsia" w:eastAsiaTheme="minorEastAsia"/>
                <w:szCs w:val="21"/>
              </w:rPr>
              <w:t>（4）投标人法定代表人授权委</w:t>
            </w:r>
            <w:r>
              <w:rPr>
                <w:rFonts w:hint="eastAsia" w:asciiTheme="minorEastAsia" w:hAnsiTheme="minorEastAsia" w:eastAsiaTheme="minorEastAsia"/>
                <w:szCs w:val="21"/>
              </w:rPr>
              <w:t>托代理人签署投标文件的，须提交授权委托书；符合招标文件规定。</w:t>
            </w:r>
          </w:p>
          <w:p w14:paraId="77B87ACA">
            <w:pPr>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（5）投标人法定代表人若亲自签署投标文件的，提供了法定代表人身份证明；符合招标文件规定。</w:t>
            </w:r>
          </w:p>
          <w:p w14:paraId="77DBF0D0">
            <w:pPr>
              <w:spacing w:line="276" w:lineRule="auto"/>
              <w:jc w:val="left"/>
              <w:textAlignment w:val="baseline"/>
              <w:rPr>
                <w:rFonts w:hint="eastAsia" w:cs="宋体" w:asciiTheme="minorEastAsia" w:hAnsiTheme="minorEastAsia" w:eastAsiaTheme="minorEastAsia"/>
                <w:szCs w:val="21"/>
              </w:rPr>
            </w:pPr>
            <w:r>
              <w:rPr>
                <w:rFonts w:hint="eastAsia" w:cs="宋体" w:asciiTheme="minorEastAsia" w:hAnsiTheme="minorEastAsia" w:eastAsiaTheme="minorEastAsia"/>
                <w:szCs w:val="21"/>
              </w:rPr>
              <w:t>（6）投标人未对本项目进行分包。</w:t>
            </w:r>
          </w:p>
          <w:p w14:paraId="7B4B9196">
            <w:pPr>
              <w:spacing w:line="276" w:lineRule="auto"/>
              <w:jc w:val="left"/>
              <w:textAlignment w:val="baseline"/>
              <w:rPr>
                <w:rFonts w:hint="eastAsia" w:cs="宋体" w:asciiTheme="minorEastAsia" w:hAnsiTheme="minorEastAsia" w:eastAsiaTheme="minorEastAsia"/>
                <w:szCs w:val="21"/>
              </w:rPr>
            </w:pPr>
            <w:r>
              <w:rPr>
                <w:rFonts w:hint="eastAsia" w:cs="宋体" w:asciiTheme="minorEastAsia" w:hAnsiTheme="minorEastAsia" w:eastAsiaTheme="minorEastAsia"/>
                <w:szCs w:val="21"/>
              </w:rPr>
              <w:t>（7）</w:t>
            </w:r>
            <w:r>
              <w:rPr>
                <w:rFonts w:hint="eastAsia" w:ascii="宋体" w:hAnsi="宋体"/>
                <w:szCs w:val="21"/>
              </w:rPr>
              <w:t>投标人以联合体形式投标时，联合体满足招标文件的要求</w:t>
            </w:r>
            <w:r>
              <w:rPr>
                <w:rFonts w:hint="eastAsia" w:cs="宋体" w:asciiTheme="minorEastAsia" w:hAnsiTheme="minorEastAsia" w:eastAsiaTheme="minorEastAsia"/>
                <w:szCs w:val="21"/>
              </w:rPr>
              <w:t>。</w:t>
            </w:r>
          </w:p>
          <w:p w14:paraId="1D1D3196">
            <w:pPr>
              <w:spacing w:line="276" w:lineRule="auto"/>
              <w:jc w:val="left"/>
              <w:textAlignment w:val="baseline"/>
              <w:rPr>
                <w:rFonts w:hint="eastAsia" w:cs="宋体" w:asciiTheme="minorEastAsia" w:hAnsiTheme="minorEastAsia" w:eastAsiaTheme="minorEastAsia"/>
                <w:szCs w:val="21"/>
              </w:rPr>
            </w:pPr>
            <w:r>
              <w:rPr>
                <w:rFonts w:hint="eastAsia" w:cs="宋体" w:asciiTheme="minorEastAsia" w:hAnsiTheme="minorEastAsia" w:eastAsiaTheme="minorEastAsia"/>
                <w:szCs w:val="21"/>
              </w:rPr>
              <w:t>（8）同一投标人未提交两个以上不同的投标文件。</w:t>
            </w:r>
          </w:p>
          <w:p w14:paraId="04041858">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（9）投标文件中未出现有关投标报价的内容。</w:t>
            </w:r>
          </w:p>
          <w:p w14:paraId="2C269B12">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（10）投标文件载明的招标项目完成期限符合招标文件规定。</w:t>
            </w:r>
          </w:p>
          <w:p w14:paraId="6017D6BB">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（11）投标文件对招标文件的实质性要求和条件作出响应。</w:t>
            </w:r>
          </w:p>
          <w:p w14:paraId="0D95B1EF">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（12）权利义务符合招标文件规定：</w:t>
            </w:r>
          </w:p>
          <w:p w14:paraId="42D7C3D0">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a.投标人应接受招标文件规定的风险划分原则，未提出新的风险划分办法；</w:t>
            </w:r>
          </w:p>
          <w:p w14:paraId="6A7FDFEC">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b.投标人未增加委托人的责任范围，或减少投标人义务；</w:t>
            </w:r>
          </w:p>
          <w:p w14:paraId="46BE4703">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c.投标人未提出不同的支付办法；</w:t>
            </w:r>
          </w:p>
          <w:p w14:paraId="0CB7159C">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d.投标人对合同纠纷、事故处理办法未提出异议；</w:t>
            </w:r>
          </w:p>
          <w:p w14:paraId="66C4BB24">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e.投标人在投标活动中无欺诈行为；</w:t>
            </w:r>
          </w:p>
          <w:p w14:paraId="244C3A22">
            <w:pPr>
              <w:spacing w:line="276" w:lineRule="auto"/>
              <w:jc w:val="left"/>
              <w:textAlignment w:val="baseline"/>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f.投标人未对合同条款有重要保留。 </w:t>
            </w:r>
          </w:p>
          <w:p w14:paraId="1B5EECF7">
            <w:pPr>
              <w:spacing w:line="276" w:lineRule="auto"/>
              <w:jc w:val="left"/>
              <w:textAlignment w:val="baseline"/>
              <w:rPr>
                <w:rFonts w:hint="eastAsia" w:cs="宋体" w:asciiTheme="minorEastAsia" w:hAnsiTheme="minorEastAsia" w:eastAsiaTheme="minorEastAsia"/>
                <w:b/>
                <w:bCs/>
                <w:sz w:val="20"/>
                <w:szCs w:val="21"/>
              </w:rPr>
            </w:pPr>
            <w:r>
              <w:rPr>
                <w:rFonts w:hint="eastAsia" w:cs="宋体" w:asciiTheme="minorEastAsia" w:hAnsiTheme="minorEastAsia" w:eastAsiaTheme="minorEastAsia"/>
                <w:b/>
                <w:bCs/>
                <w:szCs w:val="21"/>
              </w:rPr>
              <w:t>第一个信封（技术文件）评审标准：</w:t>
            </w:r>
          </w:p>
          <w:p w14:paraId="23B58591">
            <w:pPr>
              <w:spacing w:line="276" w:lineRule="auto"/>
              <w:jc w:val="left"/>
              <w:textAlignment w:val="baseline"/>
              <w:rPr>
                <w:rFonts w:hint="eastAsia" w:asciiTheme="minorEastAsia" w:hAnsiTheme="minorEastAsia" w:eastAsiaTheme="minorEastAsia"/>
              </w:rPr>
            </w:pPr>
            <w:r>
              <w:rPr>
                <w:rFonts w:hint="eastAsia" w:asciiTheme="minorEastAsia" w:hAnsiTheme="minorEastAsia" w:eastAsiaTheme="minorEastAsia"/>
              </w:rPr>
              <w:t>技术建议书（暗标）符合招标文件第二章“投标人须知”第10.2款的规定。</w:t>
            </w:r>
          </w:p>
          <w:p w14:paraId="05D1CA3F">
            <w:pPr>
              <w:spacing w:line="276" w:lineRule="auto"/>
              <w:jc w:val="left"/>
              <w:textAlignment w:val="baseline"/>
              <w:rPr>
                <w:rFonts w:hint="eastAsia" w:cs="宋体" w:asciiTheme="minorEastAsia" w:hAnsiTheme="minorEastAsia" w:eastAsiaTheme="minorEastAsia"/>
                <w:b/>
                <w:bCs/>
                <w:sz w:val="20"/>
                <w:szCs w:val="21"/>
              </w:rPr>
            </w:pPr>
            <w:r>
              <w:rPr>
                <w:rFonts w:hint="eastAsia" w:cs="宋体" w:asciiTheme="minorEastAsia" w:hAnsiTheme="minorEastAsia" w:eastAsiaTheme="minorEastAsia"/>
                <w:b/>
                <w:bCs/>
                <w:szCs w:val="21"/>
              </w:rPr>
              <w:t>第二个信封（报价文件）评审标准：</w:t>
            </w:r>
          </w:p>
          <w:p w14:paraId="5C4879B3">
            <w:pPr>
              <w:spacing w:line="276" w:lineRule="auto"/>
              <w:jc w:val="left"/>
              <w:textAlignment w:val="baseline"/>
              <w:rPr>
                <w:rFonts w:hint="eastAsia" w:asciiTheme="minorEastAsia" w:hAnsiTheme="minorEastAsia" w:eastAsiaTheme="minorEastAsia"/>
                <w:bCs/>
                <w:sz w:val="20"/>
              </w:rPr>
            </w:pPr>
            <w:r>
              <w:rPr>
                <w:rFonts w:hint="eastAsia" w:cs="宋体" w:asciiTheme="minorEastAsia" w:hAnsiTheme="minorEastAsia" w:eastAsiaTheme="minorEastAsia"/>
                <w:szCs w:val="21"/>
              </w:rPr>
              <w:t>（1）</w:t>
            </w:r>
            <w:r>
              <w:rPr>
                <w:rFonts w:hint="eastAsia" w:asciiTheme="minorEastAsia" w:hAnsiTheme="minorEastAsia" w:eastAsiaTheme="minorEastAsia"/>
                <w:bCs/>
              </w:rPr>
              <w:t>投标文件按照招标文件规定的格式、内容填写，字迹清晰可辨。</w:t>
            </w:r>
          </w:p>
          <w:p w14:paraId="6371A550">
            <w:pPr>
              <w:spacing w:line="276" w:lineRule="auto"/>
              <w:jc w:val="left"/>
              <w:textAlignment w:val="baseline"/>
              <w:rPr>
                <w:rFonts w:hint="eastAsia" w:cs="宋体" w:asciiTheme="minorEastAsia" w:hAnsiTheme="minorEastAsia" w:eastAsiaTheme="minorEastAsia"/>
                <w:szCs w:val="21"/>
              </w:rPr>
            </w:pPr>
            <w:r>
              <w:rPr>
                <w:rFonts w:hint="eastAsia" w:cs="宋体" w:asciiTheme="minorEastAsia" w:hAnsiTheme="minorEastAsia" w:eastAsiaTheme="minorEastAsia"/>
                <w:szCs w:val="21"/>
              </w:rPr>
              <w:t>a．投标函按招标文件规定填报了项目名称、补遗书编号（如有）、投标报价（包括大写金额和小写金额）；</w:t>
            </w:r>
          </w:p>
          <w:p w14:paraId="19DFCD60">
            <w:pPr>
              <w:spacing w:line="276" w:lineRule="auto"/>
              <w:jc w:val="left"/>
              <w:textAlignment w:val="baseline"/>
              <w:rPr>
                <w:rFonts w:hint="eastAsia" w:cs="宋体" w:asciiTheme="minorEastAsia" w:hAnsiTheme="minorEastAsia" w:eastAsiaTheme="minorEastAsia"/>
                <w:szCs w:val="21"/>
              </w:rPr>
            </w:pPr>
            <w:r>
              <w:rPr>
                <w:rFonts w:hint="eastAsia" w:cs="宋体" w:asciiTheme="minorEastAsia" w:hAnsiTheme="minorEastAsia" w:eastAsiaTheme="minorEastAsia"/>
                <w:szCs w:val="21"/>
              </w:rPr>
              <w:t>b.已标价报价清单说明文字与招标文件一致，未进行实质性修改和删减。</w:t>
            </w:r>
          </w:p>
          <w:p w14:paraId="39D69126">
            <w:pPr>
              <w:spacing w:line="276" w:lineRule="auto"/>
              <w:jc w:val="left"/>
              <w:textAlignment w:val="baseline"/>
              <w:rPr>
                <w:rFonts w:hint="eastAsia" w:cs="宋体" w:asciiTheme="minorEastAsia" w:hAnsiTheme="minorEastAsia" w:eastAsiaTheme="minorEastAsia"/>
                <w:szCs w:val="21"/>
              </w:rPr>
            </w:pPr>
            <w:r>
              <w:rPr>
                <w:rFonts w:hint="eastAsia" w:cs="宋体" w:asciiTheme="minorEastAsia" w:hAnsiTheme="minorEastAsia" w:eastAsiaTheme="minorEastAsia"/>
                <w:szCs w:val="21"/>
              </w:rPr>
              <w:t>c．投标文件组成齐全完整，内容均按规定填写。</w:t>
            </w:r>
          </w:p>
          <w:p w14:paraId="778B3E43">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（2）</w:t>
            </w:r>
            <w:r>
              <w:rPr>
                <w:rFonts w:hint="eastAsia" w:asciiTheme="minorEastAsia" w:hAnsiTheme="minorEastAsia" w:eastAsiaTheme="minorEastAsia"/>
                <w:szCs w:val="21"/>
              </w:rPr>
              <w:t>投标文件上法定代表人或其授权代理人的签字、投标人的单位章盖章齐全，符合招标文件规定。</w:t>
            </w:r>
          </w:p>
          <w:p w14:paraId="33E079EA">
            <w:pPr>
              <w:spacing w:line="276" w:lineRule="auto"/>
              <w:jc w:val="left"/>
              <w:textAlignment w:val="baseline"/>
              <w:rPr>
                <w:rFonts w:hint="eastAsia" w:cs="宋体" w:asciiTheme="minorEastAsia" w:hAnsiTheme="minorEastAsia" w:eastAsiaTheme="minorEastAsia"/>
                <w:sz w:val="20"/>
                <w:szCs w:val="21"/>
              </w:rPr>
            </w:pPr>
            <w:r>
              <w:rPr>
                <w:rFonts w:hint="eastAsia" w:asciiTheme="minorEastAsia" w:hAnsiTheme="minorEastAsia" w:eastAsiaTheme="minorEastAsia"/>
                <w:bCs/>
              </w:rPr>
              <w:t>（3）</w:t>
            </w:r>
            <w:r>
              <w:rPr>
                <w:rFonts w:hint="eastAsia" w:cs="宋体" w:asciiTheme="minorEastAsia" w:hAnsiTheme="minorEastAsia" w:eastAsiaTheme="minorEastAsia"/>
                <w:szCs w:val="21"/>
              </w:rPr>
              <w:t>投标报价未超过招标文件设定的最高投标限价。</w:t>
            </w:r>
          </w:p>
          <w:p w14:paraId="45B1DD4D">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（4）投标报价的大写金额能够确定具体数值。</w:t>
            </w:r>
          </w:p>
          <w:p w14:paraId="53839DE6">
            <w:pPr>
              <w:spacing w:line="276" w:lineRule="auto"/>
              <w:jc w:val="left"/>
              <w:textAlignment w:val="baseline"/>
              <w:rPr>
                <w:rFonts w:hint="eastAsia" w:cs="宋体" w:asciiTheme="minorEastAsia" w:hAnsiTheme="minorEastAsia" w:eastAsiaTheme="minorEastAsia"/>
                <w:sz w:val="20"/>
                <w:szCs w:val="21"/>
              </w:rPr>
            </w:pPr>
            <w:r>
              <w:rPr>
                <w:rFonts w:hint="eastAsia" w:cs="宋体" w:asciiTheme="minorEastAsia" w:hAnsiTheme="minorEastAsia" w:eastAsiaTheme="minorEastAsia"/>
                <w:szCs w:val="21"/>
              </w:rPr>
              <w:t>（5）同一投标人未提交两个以上不同的投标报价。</w:t>
            </w:r>
          </w:p>
          <w:p w14:paraId="7B4D72F8">
            <w:pPr>
              <w:spacing w:line="276" w:lineRule="auto"/>
              <w:jc w:val="left"/>
              <w:textAlignment w:val="baseline"/>
              <w:rPr>
                <w:rFonts w:hint="eastAsia" w:cs="宋体" w:asciiTheme="minorEastAsia" w:hAnsiTheme="minorEastAsia" w:eastAsiaTheme="minorEastAsia"/>
                <w:szCs w:val="21"/>
              </w:rPr>
            </w:pPr>
            <w:r>
              <w:rPr>
                <w:rFonts w:hint="eastAsia" w:cs="宋体" w:asciiTheme="minorEastAsia" w:hAnsiTheme="minorEastAsia" w:eastAsiaTheme="minorEastAsia"/>
                <w:szCs w:val="21"/>
              </w:rPr>
              <w:t>（6）</w:t>
            </w:r>
            <w:bookmarkStart w:id="7" w:name="_Hlk183600424"/>
            <w:r>
              <w:rPr>
                <w:rFonts w:hint="eastAsia" w:cs="宋体" w:asciiTheme="minorEastAsia" w:hAnsiTheme="minorEastAsia" w:eastAsiaTheme="minorEastAsia"/>
                <w:szCs w:val="21"/>
              </w:rPr>
              <w:t>投标报价中竣（交）工验收及缺陷责任期阶段监理服务费报价不低于监理服务总费用的10%</w:t>
            </w:r>
            <w:bookmarkEnd w:id="7"/>
            <w:r>
              <w:rPr>
                <w:rFonts w:hint="eastAsia" w:cs="宋体" w:asciiTheme="minorEastAsia" w:hAnsiTheme="minorEastAsia" w:eastAsiaTheme="minorEastAsia"/>
                <w:szCs w:val="21"/>
              </w:rPr>
              <w:t>。</w:t>
            </w:r>
          </w:p>
          <w:p w14:paraId="35E03A9F">
            <w:pPr>
              <w:spacing w:line="276" w:lineRule="auto"/>
              <w:jc w:val="left"/>
              <w:textAlignment w:val="baseline"/>
              <w:rPr>
                <w:rFonts w:hint="eastAsia" w:cs="宋体" w:asciiTheme="minorEastAsia" w:hAnsiTheme="minorEastAsia"/>
                <w:szCs w:val="21"/>
              </w:rPr>
            </w:pPr>
            <w:r>
              <w:rPr>
                <w:rFonts w:hint="eastAsia" w:cs="宋体" w:asciiTheme="minorEastAsia" w:hAnsiTheme="minorEastAsia" w:eastAsiaTheme="minorEastAsia"/>
                <w:szCs w:val="21"/>
              </w:rPr>
              <w:t>（7）</w:t>
            </w:r>
            <w:r>
              <w:rPr>
                <w:rFonts w:hint="eastAsia" w:ascii="宋体" w:hAnsi="宋体"/>
                <w:szCs w:val="21"/>
              </w:rPr>
              <w:t>监理服务费用清单中的投标报价和投标函投标报价大写金额一致。</w:t>
            </w:r>
          </w:p>
        </w:tc>
      </w:tr>
      <w:tr w14:paraId="6588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75DFC376">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2.1.2</w:t>
            </w:r>
          </w:p>
        </w:tc>
        <w:tc>
          <w:tcPr>
            <w:tcW w:w="551" w:type="pct"/>
            <w:tcBorders>
              <w:top w:val="single" w:color="auto" w:sz="4" w:space="0"/>
              <w:left w:val="single" w:color="auto" w:sz="4" w:space="0"/>
              <w:bottom w:val="single" w:color="auto" w:sz="4" w:space="0"/>
              <w:right w:val="single" w:color="auto" w:sz="4" w:space="0"/>
            </w:tcBorders>
            <w:vAlign w:val="center"/>
          </w:tcPr>
          <w:p w14:paraId="245A69D3">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资格评审标准</w:t>
            </w:r>
          </w:p>
        </w:tc>
        <w:tc>
          <w:tcPr>
            <w:tcW w:w="3996" w:type="pct"/>
            <w:tcBorders>
              <w:top w:val="single" w:color="auto" w:sz="4" w:space="0"/>
              <w:left w:val="single" w:color="auto" w:sz="4" w:space="0"/>
              <w:bottom w:val="single" w:color="auto" w:sz="4" w:space="0"/>
              <w:right w:val="single" w:color="auto" w:sz="4" w:space="0"/>
            </w:tcBorders>
            <w:vAlign w:val="center"/>
          </w:tcPr>
          <w:p w14:paraId="3B9A831E">
            <w:pPr>
              <w:spacing w:line="276" w:lineRule="auto"/>
              <w:textAlignment w:val="baseline"/>
              <w:rPr>
                <w:rFonts w:hint="eastAsia" w:asciiTheme="minorEastAsia" w:hAnsiTheme="minorEastAsia" w:eastAsiaTheme="minorEastAsia"/>
                <w:sz w:val="20"/>
              </w:rPr>
            </w:pPr>
            <w:r>
              <w:rPr>
                <w:rFonts w:hint="eastAsia" w:asciiTheme="minorEastAsia" w:hAnsiTheme="minorEastAsia" w:eastAsiaTheme="minorEastAsia"/>
              </w:rPr>
              <w:t>（1）投标人具备有效的营业执照、组织机构代码证（三证合一或五证合一的除外）、监理资质证书和</w:t>
            </w:r>
            <w:r>
              <w:rPr>
                <w:rFonts w:hint="eastAsia" w:cs="宋体" w:asciiTheme="minorEastAsia" w:hAnsiTheme="minorEastAsia" w:eastAsiaTheme="minorEastAsia"/>
                <w:szCs w:val="21"/>
              </w:rPr>
              <w:t>基本账户开户许可证（或基本存款账户信息）</w:t>
            </w:r>
            <w:r>
              <w:rPr>
                <w:rFonts w:hint="eastAsia" w:asciiTheme="minorEastAsia" w:hAnsiTheme="minorEastAsia" w:eastAsiaTheme="minorEastAsia"/>
              </w:rPr>
              <w:t>；</w:t>
            </w:r>
          </w:p>
          <w:p w14:paraId="31A4E9F8">
            <w:pPr>
              <w:spacing w:line="276" w:lineRule="auto"/>
              <w:textAlignment w:val="baseline"/>
              <w:rPr>
                <w:rFonts w:hint="eastAsia" w:asciiTheme="minorEastAsia" w:hAnsiTheme="minorEastAsia" w:eastAsiaTheme="minorEastAsia"/>
                <w:sz w:val="20"/>
              </w:rPr>
            </w:pPr>
            <w:r>
              <w:rPr>
                <w:rFonts w:hint="eastAsia" w:asciiTheme="minorEastAsia" w:hAnsiTheme="minorEastAsia" w:eastAsiaTheme="minorEastAsia"/>
              </w:rPr>
              <w:t>（2）投标人的资质等级符合招标文件规定。</w:t>
            </w:r>
          </w:p>
          <w:p w14:paraId="1EB0A14B">
            <w:pPr>
              <w:spacing w:line="276" w:lineRule="auto"/>
              <w:textAlignment w:val="baseline"/>
              <w:rPr>
                <w:rFonts w:hint="eastAsia" w:asciiTheme="minorEastAsia" w:hAnsiTheme="minorEastAsia" w:eastAsiaTheme="minorEastAsia"/>
                <w:sz w:val="20"/>
              </w:rPr>
            </w:pPr>
            <w:r>
              <w:rPr>
                <w:rFonts w:hint="eastAsia" w:asciiTheme="minorEastAsia" w:hAnsiTheme="minorEastAsia" w:eastAsiaTheme="minorEastAsia"/>
              </w:rPr>
              <w:t>（3）投标人的类似项目业绩符合招标文件的规定。</w:t>
            </w:r>
          </w:p>
          <w:p w14:paraId="792877AF">
            <w:pPr>
              <w:spacing w:line="276" w:lineRule="auto"/>
              <w:textAlignment w:val="baseline"/>
              <w:rPr>
                <w:rFonts w:hint="eastAsia" w:asciiTheme="minorEastAsia" w:hAnsiTheme="minorEastAsia" w:eastAsiaTheme="minorEastAsia"/>
                <w:sz w:val="20"/>
              </w:rPr>
            </w:pPr>
            <w:r>
              <w:rPr>
                <w:rFonts w:hint="eastAsia" w:asciiTheme="minorEastAsia" w:hAnsiTheme="minorEastAsia" w:eastAsiaTheme="minorEastAsia"/>
              </w:rPr>
              <w:t>（4）投标人的信誉符合招标文件规定。</w:t>
            </w:r>
          </w:p>
          <w:p w14:paraId="208472AE">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（5）投标人的总监理工程师资格符合招标文件规定。</w:t>
            </w:r>
          </w:p>
          <w:p w14:paraId="1BD3730E">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（6）投标人不存在第二章“投标人须知”第1.4.3项或1.4.4项规定的任何一种情形。</w:t>
            </w:r>
          </w:p>
          <w:p w14:paraId="0EDBBD3B">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（7）投标人符合第二章“投标人须知”第1.4.5项规定。</w:t>
            </w:r>
          </w:p>
          <w:p w14:paraId="19F19FB4">
            <w:pPr>
              <w:spacing w:line="276" w:lineRule="auto"/>
              <w:textAlignment w:val="baseline"/>
              <w:rPr>
                <w:rFonts w:hint="eastAsia" w:asciiTheme="minorEastAsia" w:hAnsiTheme="minorEastAsia" w:eastAsiaTheme="minorEastAsia"/>
                <w:sz w:val="20"/>
              </w:rPr>
            </w:pPr>
            <w:r>
              <w:rPr>
                <w:rFonts w:hint="eastAsia" w:ascii="宋体" w:hAnsi="宋体"/>
                <w:bCs/>
                <w:szCs w:val="21"/>
              </w:rPr>
              <w:t>（8）以联合体形式参与投标的，联合体各方均未再以自己名义单独或参加其他联合体的投标</w:t>
            </w:r>
            <w:r>
              <w:rPr>
                <w:rFonts w:ascii="宋体" w:hAnsi="宋体" w:cs="Arial"/>
                <w:szCs w:val="21"/>
              </w:rPr>
              <w:t>；独立参与投标的，投标人未同时参加联合体</w:t>
            </w:r>
            <w:r>
              <w:rPr>
                <w:rFonts w:hint="eastAsia" w:ascii="宋体" w:hAnsi="宋体" w:cs="Arial"/>
                <w:szCs w:val="21"/>
              </w:rPr>
              <w:t>的</w:t>
            </w:r>
            <w:r>
              <w:rPr>
                <w:rFonts w:ascii="宋体" w:hAnsi="宋体" w:cs="Arial"/>
                <w:szCs w:val="21"/>
              </w:rPr>
              <w:t>投标。</w:t>
            </w:r>
          </w:p>
        </w:tc>
      </w:tr>
      <w:tr w14:paraId="2F15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3F71BB39">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2.2.1</w:t>
            </w:r>
          </w:p>
        </w:tc>
        <w:tc>
          <w:tcPr>
            <w:tcW w:w="551" w:type="pct"/>
            <w:tcBorders>
              <w:top w:val="single" w:color="auto" w:sz="4" w:space="0"/>
              <w:left w:val="single" w:color="auto" w:sz="4" w:space="0"/>
              <w:bottom w:val="single" w:color="auto" w:sz="4" w:space="0"/>
              <w:right w:val="single" w:color="auto" w:sz="4" w:space="0"/>
            </w:tcBorders>
            <w:vAlign w:val="center"/>
          </w:tcPr>
          <w:p w14:paraId="09285E44">
            <w:pPr>
              <w:spacing w:line="276" w:lineRule="auto"/>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分值构成</w:t>
            </w:r>
          </w:p>
        </w:tc>
        <w:tc>
          <w:tcPr>
            <w:tcW w:w="3996" w:type="pct"/>
            <w:tcBorders>
              <w:top w:val="single" w:color="auto" w:sz="4" w:space="0"/>
              <w:left w:val="single" w:color="auto" w:sz="4" w:space="0"/>
              <w:bottom w:val="single" w:color="auto" w:sz="4" w:space="0"/>
              <w:right w:val="single" w:color="auto" w:sz="4" w:space="0"/>
            </w:tcBorders>
            <w:vAlign w:val="center"/>
          </w:tcPr>
          <w:p w14:paraId="6CB50109">
            <w:pPr>
              <w:spacing w:line="276" w:lineRule="auto"/>
              <w:ind w:left="107"/>
              <w:jc w:val="left"/>
              <w:textAlignment w:val="baseline"/>
              <w:rPr>
                <w:rFonts w:hint="eastAsia" w:asciiTheme="minorEastAsia" w:hAnsiTheme="minorEastAsia" w:eastAsiaTheme="minorEastAsia"/>
                <w:b/>
                <w:sz w:val="20"/>
                <w:szCs w:val="21"/>
              </w:rPr>
            </w:pPr>
            <w:r>
              <w:rPr>
                <w:rFonts w:hint="eastAsia" w:asciiTheme="minorEastAsia" w:hAnsiTheme="minorEastAsia" w:eastAsiaTheme="minorEastAsia"/>
                <w:b/>
                <w:szCs w:val="21"/>
              </w:rPr>
              <w:t>第一信封（商务及技术文件）评分分值构成：</w:t>
            </w:r>
          </w:p>
          <w:p w14:paraId="76F5A828">
            <w:pPr>
              <w:spacing w:line="276" w:lineRule="auto"/>
              <w:ind w:left="107"/>
              <w:jc w:val="left"/>
              <w:textAlignment w:val="baseline"/>
              <w:rPr>
                <w:rFonts w:hint="eastAsia" w:cs="宋?" w:asciiTheme="minorEastAsia" w:hAnsiTheme="minorEastAsia" w:eastAsiaTheme="minorEastAsia"/>
                <w:sz w:val="20"/>
                <w:szCs w:val="21"/>
              </w:rPr>
            </w:pPr>
            <w:r>
              <w:rPr>
                <w:rFonts w:hint="eastAsia" w:cs="宋?" w:asciiTheme="minorEastAsia" w:hAnsiTheme="minorEastAsia" w:eastAsiaTheme="minorEastAsia"/>
                <w:szCs w:val="21"/>
              </w:rPr>
              <w:t>技术建议书：45分</w:t>
            </w:r>
          </w:p>
          <w:p w14:paraId="49410A54">
            <w:pPr>
              <w:spacing w:line="276" w:lineRule="auto"/>
              <w:ind w:left="107"/>
              <w:jc w:val="left"/>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主要人员：20分</w:t>
            </w:r>
          </w:p>
          <w:p w14:paraId="5F3625D6">
            <w:pPr>
              <w:spacing w:line="276" w:lineRule="auto"/>
              <w:ind w:left="107"/>
              <w:jc w:val="left"/>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其他因素：25分</w:t>
            </w:r>
          </w:p>
          <w:p w14:paraId="3B565D1B">
            <w:pPr>
              <w:spacing w:line="276" w:lineRule="auto"/>
              <w:ind w:left="107"/>
              <w:jc w:val="left"/>
              <w:textAlignment w:val="baseline"/>
              <w:rPr>
                <w:rFonts w:hint="eastAsia" w:asciiTheme="minorEastAsia" w:hAnsiTheme="minorEastAsia" w:eastAsiaTheme="minorEastAsia"/>
                <w:b/>
                <w:sz w:val="20"/>
                <w:szCs w:val="21"/>
              </w:rPr>
            </w:pPr>
            <w:r>
              <w:rPr>
                <w:rFonts w:hint="eastAsia" w:asciiTheme="minorEastAsia" w:hAnsiTheme="minorEastAsia" w:eastAsiaTheme="minorEastAsia"/>
                <w:b/>
                <w:szCs w:val="21"/>
              </w:rPr>
              <w:t>第二信封（报价文件）评分分值构成：</w:t>
            </w:r>
          </w:p>
          <w:p w14:paraId="7B3EB0E4">
            <w:pPr>
              <w:spacing w:line="276" w:lineRule="auto"/>
              <w:ind w:left="107"/>
              <w:jc w:val="left"/>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评标价：10分</w:t>
            </w:r>
          </w:p>
        </w:tc>
      </w:tr>
      <w:tr w14:paraId="4FAA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5916A3EE">
            <w:pPr>
              <w:spacing w:line="276" w:lineRule="auto"/>
              <w:ind w:right="113"/>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2.2.2</w:t>
            </w:r>
          </w:p>
        </w:tc>
        <w:tc>
          <w:tcPr>
            <w:tcW w:w="551" w:type="pct"/>
            <w:tcBorders>
              <w:top w:val="single" w:color="auto" w:sz="4" w:space="0"/>
              <w:left w:val="single" w:color="auto" w:sz="4" w:space="0"/>
              <w:bottom w:val="single" w:color="auto" w:sz="4" w:space="0"/>
              <w:right w:val="single" w:color="auto" w:sz="4" w:space="0"/>
            </w:tcBorders>
            <w:vAlign w:val="center"/>
          </w:tcPr>
          <w:p w14:paraId="549BBAED">
            <w:pPr>
              <w:spacing w:line="276" w:lineRule="auto"/>
              <w:ind w:left="2"/>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评标基准价计算方法</w:t>
            </w:r>
          </w:p>
        </w:tc>
        <w:tc>
          <w:tcPr>
            <w:tcW w:w="3996" w:type="pct"/>
            <w:tcBorders>
              <w:top w:val="single" w:color="auto" w:sz="4" w:space="0"/>
              <w:left w:val="single" w:color="auto" w:sz="4" w:space="0"/>
              <w:bottom w:val="single" w:color="auto" w:sz="4" w:space="0"/>
              <w:right w:val="single" w:color="auto" w:sz="4" w:space="0"/>
            </w:tcBorders>
            <w:vAlign w:val="center"/>
          </w:tcPr>
          <w:p w14:paraId="755EEB4A">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所有通过第一个信封评审的投标文件，由评标委员会开启第二个信封，  并当场计算并宣布评标基准价。</w:t>
            </w:r>
          </w:p>
          <w:p w14:paraId="557563E0">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（1）评标价的确定： 评标价=投标函文字报价</w:t>
            </w:r>
          </w:p>
          <w:p w14:paraId="13857B18">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（2）评标价平均值的计算：</w:t>
            </w:r>
          </w:p>
          <w:p w14:paraId="02CFFEB8">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除按第二章“投标人须知”第 5.2.4 项规定开标现场被宣布为不进入评标基准价计算的投标报价之外的投标人评标价，所有投标人的评标价去掉n1 个最高评标价和n2 个最低评标价后的算术平均值即为评标价平均值：</w:t>
            </w:r>
          </w:p>
          <w:p w14:paraId="006B98C3">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如果参与评标价平均值计算的投标人数量＜6 家时，n1=0，n2=0；</w:t>
            </w:r>
          </w:p>
          <w:p w14:paraId="3AD021FF">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6 家≤参与评标价平均值计算的投标人数量＜10 家时，n1=1，n2=1；</w:t>
            </w:r>
          </w:p>
          <w:p w14:paraId="5DB5041A">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参与评标价平均值计算的投标人数量≥10 家时，n1=2，n2=2。</w:t>
            </w:r>
          </w:p>
          <w:p w14:paraId="046B49B1">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（3）评标基准价的确定：</w:t>
            </w:r>
          </w:p>
          <w:p w14:paraId="58D8428C">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 xml:space="preserve">采取随机抽取的方式从下列方法中确定评标基准价的计算方法： </w:t>
            </w:r>
          </w:p>
          <w:p w14:paraId="102C27D7">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方法一：评标价平均值乘以评标基准价系数 K1，作为评标基准价 P。招标人设置评标基准价系数 K1（取 0.98、0.985、0.99、0.995、1.00 共 5 个数值）。在开标现场随机抽取确定。</w:t>
            </w:r>
          </w:p>
          <w:p w14:paraId="09012904">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方法二：评标基准价 P=评标价平均值×（1-K2）+最高投标限价×K2。K2 为开标现场随机确定的最高投标限价所占比例系数，取值范围为0.10、0.15、0.20、0.25、0.30。</w:t>
            </w:r>
          </w:p>
          <w:p w14:paraId="23AC828F">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方法三：评标价平均值与投标人报价的中位数的平均值作为评标基准价。中位数：把所有评标价按高低排序后找出正中间的一个作为中位数。如果评标价有偶数个，取最中间的两个数值的平均值作为中位数（平均值均保留 2 位小数）。</w:t>
            </w:r>
          </w:p>
          <w:p w14:paraId="2255107C">
            <w:pPr>
              <w:spacing w:line="276" w:lineRule="auto"/>
              <w:textAlignment w:val="baseline"/>
              <w:rPr>
                <w:rFonts w:hint="eastAsia" w:asciiTheme="minorEastAsia" w:hAnsiTheme="minorEastAsia" w:eastAsiaTheme="minorEastAsia"/>
              </w:rPr>
            </w:pPr>
            <w:r>
              <w:rPr>
                <w:rFonts w:hint="eastAsia" w:asciiTheme="minorEastAsia" w:hAnsiTheme="minorEastAsia" w:eastAsiaTheme="minorEastAsia"/>
              </w:rPr>
              <w:t>在评标过程中，评标委员会应对招标人计算的评标基准价进行复核，存在计算错误的应予以修正并在评标报告中作出说明。除此之外，评标基准价在整个评标期间保持不变，不随任何因素发生变化。</w:t>
            </w:r>
          </w:p>
          <w:p w14:paraId="34663273">
            <w:pPr>
              <w:pStyle w:val="3"/>
              <w:rPr>
                <w:rFonts w:hint="eastAsia"/>
              </w:rPr>
            </w:pPr>
            <w:r>
              <w:rPr>
                <w:rFonts w:hint="eastAsia"/>
              </w:rPr>
              <w:t>评标基准价保留小数点后两位，小数点后第三位四舍五入。</w:t>
            </w:r>
          </w:p>
        </w:tc>
      </w:tr>
      <w:tr w14:paraId="15C1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50F71667">
            <w:pPr>
              <w:spacing w:line="276" w:lineRule="auto"/>
              <w:ind w:right="113"/>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2.2.3</w:t>
            </w:r>
          </w:p>
        </w:tc>
        <w:tc>
          <w:tcPr>
            <w:tcW w:w="551" w:type="pct"/>
            <w:tcBorders>
              <w:top w:val="single" w:color="auto" w:sz="4" w:space="0"/>
              <w:left w:val="single" w:color="auto" w:sz="4" w:space="0"/>
              <w:bottom w:val="single" w:color="auto" w:sz="4" w:space="0"/>
              <w:right w:val="single" w:color="auto" w:sz="4" w:space="0"/>
            </w:tcBorders>
            <w:vAlign w:val="center"/>
          </w:tcPr>
          <w:p w14:paraId="32234AA1">
            <w:pPr>
              <w:spacing w:line="276" w:lineRule="auto"/>
              <w:ind w:left="-31" w:leftChars="-15"/>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评标价的偏差率计算公式</w:t>
            </w:r>
          </w:p>
        </w:tc>
        <w:tc>
          <w:tcPr>
            <w:tcW w:w="3996" w:type="pct"/>
            <w:tcBorders>
              <w:top w:val="single" w:color="auto" w:sz="4" w:space="0"/>
              <w:left w:val="single" w:color="auto" w:sz="4" w:space="0"/>
              <w:bottom w:val="single" w:color="auto" w:sz="4" w:space="0"/>
              <w:right w:val="single" w:color="auto" w:sz="4" w:space="0"/>
            </w:tcBorders>
            <w:vAlign w:val="center"/>
          </w:tcPr>
          <w:p w14:paraId="0EF2DAD5">
            <w:pPr>
              <w:spacing w:line="276" w:lineRule="auto"/>
              <w:ind w:right="113"/>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偏差率=100%×（投标人评标价-评标基准价）/评标基准价</w:t>
            </w:r>
          </w:p>
        </w:tc>
      </w:tr>
      <w:tr w14:paraId="7CD1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53" w:type="pct"/>
            <w:tcBorders>
              <w:top w:val="single" w:color="auto" w:sz="4" w:space="0"/>
              <w:left w:val="single" w:color="auto" w:sz="4" w:space="0"/>
              <w:bottom w:val="single" w:color="auto" w:sz="4" w:space="0"/>
              <w:right w:val="single" w:color="auto" w:sz="4" w:space="0"/>
            </w:tcBorders>
            <w:vAlign w:val="center"/>
          </w:tcPr>
          <w:p w14:paraId="48594903">
            <w:pPr>
              <w:spacing w:line="276" w:lineRule="auto"/>
              <w:ind w:right="113"/>
              <w:jc w:val="center"/>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3.6.1</w:t>
            </w:r>
          </w:p>
        </w:tc>
        <w:tc>
          <w:tcPr>
            <w:tcW w:w="551" w:type="pct"/>
            <w:tcBorders>
              <w:top w:val="single" w:color="auto" w:sz="4" w:space="0"/>
              <w:left w:val="single" w:color="auto" w:sz="4" w:space="0"/>
              <w:bottom w:val="single" w:color="auto" w:sz="4" w:space="0"/>
              <w:right w:val="single" w:color="auto" w:sz="4" w:space="0"/>
            </w:tcBorders>
            <w:vAlign w:val="center"/>
          </w:tcPr>
          <w:p w14:paraId="2452E530">
            <w:pPr>
              <w:spacing w:line="276" w:lineRule="auto"/>
              <w:ind w:left="-31" w:leftChars="-15"/>
              <w:textAlignment w:val="baseline"/>
              <w:rPr>
                <w:rFonts w:hint="eastAsia" w:asciiTheme="minorEastAsia" w:hAnsiTheme="minorEastAsia" w:eastAsiaTheme="minorEastAsia"/>
                <w:sz w:val="20"/>
                <w:szCs w:val="21"/>
              </w:rPr>
            </w:pPr>
            <w:r>
              <w:rPr>
                <w:rFonts w:hint="eastAsia" w:asciiTheme="minorEastAsia" w:hAnsiTheme="minorEastAsia" w:eastAsiaTheme="minorEastAsia"/>
              </w:rPr>
              <w:t>投标文件相关信息的核查</w:t>
            </w:r>
          </w:p>
        </w:tc>
        <w:tc>
          <w:tcPr>
            <w:tcW w:w="3996" w:type="pct"/>
            <w:tcBorders>
              <w:top w:val="single" w:color="auto" w:sz="4" w:space="0"/>
              <w:left w:val="single" w:color="auto" w:sz="4" w:space="0"/>
              <w:bottom w:val="single" w:color="auto" w:sz="4" w:space="0"/>
              <w:right w:val="single" w:color="auto" w:sz="4" w:space="0"/>
            </w:tcBorders>
            <w:vAlign w:val="center"/>
          </w:tcPr>
          <w:p w14:paraId="1B2F27E6">
            <w:pPr>
              <w:adjustRightInd w:val="0"/>
              <w:snapToGrid w:val="0"/>
              <w:spacing w:line="276" w:lineRule="auto"/>
              <w:rPr>
                <w:rFonts w:hint="eastAsia" w:asciiTheme="minorEastAsia" w:hAnsiTheme="minorEastAsia" w:eastAsiaTheme="minorEastAsia"/>
              </w:rPr>
            </w:pPr>
            <w:r>
              <w:rPr>
                <w:rFonts w:hint="eastAsia" w:asciiTheme="minorEastAsia" w:hAnsiTheme="minorEastAsia" w:eastAsiaTheme="minorEastAsia"/>
              </w:rPr>
              <w:t>在评标过程中，评标委员会应对以下信息进行查询：</w:t>
            </w:r>
          </w:p>
          <w:p w14:paraId="7B1A64A3">
            <w:pPr>
              <w:spacing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（1）</w:t>
            </w:r>
            <w:r>
              <w:rPr>
                <w:rFonts w:hint="eastAsia" w:asciiTheme="minorEastAsia" w:hAnsiTheme="minorEastAsia" w:eastAsiaTheme="minorEastAsia"/>
                <w:szCs w:val="21"/>
              </w:rPr>
              <w:t>投标人名称和资质与“</w:t>
            </w:r>
            <w:r>
              <w:rPr>
                <w:szCs w:val="21"/>
              </w:rPr>
              <w:t>全国公路建设市场监督管理系统</w:t>
            </w:r>
            <w:r>
              <w:rPr>
                <w:rFonts w:hint="eastAsia" w:asciiTheme="minorEastAsia" w:hAnsiTheme="minorEastAsia" w:eastAsiaTheme="minorEastAsia"/>
                <w:szCs w:val="21"/>
              </w:rPr>
              <w:t>（</w:t>
            </w:r>
            <w:r>
              <w:rPr>
                <w:rFonts w:hint="eastAsia" w:ascii="宋体" w:hAnsi="宋体"/>
              </w:rPr>
              <w:t>https://hwdms.mot.gov.cn/BMWebSite/</w:t>
            </w:r>
            <w:r>
              <w:rPr>
                <w:rFonts w:hint="eastAsia" w:asciiTheme="minorEastAsia" w:hAnsiTheme="minorEastAsia" w:eastAsiaTheme="minorEastAsia"/>
                <w:szCs w:val="21"/>
              </w:rPr>
              <w:t>）”的复核结果一致，并满足招标文件要求；</w:t>
            </w:r>
          </w:p>
          <w:p w14:paraId="3E93C95C">
            <w:pPr>
              <w:spacing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（2）</w:t>
            </w:r>
            <w:r>
              <w:rPr>
                <w:rFonts w:hint="eastAsia" w:asciiTheme="minorEastAsia" w:hAnsiTheme="minorEastAsia" w:eastAsiaTheme="minorEastAsia"/>
                <w:szCs w:val="21"/>
              </w:rPr>
              <w:t>投标人的类似项目业绩符合招标文件规定，所附相关项目详细信息网页截图扫描件与“</w:t>
            </w:r>
            <w:r>
              <w:rPr>
                <w:szCs w:val="21"/>
              </w:rPr>
              <w:t>全国公路建设市场监督管理系统</w:t>
            </w:r>
            <w:r>
              <w:rPr>
                <w:rFonts w:hint="eastAsia" w:asciiTheme="minorEastAsia" w:hAnsiTheme="minorEastAsia" w:eastAsiaTheme="minorEastAsia"/>
                <w:szCs w:val="21"/>
              </w:rPr>
              <w:t>（</w:t>
            </w:r>
            <w:r>
              <w:rPr>
                <w:rFonts w:hint="eastAsia" w:ascii="宋体" w:hAnsi="宋体"/>
              </w:rPr>
              <w:t>https://hwdms.mot.gov.cn/BMWebSite/</w:t>
            </w:r>
            <w:r>
              <w:rPr>
                <w:rFonts w:hint="eastAsia" w:asciiTheme="minorEastAsia" w:hAnsiTheme="minorEastAsia" w:eastAsiaTheme="minorEastAsia"/>
                <w:szCs w:val="21"/>
              </w:rPr>
              <w:t>）”的复核结果一致，并满足招标文件要求；</w:t>
            </w:r>
          </w:p>
          <w:p w14:paraId="1CA3212B">
            <w:pPr>
              <w:wordWrap w:val="0"/>
              <w:spacing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（3）</w:t>
            </w:r>
            <w:r>
              <w:rPr>
                <w:rFonts w:hint="eastAsia" w:asciiTheme="minorEastAsia" w:hAnsiTheme="minorEastAsia" w:eastAsiaTheme="minorEastAsia"/>
                <w:szCs w:val="21"/>
              </w:rPr>
              <w:t>所附总监理工程师</w:t>
            </w:r>
            <w:r>
              <w:rPr>
                <w:szCs w:val="21"/>
              </w:rPr>
              <w:t>岗位登记信息（执业资格、履历信息等）</w:t>
            </w:r>
            <w:r>
              <w:rPr>
                <w:rFonts w:hint="eastAsia"/>
                <w:szCs w:val="21"/>
              </w:rPr>
              <w:t>和</w:t>
            </w:r>
            <w:r>
              <w:rPr>
                <w:rFonts w:hint="eastAsia" w:asciiTheme="minorEastAsia" w:hAnsiTheme="minorEastAsia" w:eastAsiaTheme="minorEastAsia"/>
                <w:szCs w:val="21"/>
              </w:rPr>
              <w:t>业绩的网页截图扫描件与“</w:t>
            </w:r>
            <w:r>
              <w:rPr>
                <w:szCs w:val="21"/>
              </w:rPr>
              <w:t>全国公路建设市场监督管理系统</w:t>
            </w:r>
            <w:r>
              <w:rPr>
                <w:rFonts w:hint="eastAsia" w:asciiTheme="minorEastAsia" w:hAnsiTheme="minorEastAsia" w:eastAsiaTheme="minorEastAsia"/>
                <w:szCs w:val="21"/>
              </w:rPr>
              <w:t>（</w:t>
            </w:r>
            <w:r>
              <w:rPr>
                <w:rFonts w:hint="eastAsia" w:ascii="宋体" w:hAnsi="宋体"/>
              </w:rPr>
              <w:t>https://hwdms.mot.gov.cn/BMWebSite/</w:t>
            </w:r>
            <w:r>
              <w:rPr>
                <w:rFonts w:hint="eastAsia" w:asciiTheme="minorEastAsia" w:hAnsiTheme="minorEastAsia" w:eastAsiaTheme="minorEastAsia"/>
                <w:szCs w:val="21"/>
              </w:rPr>
              <w:t>）”的复核结果一致，并满足招标文件要求；</w:t>
            </w:r>
          </w:p>
          <w:p w14:paraId="568CC15E">
            <w:pPr>
              <w:wordWrap w:val="0"/>
              <w:spacing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（4）评标委员会评标时在“国家企业信用信息公示系统（http://www.gsxt.gov.cn/)”对投标人的信用情况进行查询，若投标人存在被列入“严重违法失信企业名单”情形的（不含分公司），评标委员会应否决其投标。</w:t>
            </w:r>
          </w:p>
          <w:p w14:paraId="70E32483">
            <w:pPr>
              <w:wordWrap w:val="0"/>
              <w:spacing w:line="27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在“信用中国网站（http://www.creditchina.gov.cn/)”对投标人的信用情况进行查询，若投标人存在被列入“失信被执行人、经营异常名录、重大税收违法失信主体、政府采购严重违法失信行为记录名单和安全生产严重失信主体名单”情形的（均不含分公司），评标委员会应否决其投标。</w:t>
            </w:r>
          </w:p>
          <w:p w14:paraId="5C28F189">
            <w:pPr>
              <w:wordWrap w:val="0"/>
              <w:spacing w:line="276" w:lineRule="auto"/>
              <w:ind w:right="113" w:firstLine="420" w:firstLineChars="200"/>
              <w:textAlignment w:val="baseline"/>
              <w:rPr>
                <w:rFonts w:hint="eastAsia" w:asciiTheme="minorEastAsia" w:hAnsiTheme="minorEastAsia" w:eastAsiaTheme="minorEastAsia"/>
                <w:szCs w:val="21"/>
              </w:rPr>
            </w:pPr>
            <w:r>
              <w:rPr>
                <w:rFonts w:hint="eastAsia" w:ascii="宋体" w:hAnsi="宋体"/>
                <w:szCs w:val="21"/>
              </w:rPr>
              <w:t>前述（1）、（2）、（3）、（</w:t>
            </w:r>
            <w:r>
              <w:rPr>
                <w:rFonts w:ascii="宋体" w:hAnsi="宋体"/>
                <w:szCs w:val="21"/>
              </w:rPr>
              <w:t>4</w:t>
            </w:r>
            <w:r>
              <w:rPr>
                <w:rFonts w:hint="eastAsia" w:ascii="宋体" w:hAnsi="宋体"/>
                <w:szCs w:val="21"/>
              </w:rPr>
              <w:t>）项如投标人未提供相关网页截图或所附截图与复核结果不一致</w:t>
            </w:r>
            <w:r>
              <w:rPr>
                <w:rFonts w:hint="eastAsia"/>
              </w:rPr>
              <w:t>导致其不满足资格条件</w:t>
            </w:r>
            <w:r>
              <w:rPr>
                <w:rFonts w:hint="eastAsia" w:ascii="宋体" w:hAnsi="宋体"/>
                <w:szCs w:val="21"/>
              </w:rPr>
              <w:t>，评标委员会应按照其不满足资格条件否决其投</w:t>
            </w:r>
            <w:r>
              <w:rPr>
                <w:rFonts w:hint="eastAsia" w:asciiTheme="minorEastAsia" w:hAnsiTheme="minorEastAsia" w:eastAsiaTheme="minorEastAsia"/>
                <w:szCs w:val="21"/>
              </w:rPr>
              <w:t>标。</w:t>
            </w:r>
          </w:p>
          <w:p w14:paraId="00231842">
            <w:pPr>
              <w:wordWrap w:val="0"/>
              <w:spacing w:line="276" w:lineRule="auto"/>
              <w:ind w:right="113" w:firstLine="420" w:firstLineChars="200"/>
              <w:textAlignment w:val="baseline"/>
              <w:rPr>
                <w:rFonts w:hint="eastAsia" w:asciiTheme="minorEastAsia" w:hAnsiTheme="minorEastAsia" w:eastAsiaTheme="minorEastAsia"/>
                <w:szCs w:val="21"/>
              </w:rPr>
            </w:pPr>
            <w:r>
              <w:rPr>
                <w:rFonts w:hint="eastAsia" w:asciiTheme="minorEastAsia" w:hAnsiTheme="minorEastAsia" w:eastAsiaTheme="minorEastAsia"/>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54FCAEF9">
            <w:pPr>
              <w:wordWrap w:val="0"/>
              <w:spacing w:line="276" w:lineRule="auto"/>
              <w:ind w:right="113" w:firstLine="420" w:firstLineChars="200"/>
              <w:textAlignment w:val="baseline"/>
              <w:rPr>
                <w:rFonts w:hint="eastAsia" w:asciiTheme="minorEastAsia" w:hAnsiTheme="minorEastAsia" w:eastAsiaTheme="minorEastAsia"/>
                <w:sz w:val="20"/>
                <w:szCs w:val="21"/>
              </w:rPr>
            </w:pPr>
            <w:r>
              <w:rPr>
                <w:rFonts w:hint="eastAsia" w:asciiTheme="minorEastAsia" w:hAnsiTheme="minorEastAsia" w:eastAsiaTheme="minorEastAsia"/>
                <w:szCs w:val="21"/>
              </w:rPr>
              <w:t>（5）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bl>
    <w:p w14:paraId="48344E92">
      <w:pPr>
        <w:pStyle w:val="3"/>
        <w:rPr>
          <w:rFonts w:hint="eastAsia"/>
        </w:rPr>
      </w:pPr>
    </w:p>
    <w:p w14:paraId="19B71CCB">
      <w:pPr>
        <w:pStyle w:val="3"/>
        <w:rPr>
          <w:rFonts w:hint="eastAsia"/>
        </w:rPr>
      </w:pPr>
      <w:r>
        <w:br w:type="page"/>
      </w:r>
    </w:p>
    <w:p w14:paraId="20D864D9">
      <w:pPr>
        <w:pStyle w:val="4"/>
        <w:spacing w:line="360" w:lineRule="auto"/>
        <w:ind w:firstLine="482"/>
        <w:rPr>
          <w:rFonts w:hint="eastAsia" w:asciiTheme="minorEastAsia" w:hAnsiTheme="minorEastAsia"/>
          <w:b/>
        </w:rPr>
      </w:pPr>
      <w:r>
        <w:rPr>
          <w:rFonts w:hint="eastAsia" w:asciiTheme="minorEastAsia" w:hAnsiTheme="minorEastAsia"/>
          <w:sz w:val="24"/>
        </w:rPr>
        <w:t>具体评分标准如下：</w:t>
      </w:r>
    </w:p>
    <w:tbl>
      <w:tblPr>
        <w:tblStyle w:val="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0"/>
        <w:gridCol w:w="923"/>
        <w:gridCol w:w="851"/>
        <w:gridCol w:w="709"/>
        <w:gridCol w:w="1559"/>
        <w:gridCol w:w="4245"/>
      </w:tblGrid>
      <w:tr w14:paraId="0919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3964" w:type="dxa"/>
            <w:gridSpan w:val="5"/>
            <w:tcBorders>
              <w:top w:val="single" w:color="auto" w:sz="4" w:space="0"/>
              <w:left w:val="single" w:color="auto" w:sz="4" w:space="0"/>
              <w:bottom w:val="single" w:color="auto" w:sz="4" w:space="0"/>
              <w:right w:val="single" w:color="auto" w:sz="4" w:space="0"/>
            </w:tcBorders>
            <w:vAlign w:val="center"/>
          </w:tcPr>
          <w:p w14:paraId="28A1AF27">
            <w:pPr>
              <w:pStyle w:val="4"/>
              <w:spacing w:line="276" w:lineRule="auto"/>
              <w:jc w:val="center"/>
              <w:textAlignment w:val="baseline"/>
              <w:rPr>
                <w:rFonts w:hint="eastAsia" w:asciiTheme="minorEastAsia" w:hAnsiTheme="minorEastAsia"/>
                <w:szCs w:val="20"/>
              </w:rPr>
            </w:pPr>
            <w:r>
              <w:rPr>
                <w:rFonts w:hint="eastAsia" w:asciiTheme="minorEastAsia" w:hAnsiTheme="minorEastAsia"/>
              </w:rPr>
              <w:t>评分因素与权重分值</w:t>
            </w:r>
          </w:p>
        </w:tc>
        <w:tc>
          <w:tcPr>
            <w:tcW w:w="5804" w:type="dxa"/>
            <w:gridSpan w:val="2"/>
            <w:vMerge w:val="restart"/>
            <w:tcBorders>
              <w:top w:val="single" w:color="auto" w:sz="4" w:space="0"/>
              <w:left w:val="single" w:color="auto" w:sz="4" w:space="0"/>
              <w:bottom w:val="single" w:color="auto" w:sz="4" w:space="0"/>
              <w:right w:val="single" w:color="auto" w:sz="4" w:space="0"/>
            </w:tcBorders>
            <w:vAlign w:val="center"/>
          </w:tcPr>
          <w:p w14:paraId="5DC9283C">
            <w:pPr>
              <w:pStyle w:val="4"/>
              <w:spacing w:line="276" w:lineRule="auto"/>
              <w:jc w:val="center"/>
              <w:textAlignment w:val="baseline"/>
              <w:rPr>
                <w:rFonts w:hint="eastAsia" w:asciiTheme="minorEastAsia" w:hAnsiTheme="minorEastAsia"/>
              </w:rPr>
            </w:pPr>
            <w:r>
              <w:rPr>
                <w:rFonts w:hint="eastAsia" w:asciiTheme="minorEastAsia" w:hAnsiTheme="minorEastAsia"/>
              </w:rPr>
              <w:t>评分标准</w:t>
            </w:r>
          </w:p>
        </w:tc>
      </w:tr>
      <w:tr w14:paraId="6F7E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14:paraId="2DAD5F6E">
            <w:pPr>
              <w:pStyle w:val="4"/>
              <w:spacing w:line="276" w:lineRule="auto"/>
              <w:jc w:val="center"/>
              <w:textAlignment w:val="baseline"/>
              <w:rPr>
                <w:rFonts w:hint="eastAsia" w:asciiTheme="minorEastAsia" w:hAnsiTheme="minorEastAsia"/>
              </w:rPr>
            </w:pPr>
            <w:r>
              <w:rPr>
                <w:rFonts w:hint="eastAsia" w:asciiTheme="minorEastAsia" w:hAnsiTheme="minorEastAsia"/>
              </w:rPr>
              <w:t>条款号</w:t>
            </w:r>
          </w:p>
        </w:tc>
        <w:tc>
          <w:tcPr>
            <w:tcW w:w="740" w:type="dxa"/>
            <w:tcBorders>
              <w:top w:val="single" w:color="auto" w:sz="4" w:space="0"/>
              <w:left w:val="single" w:color="auto" w:sz="4" w:space="0"/>
              <w:bottom w:val="single" w:color="auto" w:sz="4" w:space="0"/>
              <w:right w:val="single" w:color="auto" w:sz="4" w:space="0"/>
            </w:tcBorders>
            <w:vAlign w:val="center"/>
          </w:tcPr>
          <w:p w14:paraId="6F32D6C6">
            <w:pPr>
              <w:pStyle w:val="4"/>
              <w:spacing w:line="276" w:lineRule="auto"/>
              <w:jc w:val="center"/>
              <w:textAlignment w:val="baseline"/>
              <w:rPr>
                <w:rFonts w:hint="eastAsia" w:asciiTheme="minorEastAsia" w:hAnsiTheme="minorEastAsia"/>
              </w:rPr>
            </w:pPr>
            <w:r>
              <w:rPr>
                <w:rFonts w:hint="eastAsia" w:asciiTheme="minorEastAsia" w:hAnsiTheme="minorEastAsia"/>
              </w:rPr>
              <w:t>评分因素</w:t>
            </w:r>
          </w:p>
        </w:tc>
        <w:tc>
          <w:tcPr>
            <w:tcW w:w="923" w:type="dxa"/>
            <w:tcBorders>
              <w:top w:val="single" w:color="auto" w:sz="4" w:space="0"/>
              <w:left w:val="single" w:color="auto" w:sz="4" w:space="0"/>
              <w:bottom w:val="single" w:color="auto" w:sz="4" w:space="0"/>
              <w:right w:val="single" w:color="auto" w:sz="4" w:space="0"/>
            </w:tcBorders>
            <w:vAlign w:val="center"/>
          </w:tcPr>
          <w:p w14:paraId="0C6665A4">
            <w:pPr>
              <w:pStyle w:val="4"/>
              <w:spacing w:line="276" w:lineRule="auto"/>
              <w:ind w:left="-40" w:leftChars="-19" w:firstLine="422"/>
              <w:jc w:val="center"/>
              <w:textAlignment w:val="baseline"/>
              <w:rPr>
                <w:rFonts w:hint="eastAsia" w:asciiTheme="minorEastAsia" w:hAnsiTheme="minorEastAsia"/>
              </w:rPr>
            </w:pPr>
            <w:r>
              <w:rPr>
                <w:rFonts w:hint="eastAsia" w:asciiTheme="minorEastAsia" w:hAnsiTheme="minorEastAsia"/>
              </w:rPr>
              <w:t>评分因素权重分值</w:t>
            </w:r>
          </w:p>
        </w:tc>
        <w:tc>
          <w:tcPr>
            <w:tcW w:w="851" w:type="dxa"/>
            <w:tcBorders>
              <w:top w:val="single" w:color="auto" w:sz="4" w:space="0"/>
              <w:left w:val="single" w:color="auto" w:sz="4" w:space="0"/>
              <w:bottom w:val="single" w:color="auto" w:sz="4" w:space="0"/>
              <w:right w:val="single" w:color="auto" w:sz="4" w:space="0"/>
            </w:tcBorders>
            <w:vAlign w:val="center"/>
          </w:tcPr>
          <w:p w14:paraId="4F55F3DB">
            <w:pPr>
              <w:pStyle w:val="4"/>
              <w:spacing w:line="276" w:lineRule="auto"/>
              <w:jc w:val="center"/>
              <w:textAlignment w:val="baseline"/>
              <w:rPr>
                <w:rFonts w:hint="eastAsia" w:asciiTheme="minorEastAsia" w:hAnsiTheme="minorEastAsia"/>
              </w:rPr>
            </w:pPr>
            <w:r>
              <w:rPr>
                <w:rStyle w:val="9"/>
                <w:rFonts w:hint="default" w:asciiTheme="minorEastAsia" w:hAnsiTheme="minorEastAsia" w:eastAsiaTheme="minorEastAsia"/>
                <w:color w:val="auto"/>
              </w:rPr>
              <w:t>各评分因素细分项</w:t>
            </w:r>
          </w:p>
        </w:tc>
        <w:tc>
          <w:tcPr>
            <w:tcW w:w="709" w:type="dxa"/>
            <w:tcBorders>
              <w:top w:val="single" w:color="auto" w:sz="4" w:space="0"/>
              <w:left w:val="single" w:color="auto" w:sz="4" w:space="0"/>
              <w:bottom w:val="single" w:color="auto" w:sz="4" w:space="0"/>
              <w:right w:val="single" w:color="auto" w:sz="4" w:space="0"/>
            </w:tcBorders>
            <w:vAlign w:val="center"/>
          </w:tcPr>
          <w:p w14:paraId="2F790A00">
            <w:pPr>
              <w:pStyle w:val="4"/>
              <w:spacing w:line="276" w:lineRule="auto"/>
              <w:jc w:val="center"/>
              <w:textAlignment w:val="baseline"/>
              <w:rPr>
                <w:rFonts w:hint="eastAsia" w:asciiTheme="minorEastAsia" w:hAnsiTheme="minorEastAsia"/>
              </w:rPr>
            </w:pPr>
            <w:r>
              <w:rPr>
                <w:rFonts w:hint="eastAsia" w:asciiTheme="minorEastAsia" w:hAnsiTheme="minorEastAsia"/>
              </w:rPr>
              <w:t>分值</w:t>
            </w:r>
          </w:p>
        </w:tc>
        <w:tc>
          <w:tcPr>
            <w:tcW w:w="5804" w:type="dxa"/>
            <w:gridSpan w:val="2"/>
            <w:vMerge w:val="continue"/>
            <w:tcBorders>
              <w:top w:val="single" w:color="auto" w:sz="4" w:space="0"/>
              <w:left w:val="single" w:color="auto" w:sz="4" w:space="0"/>
              <w:bottom w:val="single" w:color="auto" w:sz="4" w:space="0"/>
              <w:right w:val="single" w:color="auto" w:sz="4" w:space="0"/>
            </w:tcBorders>
            <w:vAlign w:val="center"/>
          </w:tcPr>
          <w:p w14:paraId="51817BFD">
            <w:pPr>
              <w:widowControl/>
              <w:spacing w:line="276" w:lineRule="auto"/>
              <w:jc w:val="left"/>
              <w:rPr>
                <w:rFonts w:hint="eastAsia" w:cs="Courier New" w:asciiTheme="minorEastAsia" w:hAnsiTheme="minorEastAsia" w:eastAsiaTheme="minorEastAsia"/>
                <w:szCs w:val="21"/>
              </w:rPr>
            </w:pPr>
          </w:p>
        </w:tc>
      </w:tr>
      <w:tr w14:paraId="312B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61E25776">
            <w:pPr>
              <w:pStyle w:val="4"/>
              <w:spacing w:line="276" w:lineRule="auto"/>
              <w:jc w:val="center"/>
              <w:textAlignment w:val="baseline"/>
              <w:rPr>
                <w:rFonts w:hint="eastAsia" w:asciiTheme="minorEastAsia" w:hAnsiTheme="minorEastAsia"/>
              </w:rPr>
            </w:pPr>
            <w:r>
              <w:rPr>
                <w:rFonts w:hint="eastAsia" w:asciiTheme="minorEastAsia" w:hAnsiTheme="minorEastAsia"/>
              </w:rPr>
              <w:t>2.2.4（1）</w:t>
            </w:r>
          </w:p>
        </w:tc>
        <w:tc>
          <w:tcPr>
            <w:tcW w:w="740" w:type="dxa"/>
            <w:vMerge w:val="restart"/>
            <w:tcBorders>
              <w:top w:val="single" w:color="auto" w:sz="4" w:space="0"/>
              <w:left w:val="single" w:color="auto" w:sz="4" w:space="0"/>
              <w:bottom w:val="single" w:color="auto" w:sz="4" w:space="0"/>
              <w:right w:val="single" w:color="auto" w:sz="4" w:space="0"/>
            </w:tcBorders>
            <w:vAlign w:val="center"/>
          </w:tcPr>
          <w:p w14:paraId="43423F48">
            <w:pPr>
              <w:pStyle w:val="4"/>
              <w:spacing w:line="276" w:lineRule="auto"/>
              <w:jc w:val="center"/>
              <w:textAlignment w:val="baseline"/>
              <w:rPr>
                <w:rFonts w:hint="eastAsia" w:asciiTheme="minorEastAsia" w:hAnsiTheme="minorEastAsia"/>
              </w:rPr>
            </w:pPr>
            <w:r>
              <w:rPr>
                <w:rFonts w:hint="eastAsia" w:asciiTheme="minorEastAsia" w:hAnsiTheme="minorEastAsia"/>
              </w:rPr>
              <w:t>技术建议书（暗标）</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5F8278D5">
            <w:pPr>
              <w:pStyle w:val="4"/>
              <w:spacing w:line="276" w:lineRule="auto"/>
              <w:jc w:val="center"/>
              <w:textAlignment w:val="baseline"/>
              <w:rPr>
                <w:rFonts w:hint="eastAsia" w:asciiTheme="minorEastAsia" w:hAnsiTheme="minorEastAsia"/>
              </w:rPr>
            </w:pPr>
            <w:r>
              <w:rPr>
                <w:rFonts w:hint="eastAsia" w:asciiTheme="minorEastAsia" w:hAnsiTheme="minorEastAsia"/>
              </w:rPr>
              <w:t>45分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B626EC1">
            <w:pPr>
              <w:pStyle w:val="4"/>
              <w:spacing w:line="276" w:lineRule="auto"/>
              <w:jc w:val="center"/>
              <w:textAlignment w:val="baseline"/>
              <w:rPr>
                <w:rFonts w:hint="eastAsia" w:asciiTheme="minorEastAsia" w:hAnsiTheme="minorEastAsia"/>
              </w:rPr>
            </w:pPr>
            <w:r>
              <w:rPr>
                <w:rFonts w:hint="eastAsia" w:asciiTheme="minorEastAsia" w:hAnsiTheme="minorEastAsia"/>
              </w:rPr>
              <w:t>监理大纲和措施</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A3FA0C0">
            <w:pPr>
              <w:pStyle w:val="4"/>
              <w:spacing w:line="276" w:lineRule="auto"/>
              <w:ind w:left="33" w:leftChars="-48" w:hanging="134" w:hangingChars="64"/>
              <w:jc w:val="center"/>
              <w:textAlignment w:val="baseline"/>
              <w:rPr>
                <w:rFonts w:hint="eastAsia" w:asciiTheme="minorEastAsia" w:hAnsiTheme="minorEastAsia"/>
              </w:rPr>
            </w:pPr>
            <w:r>
              <w:rPr>
                <w:rFonts w:hint="eastAsia" w:asciiTheme="minorEastAsia" w:hAnsiTheme="minorEastAsia"/>
              </w:rPr>
              <w:t>35分</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7606E041">
            <w:pPr>
              <w:pStyle w:val="4"/>
              <w:spacing w:line="276" w:lineRule="auto"/>
              <w:jc w:val="center"/>
              <w:textAlignment w:val="baseline"/>
              <w:rPr>
                <w:rFonts w:hint="eastAsia" w:asciiTheme="minorEastAsia" w:hAnsiTheme="minorEastAsia"/>
              </w:rPr>
            </w:pPr>
            <w:r>
              <w:rPr>
                <w:rFonts w:hint="eastAsia" w:asciiTheme="minorEastAsia" w:hAnsiTheme="minorEastAsia"/>
              </w:rPr>
              <w:t>对本招标项目监理工作范围和任务理解(10分)</w:t>
            </w:r>
          </w:p>
        </w:tc>
        <w:tc>
          <w:tcPr>
            <w:tcW w:w="4245" w:type="dxa"/>
            <w:tcBorders>
              <w:top w:val="single" w:color="auto" w:sz="4" w:space="0"/>
              <w:left w:val="single" w:color="auto" w:sz="4" w:space="0"/>
              <w:bottom w:val="single" w:color="auto" w:sz="4" w:space="0"/>
              <w:right w:val="single" w:color="auto" w:sz="4" w:space="0"/>
            </w:tcBorders>
            <w:vAlign w:val="center"/>
          </w:tcPr>
          <w:p w14:paraId="00D61D38">
            <w:pPr>
              <w:pStyle w:val="4"/>
              <w:spacing w:line="276" w:lineRule="auto"/>
              <w:jc w:val="left"/>
              <w:textAlignment w:val="baseline"/>
              <w:rPr>
                <w:rFonts w:hint="eastAsia" w:asciiTheme="minorEastAsia" w:hAnsiTheme="minorEastAsia"/>
              </w:rPr>
            </w:pPr>
            <w:r>
              <w:rPr>
                <w:rFonts w:hint="eastAsia" w:asciiTheme="minorEastAsia" w:hAnsiTheme="minorEastAsia"/>
              </w:rPr>
              <w:t>理解准确，思路清晰，全面、合理，符合项目要求，得8.0-10.0分；</w:t>
            </w:r>
          </w:p>
        </w:tc>
      </w:tr>
      <w:tr w14:paraId="1923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3B3D3B7">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54CE0C74">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7FC08ED6">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93499A3">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1F6B94A">
            <w:pPr>
              <w:widowControl/>
              <w:spacing w:line="276" w:lineRule="auto"/>
              <w:jc w:val="left"/>
              <w:rPr>
                <w:rFonts w:hint="eastAsia" w:cs="Courier New" w:asciiTheme="minorEastAsia" w:hAnsiTheme="minorEastAsia" w:eastAsiaTheme="minorEastAsia"/>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12F12C4">
            <w:pPr>
              <w:widowControl/>
              <w:spacing w:line="276" w:lineRule="auto"/>
              <w:jc w:val="left"/>
              <w:rPr>
                <w:rFonts w:hint="eastAsia" w:cs="Courier New" w:asciiTheme="minorEastAsia" w:hAnsiTheme="minorEastAsia" w:eastAsiaTheme="minorEastAsia"/>
                <w:szCs w:val="21"/>
              </w:rPr>
            </w:pPr>
          </w:p>
        </w:tc>
        <w:tc>
          <w:tcPr>
            <w:tcW w:w="4245" w:type="dxa"/>
            <w:tcBorders>
              <w:top w:val="single" w:color="auto" w:sz="4" w:space="0"/>
              <w:left w:val="single" w:color="auto" w:sz="4" w:space="0"/>
              <w:bottom w:val="single" w:color="auto" w:sz="4" w:space="0"/>
              <w:right w:val="single" w:color="auto" w:sz="4" w:space="0"/>
            </w:tcBorders>
            <w:vAlign w:val="center"/>
          </w:tcPr>
          <w:p w14:paraId="45EFBC99">
            <w:pPr>
              <w:pStyle w:val="4"/>
              <w:spacing w:line="276" w:lineRule="auto"/>
              <w:jc w:val="left"/>
              <w:textAlignment w:val="baseline"/>
              <w:rPr>
                <w:rFonts w:hint="eastAsia" w:asciiTheme="minorEastAsia" w:hAnsiTheme="minorEastAsia"/>
              </w:rPr>
            </w:pPr>
            <w:r>
              <w:rPr>
                <w:rFonts w:hint="eastAsia" w:asciiTheme="minorEastAsia" w:hAnsiTheme="minorEastAsia"/>
              </w:rPr>
              <w:t>理解较准确，思路较清晰，得6.0-8.0分</w:t>
            </w:r>
          </w:p>
        </w:tc>
      </w:tr>
      <w:tr w14:paraId="51AD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72A13CE9">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2EAAB161">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65639E18">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9B4DFFA">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B014AD1">
            <w:pPr>
              <w:widowControl/>
              <w:spacing w:line="276" w:lineRule="auto"/>
              <w:jc w:val="left"/>
              <w:rPr>
                <w:rFonts w:hint="eastAsia" w:cs="Courier New" w:asciiTheme="minorEastAsia" w:hAnsiTheme="minorEastAsia" w:eastAsiaTheme="minorEastAsia"/>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BA01B54">
            <w:pPr>
              <w:widowControl/>
              <w:spacing w:line="276" w:lineRule="auto"/>
              <w:jc w:val="left"/>
              <w:rPr>
                <w:rFonts w:hint="eastAsia" w:cs="Courier New" w:asciiTheme="minorEastAsia" w:hAnsiTheme="minorEastAsia" w:eastAsiaTheme="minorEastAsia"/>
                <w:szCs w:val="21"/>
              </w:rPr>
            </w:pPr>
          </w:p>
        </w:tc>
        <w:tc>
          <w:tcPr>
            <w:tcW w:w="4245" w:type="dxa"/>
            <w:tcBorders>
              <w:top w:val="single" w:color="auto" w:sz="4" w:space="0"/>
              <w:left w:val="single" w:color="auto" w:sz="4" w:space="0"/>
              <w:bottom w:val="single" w:color="auto" w:sz="4" w:space="0"/>
              <w:right w:val="single" w:color="auto" w:sz="4" w:space="0"/>
            </w:tcBorders>
            <w:vAlign w:val="center"/>
          </w:tcPr>
          <w:p w14:paraId="38453278">
            <w:pPr>
              <w:pStyle w:val="4"/>
              <w:spacing w:line="276" w:lineRule="auto"/>
              <w:jc w:val="left"/>
              <w:textAlignment w:val="baseline"/>
              <w:rPr>
                <w:rFonts w:hint="eastAsia" w:asciiTheme="minorEastAsia" w:hAnsiTheme="minorEastAsia"/>
              </w:rPr>
            </w:pPr>
            <w:r>
              <w:rPr>
                <w:rFonts w:hint="eastAsia" w:asciiTheme="minorEastAsia" w:hAnsiTheme="minorEastAsia"/>
              </w:rPr>
              <w:t>理解基本准确，得6.0分</w:t>
            </w:r>
          </w:p>
        </w:tc>
      </w:tr>
      <w:tr w14:paraId="00B5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88F5522">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DC1AD80">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1A29F187">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56237C58">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A660D91">
            <w:pPr>
              <w:widowControl/>
              <w:spacing w:line="276" w:lineRule="auto"/>
              <w:jc w:val="left"/>
              <w:rPr>
                <w:rFonts w:hint="eastAsia" w:cs="Courier New" w:asciiTheme="minorEastAsia" w:hAnsiTheme="minorEastAsia" w:eastAsiaTheme="minorEastAsia"/>
                <w:szCs w:val="21"/>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8234619">
            <w:pPr>
              <w:pStyle w:val="4"/>
              <w:spacing w:line="276" w:lineRule="auto"/>
              <w:jc w:val="center"/>
              <w:textAlignment w:val="baseline"/>
              <w:rPr>
                <w:rFonts w:hint="eastAsia" w:asciiTheme="minorEastAsia" w:hAnsiTheme="minorEastAsia"/>
              </w:rPr>
            </w:pPr>
            <w:r>
              <w:rPr>
                <w:rFonts w:hint="eastAsia" w:asciiTheme="minorEastAsia" w:hAnsiTheme="minorEastAsia"/>
              </w:rPr>
              <w:t>监理方案及措施</w:t>
            </w:r>
          </w:p>
          <w:p w14:paraId="6C44FF6D">
            <w:pPr>
              <w:pStyle w:val="4"/>
              <w:spacing w:line="276" w:lineRule="auto"/>
              <w:jc w:val="center"/>
              <w:textAlignment w:val="baseline"/>
              <w:rPr>
                <w:rFonts w:hint="eastAsia" w:asciiTheme="minorEastAsia" w:hAnsiTheme="minorEastAsia"/>
              </w:rPr>
            </w:pPr>
            <w:r>
              <w:rPr>
                <w:rFonts w:hint="eastAsia" w:asciiTheme="minorEastAsia" w:hAnsiTheme="minorEastAsia"/>
              </w:rPr>
              <w:t>（15分）</w:t>
            </w:r>
          </w:p>
        </w:tc>
        <w:tc>
          <w:tcPr>
            <w:tcW w:w="4245" w:type="dxa"/>
            <w:tcBorders>
              <w:top w:val="single" w:color="auto" w:sz="4" w:space="0"/>
              <w:left w:val="single" w:color="auto" w:sz="4" w:space="0"/>
              <w:bottom w:val="single" w:color="auto" w:sz="4" w:space="0"/>
              <w:right w:val="single" w:color="auto" w:sz="4" w:space="0"/>
            </w:tcBorders>
            <w:vAlign w:val="center"/>
          </w:tcPr>
          <w:p w14:paraId="2E07EA57">
            <w:pPr>
              <w:pStyle w:val="4"/>
              <w:spacing w:line="276" w:lineRule="auto"/>
              <w:jc w:val="left"/>
              <w:textAlignment w:val="baseline"/>
              <w:rPr>
                <w:rFonts w:hint="eastAsia" w:asciiTheme="minorEastAsia" w:hAnsiTheme="minorEastAsia"/>
              </w:rPr>
            </w:pPr>
            <w:r>
              <w:rPr>
                <w:rFonts w:hint="eastAsia" w:asciiTheme="minorEastAsia" w:hAnsiTheme="minorEastAsia"/>
              </w:rPr>
              <w:t>方案详尽，措施具体全面合理，可行性强，得12.0-15.0分</w:t>
            </w:r>
          </w:p>
        </w:tc>
      </w:tr>
      <w:tr w14:paraId="2EB7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5BA929AC">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03B09C42">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296736B7">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7AAE0CB">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17ED589">
            <w:pPr>
              <w:widowControl/>
              <w:spacing w:line="276" w:lineRule="auto"/>
              <w:jc w:val="left"/>
              <w:rPr>
                <w:rFonts w:hint="eastAsia" w:cs="Courier New" w:asciiTheme="minorEastAsia" w:hAnsiTheme="minorEastAsia" w:eastAsiaTheme="minorEastAsia"/>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9D2EA79">
            <w:pPr>
              <w:widowControl/>
              <w:spacing w:line="276" w:lineRule="auto"/>
              <w:jc w:val="left"/>
              <w:rPr>
                <w:rFonts w:hint="eastAsia" w:cs="Courier New" w:asciiTheme="minorEastAsia" w:hAnsiTheme="minorEastAsia" w:eastAsiaTheme="minorEastAsia"/>
                <w:szCs w:val="21"/>
              </w:rPr>
            </w:pPr>
          </w:p>
        </w:tc>
        <w:tc>
          <w:tcPr>
            <w:tcW w:w="4245" w:type="dxa"/>
            <w:tcBorders>
              <w:top w:val="single" w:color="auto" w:sz="4" w:space="0"/>
              <w:left w:val="single" w:color="auto" w:sz="4" w:space="0"/>
              <w:bottom w:val="single" w:color="auto" w:sz="4" w:space="0"/>
              <w:right w:val="single" w:color="auto" w:sz="4" w:space="0"/>
            </w:tcBorders>
            <w:vAlign w:val="center"/>
          </w:tcPr>
          <w:p w14:paraId="1B79E79F">
            <w:pPr>
              <w:pStyle w:val="4"/>
              <w:spacing w:line="276" w:lineRule="auto"/>
              <w:jc w:val="left"/>
              <w:textAlignment w:val="baseline"/>
              <w:rPr>
                <w:rFonts w:hint="eastAsia" w:asciiTheme="minorEastAsia" w:hAnsiTheme="minorEastAsia"/>
              </w:rPr>
            </w:pPr>
            <w:r>
              <w:rPr>
                <w:rFonts w:hint="eastAsia" w:asciiTheme="minorEastAsia" w:hAnsiTheme="minorEastAsia"/>
              </w:rPr>
              <w:t>方案较详尽，措施合理，可行性较好，得9.0-12.0分</w:t>
            </w:r>
          </w:p>
        </w:tc>
      </w:tr>
      <w:tr w14:paraId="2C46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EC5FE69">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CBDD491">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39909106">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A185E8E">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3F06373">
            <w:pPr>
              <w:widowControl/>
              <w:spacing w:line="276" w:lineRule="auto"/>
              <w:jc w:val="left"/>
              <w:rPr>
                <w:rFonts w:hint="eastAsia" w:cs="Courier New" w:asciiTheme="minorEastAsia" w:hAnsiTheme="minorEastAsia" w:eastAsiaTheme="minorEastAsia"/>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82401FB">
            <w:pPr>
              <w:widowControl/>
              <w:spacing w:line="276" w:lineRule="auto"/>
              <w:jc w:val="left"/>
              <w:rPr>
                <w:rFonts w:hint="eastAsia" w:cs="Courier New" w:asciiTheme="minorEastAsia" w:hAnsiTheme="minorEastAsia" w:eastAsiaTheme="minorEastAsia"/>
                <w:szCs w:val="21"/>
              </w:rPr>
            </w:pPr>
          </w:p>
        </w:tc>
        <w:tc>
          <w:tcPr>
            <w:tcW w:w="4245" w:type="dxa"/>
            <w:tcBorders>
              <w:top w:val="single" w:color="auto" w:sz="4" w:space="0"/>
              <w:left w:val="single" w:color="auto" w:sz="4" w:space="0"/>
              <w:bottom w:val="single" w:color="auto" w:sz="4" w:space="0"/>
              <w:right w:val="single" w:color="auto" w:sz="4" w:space="0"/>
            </w:tcBorders>
            <w:vAlign w:val="center"/>
          </w:tcPr>
          <w:p w14:paraId="686CAD6F">
            <w:pPr>
              <w:pStyle w:val="4"/>
              <w:spacing w:line="276" w:lineRule="auto"/>
              <w:jc w:val="left"/>
              <w:textAlignment w:val="baseline"/>
              <w:rPr>
                <w:rFonts w:hint="eastAsia" w:asciiTheme="minorEastAsia" w:hAnsiTheme="minorEastAsia"/>
              </w:rPr>
            </w:pPr>
            <w:r>
              <w:rPr>
                <w:rFonts w:hint="eastAsia" w:asciiTheme="minorEastAsia" w:hAnsiTheme="minorEastAsia"/>
              </w:rPr>
              <w:t>方案一般，措施基本全面，可行性一般，得9.0分</w:t>
            </w:r>
          </w:p>
        </w:tc>
      </w:tr>
      <w:tr w14:paraId="45F0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22A26DE5">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4C5EB74B">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68AA8E90">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22C0DBD">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F180D4A">
            <w:pPr>
              <w:widowControl/>
              <w:spacing w:line="276" w:lineRule="auto"/>
              <w:jc w:val="left"/>
              <w:rPr>
                <w:rFonts w:hint="eastAsia" w:cs="Courier New" w:asciiTheme="minorEastAsia" w:hAnsiTheme="minorEastAsia" w:eastAsiaTheme="minorEastAsia"/>
                <w:szCs w:val="21"/>
              </w:rPr>
            </w:pP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78C28CA6">
            <w:pPr>
              <w:pStyle w:val="4"/>
              <w:spacing w:line="276" w:lineRule="auto"/>
              <w:jc w:val="center"/>
              <w:textAlignment w:val="baseline"/>
              <w:rPr>
                <w:rFonts w:hint="eastAsia" w:asciiTheme="minorEastAsia" w:hAnsiTheme="minorEastAsia"/>
              </w:rPr>
            </w:pPr>
            <w:r>
              <w:rPr>
                <w:rFonts w:hint="eastAsia" w:asciiTheme="minorEastAsia" w:hAnsiTheme="minorEastAsia"/>
              </w:rPr>
              <w:t>监理工</w:t>
            </w:r>
          </w:p>
          <w:p w14:paraId="5A9AA20E">
            <w:pPr>
              <w:pStyle w:val="4"/>
              <w:spacing w:line="276" w:lineRule="auto"/>
              <w:jc w:val="center"/>
              <w:textAlignment w:val="baseline"/>
              <w:rPr>
                <w:rFonts w:hint="eastAsia" w:asciiTheme="minorEastAsia" w:hAnsiTheme="minorEastAsia"/>
              </w:rPr>
            </w:pPr>
            <w:r>
              <w:rPr>
                <w:rFonts w:hint="eastAsia" w:asciiTheme="minorEastAsia" w:hAnsiTheme="minorEastAsia"/>
              </w:rPr>
              <w:t>作程序</w:t>
            </w:r>
          </w:p>
          <w:p w14:paraId="7947E6B2">
            <w:pPr>
              <w:pStyle w:val="4"/>
              <w:spacing w:line="276" w:lineRule="auto"/>
              <w:jc w:val="center"/>
              <w:textAlignment w:val="baseline"/>
              <w:rPr>
                <w:rFonts w:hint="eastAsia" w:asciiTheme="minorEastAsia" w:hAnsiTheme="minorEastAsia"/>
              </w:rPr>
            </w:pPr>
            <w:r>
              <w:rPr>
                <w:rFonts w:hint="eastAsia" w:asciiTheme="minorEastAsia" w:hAnsiTheme="minorEastAsia"/>
              </w:rPr>
              <w:t>(10分)</w:t>
            </w:r>
          </w:p>
        </w:tc>
        <w:tc>
          <w:tcPr>
            <w:tcW w:w="4245" w:type="dxa"/>
            <w:tcBorders>
              <w:top w:val="single" w:color="auto" w:sz="4" w:space="0"/>
              <w:left w:val="single" w:color="auto" w:sz="4" w:space="0"/>
              <w:bottom w:val="single" w:color="auto" w:sz="4" w:space="0"/>
              <w:right w:val="single" w:color="auto" w:sz="4" w:space="0"/>
            </w:tcBorders>
            <w:vAlign w:val="center"/>
          </w:tcPr>
          <w:p w14:paraId="566A4548">
            <w:pPr>
              <w:pStyle w:val="4"/>
              <w:spacing w:line="276" w:lineRule="auto"/>
              <w:jc w:val="left"/>
              <w:textAlignment w:val="baseline"/>
              <w:rPr>
                <w:rFonts w:hint="eastAsia" w:asciiTheme="minorEastAsia" w:hAnsiTheme="minorEastAsia"/>
              </w:rPr>
            </w:pPr>
            <w:r>
              <w:rPr>
                <w:rFonts w:hint="eastAsia" w:asciiTheme="minorEastAsia" w:hAnsiTheme="minorEastAsia"/>
              </w:rPr>
              <w:t>内容齐全，阶段划分合理、正确，可实施性强，得8.0-10.0分</w:t>
            </w:r>
          </w:p>
        </w:tc>
      </w:tr>
      <w:tr w14:paraId="380C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3E95E9B9">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183431E8">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256B40A3">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E9B7F44">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E6E0335">
            <w:pPr>
              <w:widowControl/>
              <w:spacing w:line="276" w:lineRule="auto"/>
              <w:jc w:val="left"/>
              <w:rPr>
                <w:rFonts w:hint="eastAsia" w:cs="Courier New" w:asciiTheme="minorEastAsia" w:hAnsiTheme="minorEastAsia" w:eastAsiaTheme="minorEastAsia"/>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D7DE83C">
            <w:pPr>
              <w:widowControl/>
              <w:spacing w:line="276" w:lineRule="auto"/>
              <w:jc w:val="left"/>
              <w:rPr>
                <w:rFonts w:hint="eastAsia" w:cs="Courier New" w:asciiTheme="minorEastAsia" w:hAnsiTheme="minorEastAsia" w:eastAsiaTheme="minorEastAsia"/>
                <w:szCs w:val="21"/>
              </w:rPr>
            </w:pPr>
          </w:p>
        </w:tc>
        <w:tc>
          <w:tcPr>
            <w:tcW w:w="4245" w:type="dxa"/>
            <w:tcBorders>
              <w:top w:val="single" w:color="auto" w:sz="4" w:space="0"/>
              <w:left w:val="single" w:color="auto" w:sz="4" w:space="0"/>
              <w:bottom w:val="single" w:color="auto" w:sz="4" w:space="0"/>
              <w:right w:val="single" w:color="auto" w:sz="4" w:space="0"/>
            </w:tcBorders>
            <w:vAlign w:val="center"/>
          </w:tcPr>
          <w:p w14:paraId="124339CA">
            <w:pPr>
              <w:pStyle w:val="4"/>
              <w:spacing w:line="276" w:lineRule="auto"/>
              <w:jc w:val="left"/>
              <w:textAlignment w:val="baseline"/>
              <w:rPr>
                <w:rFonts w:hint="eastAsia" w:asciiTheme="minorEastAsia" w:hAnsiTheme="minorEastAsia"/>
              </w:rPr>
            </w:pPr>
            <w:r>
              <w:rPr>
                <w:rFonts w:hint="eastAsia" w:asciiTheme="minorEastAsia" w:hAnsiTheme="minorEastAsia"/>
              </w:rPr>
              <w:t>内容较齐全，阶段划分较合理，可实施性较好，得6.0-8.0分</w:t>
            </w:r>
          </w:p>
        </w:tc>
      </w:tr>
      <w:tr w14:paraId="3794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5A7F16B2">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5896888C">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2201538E">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7EF2942">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D0E8512">
            <w:pPr>
              <w:widowControl/>
              <w:spacing w:line="276" w:lineRule="auto"/>
              <w:jc w:val="left"/>
              <w:rPr>
                <w:rFonts w:hint="eastAsia" w:cs="Courier New" w:asciiTheme="minorEastAsia" w:hAnsiTheme="minorEastAsia" w:eastAsiaTheme="minorEastAsia"/>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113D0F0">
            <w:pPr>
              <w:widowControl/>
              <w:spacing w:line="276" w:lineRule="auto"/>
              <w:jc w:val="left"/>
              <w:rPr>
                <w:rFonts w:hint="eastAsia" w:cs="Courier New" w:asciiTheme="minorEastAsia" w:hAnsiTheme="minorEastAsia" w:eastAsiaTheme="minorEastAsia"/>
                <w:szCs w:val="21"/>
              </w:rPr>
            </w:pPr>
          </w:p>
        </w:tc>
        <w:tc>
          <w:tcPr>
            <w:tcW w:w="4245" w:type="dxa"/>
            <w:tcBorders>
              <w:top w:val="single" w:color="auto" w:sz="4" w:space="0"/>
              <w:left w:val="single" w:color="auto" w:sz="4" w:space="0"/>
              <w:bottom w:val="single" w:color="auto" w:sz="4" w:space="0"/>
              <w:right w:val="single" w:color="auto" w:sz="4" w:space="0"/>
            </w:tcBorders>
            <w:vAlign w:val="center"/>
          </w:tcPr>
          <w:p w14:paraId="00437962">
            <w:pPr>
              <w:pStyle w:val="4"/>
              <w:spacing w:line="276" w:lineRule="auto"/>
              <w:jc w:val="left"/>
              <w:textAlignment w:val="baseline"/>
              <w:rPr>
                <w:rFonts w:hint="eastAsia" w:asciiTheme="minorEastAsia" w:hAnsiTheme="minorEastAsia"/>
              </w:rPr>
            </w:pPr>
            <w:r>
              <w:rPr>
                <w:rFonts w:hint="eastAsia" w:asciiTheme="minorEastAsia" w:hAnsiTheme="minorEastAsia"/>
              </w:rPr>
              <w:t xml:space="preserve">内容基本齐全，阶段划分基本合理，可实施性一般，得6.0分 </w:t>
            </w:r>
          </w:p>
        </w:tc>
      </w:tr>
      <w:tr w14:paraId="415F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FFB54D6">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77F27905">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2C19A882">
            <w:pPr>
              <w:widowControl/>
              <w:spacing w:line="276" w:lineRule="auto"/>
              <w:jc w:val="left"/>
              <w:rPr>
                <w:rFonts w:hint="eastAsia" w:cs="Courier New" w:asciiTheme="minorEastAsia" w:hAnsiTheme="minorEastAsia" w:eastAsiaTheme="minorEastAsia"/>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6F624815">
            <w:pPr>
              <w:pStyle w:val="4"/>
              <w:spacing w:line="276" w:lineRule="auto"/>
              <w:jc w:val="center"/>
              <w:textAlignment w:val="baseline"/>
              <w:rPr>
                <w:rFonts w:hint="eastAsia" w:asciiTheme="minorEastAsia" w:hAnsiTheme="minorEastAsia"/>
              </w:rPr>
            </w:pPr>
            <w:r>
              <w:rPr>
                <w:rFonts w:hint="eastAsia" w:asciiTheme="minorEastAsia" w:hAnsiTheme="minorEastAsia"/>
              </w:rPr>
              <w:t>本工程监理工作的重点与难点分析</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8744B10">
            <w:pPr>
              <w:pStyle w:val="4"/>
              <w:spacing w:line="276" w:lineRule="auto"/>
              <w:ind w:left="33" w:leftChars="-48" w:hanging="134" w:hangingChars="64"/>
              <w:jc w:val="center"/>
              <w:textAlignment w:val="baseline"/>
              <w:rPr>
                <w:rFonts w:hint="eastAsia" w:asciiTheme="minorEastAsia" w:hAnsiTheme="minorEastAsia"/>
              </w:rPr>
            </w:pPr>
            <w:r>
              <w:rPr>
                <w:rFonts w:hint="eastAsia" w:asciiTheme="minorEastAsia" w:hAnsiTheme="minorEastAsia"/>
              </w:rPr>
              <w:t>5分</w:t>
            </w: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10705AFD">
            <w:pPr>
              <w:pStyle w:val="4"/>
              <w:spacing w:line="276" w:lineRule="auto"/>
              <w:jc w:val="left"/>
              <w:textAlignment w:val="baseline"/>
              <w:rPr>
                <w:rFonts w:hint="eastAsia" w:asciiTheme="minorEastAsia" w:hAnsiTheme="minorEastAsia"/>
              </w:rPr>
            </w:pPr>
            <w:r>
              <w:rPr>
                <w:rFonts w:hint="eastAsia" w:asciiTheme="minorEastAsia" w:hAnsiTheme="minorEastAsia"/>
              </w:rPr>
              <w:t>分析透彻，对难点、重点把握准确；处理措施科学合理，有效可行，得4.0-5.0分</w:t>
            </w:r>
          </w:p>
        </w:tc>
      </w:tr>
      <w:tr w14:paraId="187F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0255650B">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21120C59">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4C707266">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0E18927">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7574555">
            <w:pPr>
              <w:widowControl/>
              <w:spacing w:line="276" w:lineRule="auto"/>
              <w:jc w:val="left"/>
              <w:rPr>
                <w:rFonts w:hint="eastAsia" w:cs="Courier New" w:asciiTheme="minorEastAsia" w:hAnsiTheme="minorEastAsia" w:eastAsiaTheme="minorEastAsia"/>
                <w:szCs w:val="21"/>
              </w:rPr>
            </w:pP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2A0B8F25">
            <w:pPr>
              <w:pStyle w:val="4"/>
              <w:spacing w:line="276" w:lineRule="auto"/>
              <w:jc w:val="left"/>
              <w:textAlignment w:val="baseline"/>
              <w:rPr>
                <w:rFonts w:hint="eastAsia" w:asciiTheme="minorEastAsia" w:hAnsiTheme="minorEastAsia"/>
              </w:rPr>
            </w:pPr>
            <w:r>
              <w:rPr>
                <w:rFonts w:hint="eastAsia" w:asciiTheme="minorEastAsia" w:hAnsiTheme="minorEastAsia"/>
              </w:rPr>
              <w:t>分析较透彻，对难点、重点把握较准确；处理措施合理，可行，得3.0-4.0分</w:t>
            </w:r>
          </w:p>
        </w:tc>
      </w:tr>
      <w:tr w14:paraId="14D4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63DE6834">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66507FAF">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393F52E3">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D5BA109">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F3DB68D">
            <w:pPr>
              <w:widowControl/>
              <w:spacing w:line="276" w:lineRule="auto"/>
              <w:jc w:val="left"/>
              <w:rPr>
                <w:rFonts w:hint="eastAsia" w:cs="Courier New" w:asciiTheme="minorEastAsia" w:hAnsiTheme="minorEastAsia" w:eastAsiaTheme="minorEastAsia"/>
                <w:szCs w:val="21"/>
              </w:rPr>
            </w:pP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0D9128BA">
            <w:pPr>
              <w:pStyle w:val="4"/>
              <w:spacing w:line="276" w:lineRule="auto"/>
              <w:jc w:val="left"/>
              <w:textAlignment w:val="baseline"/>
              <w:rPr>
                <w:rFonts w:hint="eastAsia" w:asciiTheme="minorEastAsia" w:hAnsiTheme="minorEastAsia"/>
              </w:rPr>
            </w:pPr>
            <w:r>
              <w:rPr>
                <w:rFonts w:hint="eastAsia" w:asciiTheme="minorEastAsia" w:hAnsiTheme="minorEastAsia"/>
              </w:rPr>
              <w:t>分析一般，对难点、重点把握一般；处理措施基本合理，基本可行，得3.0分</w:t>
            </w:r>
          </w:p>
        </w:tc>
      </w:tr>
      <w:tr w14:paraId="6DD8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26AE7D96">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0F14B34B">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282F08E2">
            <w:pPr>
              <w:widowControl/>
              <w:spacing w:line="276" w:lineRule="auto"/>
              <w:jc w:val="left"/>
              <w:rPr>
                <w:rFonts w:hint="eastAsia" w:cs="Courier New" w:asciiTheme="minorEastAsia" w:hAnsiTheme="minorEastAsia" w:eastAsiaTheme="minorEastAsia"/>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F748844">
            <w:pPr>
              <w:pStyle w:val="4"/>
              <w:spacing w:line="276" w:lineRule="auto"/>
              <w:jc w:val="center"/>
              <w:textAlignment w:val="baseline"/>
              <w:rPr>
                <w:rFonts w:hint="eastAsia" w:asciiTheme="minorEastAsia" w:hAnsiTheme="minorEastAsia"/>
              </w:rPr>
            </w:pPr>
            <w:r>
              <w:rPr>
                <w:rFonts w:hint="eastAsia" w:asciiTheme="minorEastAsia" w:hAnsiTheme="minorEastAsia"/>
              </w:rPr>
              <w:t>对本工程的建议</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49C5B17">
            <w:pPr>
              <w:pStyle w:val="4"/>
              <w:spacing w:line="276" w:lineRule="auto"/>
              <w:jc w:val="center"/>
              <w:textAlignment w:val="baseline"/>
              <w:rPr>
                <w:rFonts w:hint="eastAsia" w:asciiTheme="minorEastAsia" w:hAnsiTheme="minorEastAsia"/>
              </w:rPr>
            </w:pPr>
            <w:r>
              <w:rPr>
                <w:rFonts w:asciiTheme="minorEastAsia" w:hAnsiTheme="minorEastAsia"/>
              </w:rPr>
              <w:t>5</w:t>
            </w:r>
            <w:r>
              <w:rPr>
                <w:rFonts w:hint="eastAsia" w:asciiTheme="minorEastAsia" w:hAnsiTheme="minorEastAsia"/>
              </w:rPr>
              <w:t>分</w:t>
            </w: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1D5F58A6">
            <w:pPr>
              <w:pStyle w:val="4"/>
              <w:spacing w:line="276" w:lineRule="auto"/>
              <w:jc w:val="left"/>
              <w:textAlignment w:val="baseline"/>
              <w:rPr>
                <w:rFonts w:hint="eastAsia" w:asciiTheme="minorEastAsia" w:hAnsiTheme="minorEastAsia"/>
              </w:rPr>
            </w:pPr>
            <w:r>
              <w:rPr>
                <w:rFonts w:hint="eastAsia" w:asciiTheme="minorEastAsia" w:hAnsiTheme="minorEastAsia"/>
              </w:rPr>
              <w:t>建议措施具体全面、可靠、合理，可实施性强，4.0-5.0分</w:t>
            </w:r>
          </w:p>
        </w:tc>
      </w:tr>
      <w:tr w14:paraId="30FF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2AFB00DA">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7A5C6CC1">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46C525D8">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449A185">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7C61AD2">
            <w:pPr>
              <w:widowControl/>
              <w:spacing w:line="276" w:lineRule="auto"/>
              <w:jc w:val="left"/>
              <w:rPr>
                <w:rFonts w:hint="eastAsia" w:cs="Courier New" w:asciiTheme="minorEastAsia" w:hAnsiTheme="minorEastAsia" w:eastAsiaTheme="minorEastAsia"/>
                <w:szCs w:val="21"/>
              </w:rPr>
            </w:pP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35FFCA46">
            <w:pPr>
              <w:pStyle w:val="4"/>
              <w:spacing w:line="276" w:lineRule="auto"/>
              <w:jc w:val="left"/>
              <w:textAlignment w:val="baseline"/>
              <w:rPr>
                <w:rFonts w:hint="eastAsia" w:asciiTheme="minorEastAsia" w:hAnsiTheme="minorEastAsia"/>
              </w:rPr>
            </w:pPr>
            <w:r>
              <w:rPr>
                <w:rFonts w:hint="eastAsia" w:asciiTheme="minorEastAsia" w:hAnsiTheme="minorEastAsia"/>
              </w:rPr>
              <w:t>建议措施全面、合理，可实施性较好，得3.0-4.0分</w:t>
            </w:r>
          </w:p>
        </w:tc>
      </w:tr>
      <w:tr w14:paraId="30E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5B9ED2D1">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770A88DE">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6A31B0E5">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F5C31F6">
            <w:pPr>
              <w:widowControl/>
              <w:spacing w:line="276" w:lineRule="auto"/>
              <w:jc w:val="left"/>
              <w:rPr>
                <w:rFonts w:hint="eastAsia" w:cs="Courier New" w:asciiTheme="minorEastAsia" w:hAnsiTheme="minorEastAsia" w:eastAsiaTheme="minorEastAsia"/>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EF56C01">
            <w:pPr>
              <w:widowControl/>
              <w:spacing w:line="276" w:lineRule="auto"/>
              <w:jc w:val="left"/>
              <w:rPr>
                <w:rFonts w:hint="eastAsia" w:cs="Courier New" w:asciiTheme="minorEastAsia" w:hAnsiTheme="minorEastAsia" w:eastAsiaTheme="minorEastAsia"/>
                <w:szCs w:val="21"/>
              </w:rPr>
            </w:pP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083D40B4">
            <w:pPr>
              <w:pStyle w:val="4"/>
              <w:spacing w:line="276" w:lineRule="auto"/>
              <w:jc w:val="left"/>
              <w:textAlignment w:val="baseline"/>
              <w:rPr>
                <w:rFonts w:hint="eastAsia" w:asciiTheme="minorEastAsia" w:hAnsiTheme="minorEastAsia"/>
              </w:rPr>
            </w:pPr>
            <w:r>
              <w:rPr>
                <w:rFonts w:hint="eastAsia" w:asciiTheme="minorEastAsia" w:hAnsiTheme="minorEastAsia"/>
              </w:rPr>
              <w:t>建议措施基本全面、合理，可实施性一般，得3.0分</w:t>
            </w:r>
          </w:p>
        </w:tc>
      </w:tr>
      <w:tr w14:paraId="3733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41" w:type="dxa"/>
            <w:vMerge w:val="restart"/>
            <w:tcBorders>
              <w:top w:val="nil"/>
              <w:left w:val="single" w:color="auto" w:sz="4" w:space="0"/>
              <w:bottom w:val="single" w:color="auto" w:sz="4" w:space="0"/>
              <w:right w:val="single" w:color="auto" w:sz="4" w:space="0"/>
            </w:tcBorders>
            <w:vAlign w:val="center"/>
          </w:tcPr>
          <w:p w14:paraId="4AA80724">
            <w:pPr>
              <w:pStyle w:val="4"/>
              <w:spacing w:line="276" w:lineRule="auto"/>
              <w:jc w:val="center"/>
              <w:textAlignment w:val="baseline"/>
              <w:rPr>
                <w:rFonts w:hint="eastAsia" w:asciiTheme="minorEastAsia" w:hAnsiTheme="minorEastAsia"/>
              </w:rPr>
            </w:pPr>
            <w:r>
              <w:rPr>
                <w:rFonts w:hint="eastAsia" w:asciiTheme="minorEastAsia" w:hAnsiTheme="minorEastAsia"/>
              </w:rPr>
              <w:t>2.2.4（2）</w:t>
            </w:r>
          </w:p>
        </w:tc>
        <w:tc>
          <w:tcPr>
            <w:tcW w:w="740" w:type="dxa"/>
            <w:vMerge w:val="restart"/>
            <w:tcBorders>
              <w:top w:val="nil"/>
              <w:left w:val="single" w:color="auto" w:sz="4" w:space="0"/>
              <w:bottom w:val="single" w:color="auto" w:sz="4" w:space="0"/>
              <w:right w:val="single" w:color="auto" w:sz="4" w:space="0"/>
            </w:tcBorders>
            <w:vAlign w:val="center"/>
          </w:tcPr>
          <w:p w14:paraId="2B26D4C9">
            <w:pPr>
              <w:pStyle w:val="4"/>
              <w:spacing w:line="276" w:lineRule="auto"/>
              <w:jc w:val="center"/>
              <w:textAlignment w:val="baseline"/>
              <w:rPr>
                <w:rFonts w:hint="eastAsia" w:asciiTheme="minorEastAsia" w:hAnsiTheme="minorEastAsia"/>
              </w:rPr>
            </w:pPr>
            <w:r>
              <w:rPr>
                <w:rFonts w:hint="eastAsia" w:asciiTheme="minorEastAsia" w:hAnsiTheme="minorEastAsia"/>
              </w:rPr>
              <w:t>主要人员</w:t>
            </w:r>
          </w:p>
        </w:tc>
        <w:tc>
          <w:tcPr>
            <w:tcW w:w="923" w:type="dxa"/>
            <w:vMerge w:val="restart"/>
            <w:tcBorders>
              <w:top w:val="nil"/>
              <w:left w:val="single" w:color="auto" w:sz="4" w:space="0"/>
              <w:bottom w:val="single" w:color="auto" w:sz="4" w:space="0"/>
              <w:right w:val="single" w:color="auto" w:sz="4" w:space="0"/>
            </w:tcBorders>
            <w:vAlign w:val="center"/>
          </w:tcPr>
          <w:p w14:paraId="0BBDDB4B">
            <w:pPr>
              <w:pStyle w:val="4"/>
              <w:spacing w:line="276" w:lineRule="auto"/>
              <w:jc w:val="center"/>
              <w:textAlignment w:val="baseline"/>
              <w:rPr>
                <w:rFonts w:hint="eastAsia" w:asciiTheme="minorEastAsia" w:hAnsiTheme="minorEastAsia"/>
              </w:rPr>
            </w:pPr>
            <w:r>
              <w:rPr>
                <w:rFonts w:hint="eastAsia" w:asciiTheme="minorEastAsia" w:hAnsiTheme="minorEastAsia"/>
              </w:rPr>
              <w:t>20分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0D928F89">
            <w:pPr>
              <w:pStyle w:val="4"/>
              <w:spacing w:line="276" w:lineRule="auto"/>
              <w:jc w:val="center"/>
              <w:textAlignment w:val="baseline"/>
              <w:rPr>
                <w:rFonts w:hint="eastAsia" w:asciiTheme="minorEastAsia" w:hAnsiTheme="minorEastAsia"/>
              </w:rPr>
            </w:pPr>
            <w:bookmarkStart w:id="8" w:name="_Hlk183601099"/>
            <w:r>
              <w:rPr>
                <w:rFonts w:hint="eastAsia" w:cs="宋体" w:asciiTheme="minorEastAsia" w:hAnsiTheme="minorEastAsia"/>
                <w:szCs w:val="24"/>
              </w:rPr>
              <w:t>总监理工程师</w:t>
            </w:r>
            <w:bookmarkEnd w:id="8"/>
          </w:p>
        </w:tc>
        <w:tc>
          <w:tcPr>
            <w:tcW w:w="709" w:type="dxa"/>
            <w:tcBorders>
              <w:top w:val="single" w:color="auto" w:sz="4" w:space="0"/>
              <w:left w:val="single" w:color="auto" w:sz="4" w:space="0"/>
              <w:bottom w:val="single" w:color="auto" w:sz="4" w:space="0"/>
              <w:right w:val="single" w:color="auto" w:sz="4" w:space="0"/>
            </w:tcBorders>
            <w:vAlign w:val="center"/>
          </w:tcPr>
          <w:p w14:paraId="4A993297">
            <w:pPr>
              <w:pStyle w:val="4"/>
              <w:spacing w:line="276" w:lineRule="auto"/>
              <w:ind w:left="33" w:leftChars="-48" w:hanging="134" w:hangingChars="64"/>
              <w:jc w:val="center"/>
              <w:textAlignment w:val="baseline"/>
              <w:rPr>
                <w:rFonts w:hint="eastAsia" w:asciiTheme="minorEastAsia" w:hAnsiTheme="minorEastAsia"/>
              </w:rPr>
            </w:pPr>
            <w:r>
              <w:rPr>
                <w:rFonts w:hint="eastAsia" w:asciiTheme="minorEastAsia" w:hAnsiTheme="minorEastAsia"/>
              </w:rPr>
              <w:t>12分</w:t>
            </w: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7236B10E">
            <w:pPr>
              <w:pStyle w:val="4"/>
              <w:spacing w:line="276" w:lineRule="auto"/>
              <w:jc w:val="left"/>
              <w:textAlignment w:val="baseline"/>
              <w:rPr>
                <w:rFonts w:hint="eastAsia" w:asciiTheme="minorEastAsia" w:hAnsiTheme="minorEastAsia"/>
              </w:rPr>
            </w:pPr>
            <w:r>
              <w:rPr>
                <w:rFonts w:hint="eastAsia" w:asciiTheme="minorEastAsia" w:hAnsiTheme="minorEastAsia"/>
              </w:rPr>
              <w:t>满足附录4资格审查条件最低要求得12分；</w:t>
            </w:r>
          </w:p>
        </w:tc>
      </w:tr>
      <w:tr w14:paraId="5F81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1" w:type="dxa"/>
            <w:vMerge w:val="continue"/>
            <w:tcBorders>
              <w:top w:val="nil"/>
              <w:left w:val="single" w:color="auto" w:sz="4" w:space="0"/>
              <w:bottom w:val="single" w:color="auto" w:sz="4" w:space="0"/>
              <w:right w:val="single" w:color="auto" w:sz="4" w:space="0"/>
            </w:tcBorders>
            <w:vAlign w:val="center"/>
          </w:tcPr>
          <w:p w14:paraId="488386AA">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nil"/>
              <w:left w:val="single" w:color="auto" w:sz="4" w:space="0"/>
              <w:bottom w:val="single" w:color="auto" w:sz="4" w:space="0"/>
              <w:right w:val="single" w:color="auto" w:sz="4" w:space="0"/>
            </w:tcBorders>
            <w:vAlign w:val="center"/>
          </w:tcPr>
          <w:p w14:paraId="78D21467">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nil"/>
              <w:left w:val="single" w:color="auto" w:sz="4" w:space="0"/>
              <w:bottom w:val="single" w:color="auto" w:sz="4" w:space="0"/>
              <w:right w:val="single" w:color="auto" w:sz="4" w:space="0"/>
            </w:tcBorders>
            <w:vAlign w:val="center"/>
          </w:tcPr>
          <w:p w14:paraId="2E659BCB">
            <w:pPr>
              <w:widowControl/>
              <w:spacing w:line="276" w:lineRule="auto"/>
              <w:jc w:val="left"/>
              <w:rPr>
                <w:rFonts w:hint="eastAsia" w:cs="Courier New" w:asciiTheme="minorEastAsia" w:hAnsiTheme="minorEastAsia" w:eastAsiaTheme="minorEastAsia"/>
                <w:szCs w:val="21"/>
                <w:highlight w:val="yellow"/>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B1695A3">
            <w:pPr>
              <w:widowControl/>
              <w:spacing w:line="276" w:lineRule="auto"/>
              <w:jc w:val="left"/>
              <w:rPr>
                <w:rFonts w:hint="eastAsia" w:cs="Courier New" w:asciiTheme="minorEastAsia" w:hAnsiTheme="minorEastAsia" w:eastAsia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C774E5A">
            <w:pPr>
              <w:pStyle w:val="4"/>
              <w:spacing w:line="276" w:lineRule="auto"/>
              <w:jc w:val="center"/>
              <w:textAlignment w:val="baseline"/>
              <w:rPr>
                <w:rFonts w:hint="eastAsia" w:cs="仿宋" w:asciiTheme="minorEastAsia" w:hAnsiTheme="minorEastAsia"/>
              </w:rPr>
            </w:pPr>
            <w:r>
              <w:rPr>
                <w:rFonts w:hint="eastAsia" w:cs="仿宋" w:asciiTheme="minorEastAsia" w:hAnsiTheme="minorEastAsia"/>
              </w:rPr>
              <w:t>8分</w:t>
            </w: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0805BF1F">
            <w:pPr>
              <w:pStyle w:val="4"/>
              <w:spacing w:line="276" w:lineRule="auto"/>
              <w:textAlignment w:val="baseline"/>
              <w:rPr>
                <w:rFonts w:hint="eastAsia" w:cs="宋体" w:asciiTheme="minorEastAsia" w:hAnsiTheme="minorEastAsia"/>
                <w:szCs w:val="24"/>
              </w:rPr>
            </w:pPr>
            <w:r>
              <w:rPr>
                <w:rFonts w:hint="eastAsia" w:cs="宋体" w:asciiTheme="minorEastAsia" w:hAnsiTheme="minorEastAsia"/>
                <w:szCs w:val="24"/>
              </w:rPr>
              <w:t>总监理工程师每增加一项满足附录4资格审查条件（总监理工程师最低要求）中总监理工程师业绩，加8分，本项最多加8分。</w:t>
            </w:r>
          </w:p>
        </w:tc>
      </w:tr>
      <w:tr w14:paraId="1E42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41" w:type="dxa"/>
            <w:tcBorders>
              <w:top w:val="nil"/>
              <w:left w:val="single" w:color="auto" w:sz="4" w:space="0"/>
              <w:bottom w:val="single" w:color="auto" w:sz="4" w:space="0"/>
              <w:right w:val="single" w:color="auto" w:sz="4" w:space="0"/>
            </w:tcBorders>
            <w:vAlign w:val="center"/>
          </w:tcPr>
          <w:p w14:paraId="0E1A9E33">
            <w:pPr>
              <w:pStyle w:val="4"/>
              <w:spacing w:line="276" w:lineRule="auto"/>
              <w:jc w:val="center"/>
              <w:textAlignment w:val="baseline"/>
              <w:rPr>
                <w:rFonts w:hint="eastAsia" w:asciiTheme="minorEastAsia" w:hAnsiTheme="minorEastAsia"/>
              </w:rPr>
            </w:pPr>
            <w:r>
              <w:rPr>
                <w:rFonts w:hint="eastAsia" w:asciiTheme="minorEastAsia" w:hAnsiTheme="minorEastAsia"/>
              </w:rPr>
              <w:t>2.2.4（3）</w:t>
            </w:r>
          </w:p>
        </w:tc>
        <w:tc>
          <w:tcPr>
            <w:tcW w:w="740" w:type="dxa"/>
            <w:tcBorders>
              <w:top w:val="nil"/>
              <w:left w:val="single" w:color="auto" w:sz="4" w:space="0"/>
              <w:bottom w:val="single" w:color="auto" w:sz="4" w:space="0"/>
              <w:right w:val="single" w:color="auto" w:sz="4" w:space="0"/>
            </w:tcBorders>
            <w:vAlign w:val="center"/>
          </w:tcPr>
          <w:p w14:paraId="2E33BE74">
            <w:pPr>
              <w:pStyle w:val="4"/>
              <w:spacing w:line="276" w:lineRule="auto"/>
              <w:jc w:val="center"/>
              <w:textAlignment w:val="baseline"/>
              <w:rPr>
                <w:rFonts w:hint="eastAsia" w:asciiTheme="minorEastAsia" w:hAnsiTheme="minorEastAsia"/>
              </w:rPr>
            </w:pPr>
            <w:r>
              <w:rPr>
                <w:rFonts w:hint="eastAsia" w:asciiTheme="minorEastAsia" w:hAnsiTheme="minorEastAsia"/>
              </w:rPr>
              <w:t>评标价</w:t>
            </w:r>
          </w:p>
        </w:tc>
        <w:tc>
          <w:tcPr>
            <w:tcW w:w="923" w:type="dxa"/>
            <w:tcBorders>
              <w:top w:val="nil"/>
              <w:left w:val="single" w:color="auto" w:sz="4" w:space="0"/>
              <w:bottom w:val="single" w:color="auto" w:sz="4" w:space="0"/>
              <w:right w:val="single" w:color="auto" w:sz="4" w:space="0"/>
            </w:tcBorders>
            <w:vAlign w:val="center"/>
          </w:tcPr>
          <w:p w14:paraId="121E3D43">
            <w:pPr>
              <w:pStyle w:val="4"/>
              <w:spacing w:line="276" w:lineRule="auto"/>
              <w:jc w:val="center"/>
              <w:textAlignment w:val="baseline"/>
              <w:rPr>
                <w:rFonts w:hint="eastAsia" w:asciiTheme="minorEastAsia" w:hAnsiTheme="minorEastAsia"/>
              </w:rPr>
            </w:pPr>
            <w:r>
              <w:rPr>
                <w:rFonts w:hint="eastAsia" w:asciiTheme="minorEastAsia" w:hAnsiTheme="minorEastAsia"/>
              </w:rPr>
              <w:t>10分</w:t>
            </w:r>
          </w:p>
        </w:tc>
        <w:tc>
          <w:tcPr>
            <w:tcW w:w="7364" w:type="dxa"/>
            <w:gridSpan w:val="4"/>
            <w:tcBorders>
              <w:top w:val="single" w:color="auto" w:sz="4" w:space="0"/>
              <w:left w:val="single" w:color="auto" w:sz="4" w:space="0"/>
              <w:bottom w:val="single" w:color="auto" w:sz="4" w:space="0"/>
              <w:right w:val="single" w:color="auto" w:sz="4" w:space="0"/>
            </w:tcBorders>
            <w:vAlign w:val="center"/>
          </w:tcPr>
          <w:p w14:paraId="2D20F401">
            <w:pPr>
              <w:pStyle w:val="4"/>
              <w:spacing w:line="276" w:lineRule="auto"/>
              <w:jc w:val="left"/>
              <w:textAlignment w:val="baseline"/>
              <w:rPr>
                <w:rFonts w:hint="eastAsia" w:asciiTheme="minorEastAsia" w:hAnsiTheme="minorEastAsia"/>
              </w:rPr>
            </w:pPr>
            <w:r>
              <w:rPr>
                <w:rFonts w:hint="eastAsia" w:asciiTheme="minorEastAsia" w:hAnsiTheme="minorEastAsia"/>
              </w:rPr>
              <w:t>评标价得分计算公式示例：</w:t>
            </w:r>
          </w:p>
          <w:p w14:paraId="643D9AD6">
            <w:pPr>
              <w:pStyle w:val="4"/>
              <w:spacing w:line="276" w:lineRule="auto"/>
              <w:jc w:val="left"/>
              <w:textAlignment w:val="baseline"/>
              <w:rPr>
                <w:rFonts w:hint="eastAsia" w:asciiTheme="minorEastAsia" w:hAnsiTheme="minorEastAsia"/>
              </w:rPr>
            </w:pPr>
            <w:r>
              <w:rPr>
                <w:rFonts w:hint="eastAsia" w:asciiTheme="minorEastAsia" w:hAnsiTheme="minorEastAsia"/>
              </w:rPr>
              <w:t>（1）如果投标人的评标价＞评标基准价，则评标价得分=F-（投标人评标价-评标基准价）/评标基准价×100×E1；</w:t>
            </w:r>
          </w:p>
          <w:p w14:paraId="2A69E0BB">
            <w:pPr>
              <w:pStyle w:val="4"/>
              <w:spacing w:line="276" w:lineRule="auto"/>
              <w:jc w:val="left"/>
              <w:textAlignment w:val="baseline"/>
              <w:rPr>
                <w:rFonts w:hint="eastAsia" w:asciiTheme="minorEastAsia" w:hAnsiTheme="minorEastAsia"/>
              </w:rPr>
            </w:pPr>
            <w:r>
              <w:rPr>
                <w:rFonts w:hint="eastAsia" w:asciiTheme="minorEastAsia" w:hAnsiTheme="minorEastAsia"/>
              </w:rPr>
              <w:t>（2）如果投标人的评标价≤评标基准价，则评标价得分=F+(投标人评标价-评标基准价)/评标基准价×100×E2。</w:t>
            </w:r>
          </w:p>
          <w:p w14:paraId="3ADF295F">
            <w:pPr>
              <w:pStyle w:val="4"/>
              <w:spacing w:line="276" w:lineRule="auto"/>
              <w:jc w:val="left"/>
              <w:textAlignment w:val="baseline"/>
              <w:rPr>
                <w:rFonts w:hint="eastAsia" w:asciiTheme="minorEastAsia" w:hAnsiTheme="minorEastAsia"/>
              </w:rPr>
            </w:pPr>
            <w:r>
              <w:rPr>
                <w:rFonts w:hint="eastAsia" w:asciiTheme="minorEastAsia" w:hAnsiTheme="minorEastAsia"/>
              </w:rPr>
              <w:t>其中，F=10；E1=0.</w:t>
            </w:r>
            <w:r>
              <w:rPr>
                <w:rFonts w:asciiTheme="minorEastAsia" w:hAnsiTheme="minorEastAsia"/>
              </w:rPr>
              <w:t>2</w:t>
            </w:r>
            <w:r>
              <w:rPr>
                <w:rFonts w:hint="eastAsia" w:asciiTheme="minorEastAsia" w:hAnsiTheme="minorEastAsia"/>
              </w:rPr>
              <w:t>；E2=0.</w:t>
            </w:r>
            <w:r>
              <w:rPr>
                <w:rFonts w:asciiTheme="minorEastAsia" w:hAnsiTheme="minorEastAsia"/>
              </w:rPr>
              <w:t>1</w:t>
            </w:r>
            <w:r>
              <w:rPr>
                <w:rFonts w:hint="eastAsia" w:asciiTheme="minorEastAsia" w:hAnsiTheme="minorEastAsia"/>
              </w:rPr>
              <w:t>；评标价最低得分为0分。</w:t>
            </w:r>
          </w:p>
        </w:tc>
      </w:tr>
      <w:tr w14:paraId="0396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07AF2008">
            <w:pPr>
              <w:pStyle w:val="4"/>
              <w:spacing w:line="276" w:lineRule="auto"/>
              <w:jc w:val="center"/>
              <w:textAlignment w:val="baseline"/>
              <w:rPr>
                <w:rFonts w:hint="eastAsia" w:asciiTheme="minorEastAsia" w:hAnsiTheme="minorEastAsia"/>
              </w:rPr>
            </w:pPr>
            <w:r>
              <w:rPr>
                <w:rFonts w:hint="eastAsia" w:asciiTheme="minorEastAsia" w:hAnsiTheme="minorEastAsia"/>
              </w:rPr>
              <w:t>2.2.4（4）</w:t>
            </w:r>
          </w:p>
        </w:tc>
        <w:tc>
          <w:tcPr>
            <w:tcW w:w="740" w:type="dxa"/>
            <w:vMerge w:val="restart"/>
            <w:tcBorders>
              <w:top w:val="single" w:color="auto" w:sz="4" w:space="0"/>
              <w:left w:val="single" w:color="auto" w:sz="4" w:space="0"/>
              <w:bottom w:val="single" w:color="auto" w:sz="4" w:space="0"/>
              <w:right w:val="single" w:color="auto" w:sz="4" w:space="0"/>
            </w:tcBorders>
            <w:vAlign w:val="center"/>
          </w:tcPr>
          <w:p w14:paraId="646C7DD7">
            <w:pPr>
              <w:pStyle w:val="4"/>
              <w:spacing w:line="276" w:lineRule="auto"/>
              <w:jc w:val="center"/>
              <w:textAlignment w:val="baseline"/>
              <w:rPr>
                <w:rFonts w:hint="eastAsia" w:asciiTheme="minorEastAsia" w:hAnsiTheme="minorEastAsia"/>
              </w:rPr>
            </w:pPr>
            <w:r>
              <w:rPr>
                <w:rFonts w:hint="eastAsia" w:asciiTheme="minorEastAsia" w:hAnsiTheme="minorEastAsia"/>
              </w:rPr>
              <w:t>其他因素</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31247E05">
            <w:pPr>
              <w:pStyle w:val="4"/>
              <w:spacing w:line="276" w:lineRule="auto"/>
              <w:jc w:val="center"/>
              <w:textAlignment w:val="baseline"/>
              <w:rPr>
                <w:rFonts w:hint="eastAsia" w:asciiTheme="minorEastAsia" w:hAnsiTheme="minorEastAsia"/>
              </w:rPr>
            </w:pPr>
            <w:r>
              <w:rPr>
                <w:rFonts w:asciiTheme="minorEastAsia" w:hAnsiTheme="minorEastAsia"/>
              </w:rPr>
              <w:t>25</w:t>
            </w:r>
            <w:r>
              <w:rPr>
                <w:rFonts w:hint="eastAsia" w:asciiTheme="minorEastAsia" w:hAnsiTheme="minorEastAsia"/>
              </w:rPr>
              <w:t>分</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60034248">
            <w:pPr>
              <w:pStyle w:val="4"/>
              <w:spacing w:line="276" w:lineRule="auto"/>
              <w:jc w:val="center"/>
              <w:textAlignment w:val="baseline"/>
              <w:rPr>
                <w:rFonts w:hint="eastAsia" w:asciiTheme="minorEastAsia" w:hAnsiTheme="minorEastAsia"/>
              </w:rPr>
            </w:pPr>
            <w:r>
              <w:rPr>
                <w:rFonts w:hint="eastAsia" w:cs="宋体" w:asciiTheme="minorEastAsia" w:hAnsiTheme="minorEastAsia"/>
                <w:szCs w:val="24"/>
              </w:rPr>
              <w:t>企业业绩</w:t>
            </w:r>
          </w:p>
        </w:tc>
        <w:tc>
          <w:tcPr>
            <w:tcW w:w="709" w:type="dxa"/>
            <w:tcBorders>
              <w:top w:val="single" w:color="auto" w:sz="4" w:space="0"/>
              <w:left w:val="single" w:color="auto" w:sz="4" w:space="0"/>
              <w:bottom w:val="single" w:color="auto" w:sz="4" w:space="0"/>
              <w:right w:val="single" w:color="auto" w:sz="4" w:space="0"/>
            </w:tcBorders>
            <w:vAlign w:val="center"/>
          </w:tcPr>
          <w:p w14:paraId="7812B465">
            <w:pPr>
              <w:pStyle w:val="4"/>
              <w:spacing w:line="276" w:lineRule="auto"/>
              <w:ind w:right="-71" w:rightChars="-34"/>
              <w:jc w:val="center"/>
              <w:textAlignment w:val="baseline"/>
              <w:rPr>
                <w:rFonts w:hint="eastAsia" w:asciiTheme="minorEastAsia" w:hAnsiTheme="minorEastAsia"/>
              </w:rPr>
            </w:pPr>
            <w:r>
              <w:rPr>
                <w:rFonts w:asciiTheme="minorEastAsia" w:hAnsiTheme="minorEastAsia"/>
              </w:rPr>
              <w:t>15</w:t>
            </w:r>
            <w:r>
              <w:rPr>
                <w:rFonts w:hint="eastAsia" w:asciiTheme="minorEastAsia" w:hAnsiTheme="minorEastAsia"/>
              </w:rPr>
              <w:t>分</w:t>
            </w: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61D5E119">
            <w:pPr>
              <w:pStyle w:val="4"/>
              <w:spacing w:line="276" w:lineRule="auto"/>
              <w:jc w:val="left"/>
              <w:textAlignment w:val="baseline"/>
              <w:rPr>
                <w:rFonts w:hint="eastAsia" w:asciiTheme="minorEastAsia" w:hAnsiTheme="minorEastAsia"/>
              </w:rPr>
            </w:pPr>
            <w:r>
              <w:rPr>
                <w:rFonts w:hint="eastAsia" w:asciiTheme="minorEastAsia" w:hAnsiTheme="minorEastAsia"/>
              </w:rPr>
              <w:t>满足附录2资格审查条件（业绩最低要求）的，得15分；</w:t>
            </w:r>
          </w:p>
          <w:p w14:paraId="009F8AA5">
            <w:pPr>
              <w:pStyle w:val="4"/>
              <w:spacing w:line="276" w:lineRule="auto"/>
              <w:jc w:val="left"/>
              <w:textAlignment w:val="baseline"/>
              <w:rPr>
                <w:rFonts w:hint="eastAsia" w:asciiTheme="minorEastAsia" w:hAnsiTheme="minorEastAsia"/>
              </w:rPr>
            </w:pPr>
            <w:r>
              <w:rPr>
                <w:rFonts w:hint="eastAsia"/>
              </w:rPr>
              <w:t>注：以联合体形式投标的，联合体各方均须满足本项规定的资格条件。</w:t>
            </w:r>
          </w:p>
        </w:tc>
      </w:tr>
      <w:tr w14:paraId="20DE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414B1614">
            <w:pPr>
              <w:widowControl/>
              <w:spacing w:line="276" w:lineRule="auto"/>
              <w:jc w:val="left"/>
              <w:rPr>
                <w:rFonts w:hint="eastAsia" w:cs="Courier New" w:asciiTheme="minorEastAsia" w:hAnsiTheme="minorEastAsia" w:eastAsiaTheme="minorEastAsia"/>
                <w:szCs w:val="21"/>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14:paraId="789AE598">
            <w:pPr>
              <w:widowControl/>
              <w:spacing w:line="276" w:lineRule="auto"/>
              <w:jc w:val="left"/>
              <w:rPr>
                <w:rFonts w:hint="eastAsia" w:cs="Courier New" w:asciiTheme="minorEastAsia" w:hAnsiTheme="minorEastAsia" w:eastAsiaTheme="minorEastAsia"/>
                <w:szCs w:val="21"/>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6967017C">
            <w:pPr>
              <w:widowControl/>
              <w:spacing w:line="276" w:lineRule="auto"/>
              <w:jc w:val="left"/>
              <w:rPr>
                <w:rFonts w:hint="eastAsia" w:cs="Courier New" w:asciiTheme="minorEastAsia" w:hAnsiTheme="minorEastAsia" w:eastAsiaTheme="minorEastAsia"/>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FB0E942">
            <w:pPr>
              <w:widowControl/>
              <w:spacing w:line="276" w:lineRule="auto"/>
              <w:jc w:val="left"/>
              <w:rPr>
                <w:rFonts w:hint="eastAsia" w:cs="Courier New" w:asciiTheme="minorEastAsia" w:hAnsiTheme="minorEastAsia" w:eastAsia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0F16271">
            <w:pPr>
              <w:pStyle w:val="4"/>
              <w:spacing w:line="276" w:lineRule="auto"/>
              <w:ind w:right="-71" w:rightChars="-34"/>
              <w:jc w:val="center"/>
              <w:textAlignment w:val="baseline"/>
              <w:rPr>
                <w:rFonts w:hint="eastAsia" w:asciiTheme="minorEastAsia" w:hAnsiTheme="minorEastAsia"/>
              </w:rPr>
            </w:pPr>
            <w:r>
              <w:rPr>
                <w:rFonts w:asciiTheme="minorEastAsia" w:hAnsiTheme="minorEastAsia"/>
              </w:rPr>
              <w:t>10</w:t>
            </w:r>
            <w:r>
              <w:rPr>
                <w:rFonts w:hint="eastAsia" w:asciiTheme="minorEastAsia" w:hAnsiTheme="minorEastAsia"/>
              </w:rPr>
              <w:t>分</w:t>
            </w:r>
          </w:p>
        </w:tc>
        <w:tc>
          <w:tcPr>
            <w:tcW w:w="5804" w:type="dxa"/>
            <w:gridSpan w:val="2"/>
            <w:tcBorders>
              <w:top w:val="single" w:color="auto" w:sz="4" w:space="0"/>
              <w:left w:val="single" w:color="auto" w:sz="4" w:space="0"/>
              <w:bottom w:val="single" w:color="auto" w:sz="4" w:space="0"/>
              <w:right w:val="single" w:color="auto" w:sz="4" w:space="0"/>
            </w:tcBorders>
            <w:vAlign w:val="center"/>
          </w:tcPr>
          <w:p w14:paraId="25D82E26">
            <w:pPr>
              <w:pStyle w:val="4"/>
              <w:spacing w:line="276" w:lineRule="auto"/>
              <w:textAlignment w:val="baseline"/>
              <w:rPr>
                <w:rFonts w:hint="eastAsia" w:asciiTheme="minorEastAsia" w:hAnsiTheme="minorEastAsia"/>
              </w:rPr>
            </w:pPr>
            <w:r>
              <w:rPr>
                <w:rFonts w:hint="eastAsia" w:asciiTheme="minorEastAsia" w:hAnsiTheme="minorEastAsia"/>
              </w:rPr>
              <w:t>在满足附录2资格审查条件（业绩最低要求）的基础上，投标人近5年内（2019年12月1日至今，以交工时间为准），每独立完成过1条（段）新建或改扩建高速公路</w:t>
            </w:r>
            <w:r>
              <w:t>主体工程（同时包含路基、路面、</w:t>
            </w:r>
            <w:r>
              <w:rPr>
                <w:rFonts w:hint="eastAsia"/>
              </w:rPr>
              <w:t>桥梁、交通安全设施工程</w:t>
            </w:r>
            <w:r>
              <w:t>）施工监理业绩</w:t>
            </w:r>
            <w:r>
              <w:rPr>
                <w:rFonts w:hint="eastAsia" w:asciiTheme="minorEastAsia" w:hAnsiTheme="minorEastAsia"/>
              </w:rPr>
              <w:t>加5分，本项最多加10分。</w:t>
            </w:r>
          </w:p>
          <w:p w14:paraId="375A5E3F">
            <w:pPr>
              <w:pStyle w:val="4"/>
              <w:spacing w:line="276" w:lineRule="auto"/>
              <w:textAlignment w:val="baseline"/>
              <w:rPr>
                <w:rFonts w:hint="eastAsia" w:asciiTheme="minorEastAsia" w:hAnsiTheme="minorEastAsia"/>
              </w:rPr>
            </w:pPr>
            <w:r>
              <w:rPr>
                <w:rFonts w:hint="eastAsia" w:asciiTheme="minorEastAsia" w:hAnsiTheme="minorEastAsia"/>
              </w:rPr>
              <w:t>注：以联合体形式投标的，联合体一方业绩最多加5分。</w:t>
            </w:r>
          </w:p>
        </w:tc>
      </w:tr>
    </w:tbl>
    <w:p w14:paraId="0DDCE0AC">
      <w:pPr>
        <w:pStyle w:val="4"/>
        <w:textAlignment w:val="baseline"/>
        <w:rPr>
          <w:rFonts w:hint="eastAsia" w:asciiTheme="minorEastAsia" w:hAnsiTheme="minorEastAsia"/>
        </w:rPr>
      </w:pPr>
      <w:r>
        <w:rPr>
          <w:rFonts w:hint="eastAsia" w:asciiTheme="minorEastAsia" w:hAnsiTheme="minorEastAsia"/>
          <w:b/>
          <w:bCs/>
        </w:rPr>
        <w:t>注：1、第2.2.4（1）项</w:t>
      </w:r>
      <w:r>
        <w:rPr>
          <w:rFonts w:hint="eastAsia" w:cs="宋体" w:asciiTheme="minorEastAsia" w:hAnsiTheme="minorEastAsia"/>
          <w:b/>
          <w:bCs/>
        </w:rPr>
        <w:t>各评委打分保留1位小数，</w:t>
      </w:r>
      <w:r>
        <w:rPr>
          <w:rFonts w:asciiTheme="minorEastAsia" w:hAnsiTheme="minorEastAsia"/>
          <w:b/>
          <w:bCs/>
        </w:rPr>
        <w:t>投标人该项得分以各评委打分平均值计算所得，保留两位小数，第三位小数四舍五入</w:t>
      </w:r>
      <w:r>
        <w:rPr>
          <w:rFonts w:hint="eastAsia" w:asciiTheme="minorEastAsia" w:hAnsiTheme="minorEastAsia"/>
          <w:b/>
          <w:bCs/>
        </w:rPr>
        <w:t>。</w:t>
      </w:r>
    </w:p>
    <w:p w14:paraId="6DA3DD7B">
      <w:pPr>
        <w:pStyle w:val="4"/>
        <w:ind w:firstLine="422" w:firstLineChars="200"/>
        <w:textAlignment w:val="baseline"/>
        <w:rPr>
          <w:rFonts w:hint="eastAsia" w:asciiTheme="minorEastAsia" w:hAnsiTheme="minorEastAsia"/>
          <w:b/>
          <w:bCs/>
        </w:rPr>
      </w:pPr>
      <w:r>
        <w:rPr>
          <w:rFonts w:hint="eastAsia" w:asciiTheme="minorEastAsia" w:hAnsiTheme="minorEastAsia"/>
          <w:b/>
          <w:bCs/>
        </w:rPr>
        <w:t>2、第2.2.4（1）项各评分因素得分一般不应低于其权重分值的60%，评标委员会成员对某一项评分因素的评分低于权重分值 60%的，应在评标报告中作出说明。评审因素缺项则该项得0分。</w:t>
      </w:r>
    </w:p>
    <w:p w14:paraId="42749DF6">
      <w:pPr>
        <w:pStyle w:val="4"/>
        <w:ind w:firstLine="420" w:firstLineChars="200"/>
        <w:textAlignment w:val="baseline"/>
        <w:rPr>
          <w:rFonts w:hint="eastAsia" w:asciiTheme="minorEastAsia" w:hAnsiTheme="minorEastAsia"/>
        </w:rPr>
      </w:pPr>
    </w:p>
    <w:p w14:paraId="5E5E5D97">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宋?">
    <w:altName w:val="宋体"/>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14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after="120" w:line="360" w:lineRule="auto"/>
      <w:ind w:firstLine="420" w:firstLineChars="200"/>
      <w:jc w:val="left"/>
    </w:pPr>
    <w:rPr>
      <w:rFonts w:ascii="宋体" w:hAnsi="宋体"/>
      <w:bCs/>
      <w:snapToGrid w:val="0"/>
      <w:color w:val="000000"/>
      <w:szCs w:val="21"/>
    </w:rPr>
  </w:style>
  <w:style w:type="paragraph" w:styleId="4">
    <w:name w:val="Plain Text"/>
    <w:basedOn w:val="1"/>
    <w:unhideWhenUsed/>
    <w:qFormat/>
    <w:uiPriority w:val="0"/>
    <w:rPr>
      <w:rFonts w:ascii="宋体" w:cs="Courier New" w:hAnsiTheme="minorHAnsi" w:eastAsiaTheme="minorEastAsia"/>
      <w:szCs w:val="21"/>
    </w:rPr>
  </w:style>
  <w:style w:type="character" w:customStyle="1" w:styleId="7">
    <w:name w:val="NormalCharacter"/>
    <w:autoRedefine/>
    <w:qFormat/>
    <w:uiPriority w:val="0"/>
  </w:style>
  <w:style w:type="paragraph" w:customStyle="1" w:styleId="8">
    <w:name w:val="UserStyle_340"/>
    <w:basedOn w:val="1"/>
    <w:autoRedefine/>
    <w:qFormat/>
    <w:uiPriority w:val="0"/>
    <w:pPr>
      <w:widowControl/>
      <w:spacing w:line="340" w:lineRule="exact"/>
      <w:jc w:val="center"/>
    </w:pPr>
    <w:rPr>
      <w:rFonts w:ascii="宋体" w:hAnsi="Calibri"/>
      <w:bCs/>
      <w:color w:val="000000"/>
      <w:kern w:val="0"/>
      <w:szCs w:val="21"/>
    </w:rPr>
  </w:style>
  <w:style w:type="character" w:customStyle="1" w:styleId="9">
    <w:name w:val="正文文本 (2) + 10.5 pt"/>
    <w:autoRedefine/>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2024-12-24T00:39:53Z</dcterms:created>
  <dc:creator>Administrator</dc:creator>
  <cp:lastModifiedBy>李娜</cp:lastModifiedBy>
  <dcterms:modified xsi:type="dcterms:W3CDTF">2024-12-24T00:39:56Z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E952449E681B4FDCBE9C85817188B2B4_12</vt:lpwstr>
  </property>
</Properties>
</file>