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A4DB9">
      <w:pPr>
        <w:rPr>
          <w:color w:val="000000"/>
          <w:sz w:val="21"/>
          <w:szCs w:val="21"/>
          <w:highlight w:val="none"/>
        </w:rPr>
      </w:pPr>
      <w:bookmarkStart w:id="1" w:name="_GoBack"/>
      <w:bookmarkEnd w:id="1"/>
      <w:r>
        <w:rPr>
          <w:rFonts w:hint="eastAsia" w:ascii="宋体" w:hAnsi="宋体" w:cs="宋体"/>
          <w:b/>
          <w:color w:val="000000"/>
          <w:sz w:val="21"/>
          <w:szCs w:val="21"/>
          <w:highlight w:val="none"/>
        </w:rPr>
        <w:t>附件1：资格审查条件</w:t>
      </w:r>
    </w:p>
    <w:p w14:paraId="4C04641C">
      <w:pPr>
        <w:pStyle w:val="3"/>
        <w:rPr>
          <w:rFonts w:hint="eastAsia" w:ascii="宋体" w:hAnsi="宋体" w:cs="宋体"/>
          <w:b/>
          <w:color w:val="000000"/>
          <w:sz w:val="24"/>
          <w:highlight w:val="none"/>
        </w:rPr>
      </w:pPr>
    </w:p>
    <w:p w14:paraId="397FDC8D">
      <w:pPr>
        <w:pStyle w:val="12"/>
        <w:adjustRightInd w:val="0"/>
        <w:snapToGrid w:val="0"/>
        <w:ind w:firstLine="422"/>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附录1  资格审查条件(资质最低条件)</w:t>
      </w:r>
    </w:p>
    <w:tbl>
      <w:tblPr>
        <w:tblStyle w:val="10"/>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0130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3FD06541">
            <w:pPr>
              <w:wordWrap w:val="0"/>
              <w:adjustRightInd w:val="0"/>
              <w:snapToGrid w:val="0"/>
              <w:spacing w:line="360" w:lineRule="auto"/>
              <w:jc w:val="center"/>
              <w:rPr>
                <w:rFonts w:hint="eastAsia" w:ascii="宋体" w:hAnsi="宋体" w:cs="宋体"/>
                <w:b/>
                <w:bCs/>
                <w:color w:val="000000"/>
                <w:sz w:val="21"/>
                <w:szCs w:val="21"/>
                <w:highlight w:val="none"/>
                <w:shd w:val="clear" w:color="auto" w:fill="FFFFFF"/>
              </w:rPr>
            </w:pPr>
            <w:r>
              <w:rPr>
                <w:rFonts w:hint="eastAsia" w:ascii="宋体" w:hAnsi="宋体" w:cs="宋体"/>
                <w:b/>
                <w:bCs/>
                <w:color w:val="000000"/>
                <w:sz w:val="21"/>
                <w:szCs w:val="21"/>
                <w:highlight w:val="none"/>
                <w:shd w:val="clear" w:color="auto" w:fill="FFFFFF"/>
              </w:rPr>
              <w:t>资质要求</w:t>
            </w:r>
          </w:p>
        </w:tc>
      </w:tr>
      <w:tr w14:paraId="6DED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420" w:hRule="atLeast"/>
        </w:trPr>
        <w:tc>
          <w:tcPr>
            <w:tcW w:w="9320" w:type="dxa"/>
            <w:tcBorders>
              <w:bottom w:val="single" w:color="auto" w:sz="4" w:space="0"/>
            </w:tcBorders>
            <w:vAlign w:val="center"/>
          </w:tcPr>
          <w:p w14:paraId="6DF74293">
            <w:pPr>
              <w:adjustRightInd w:val="0"/>
              <w:snapToGrid w:val="0"/>
              <w:rPr>
                <w:rFonts w:hint="eastAsia" w:ascii="宋体" w:hAnsi="宋体" w:cs="宋体"/>
                <w:color w:val="000000"/>
                <w:sz w:val="21"/>
                <w:szCs w:val="21"/>
                <w:highlight w:val="none"/>
              </w:rPr>
            </w:pPr>
            <w:r>
              <w:rPr>
                <w:rFonts w:hint="eastAsia" w:ascii="宋体" w:hAnsi="宋体" w:cs="宋体"/>
                <w:color w:val="000000"/>
                <w:sz w:val="21"/>
                <w:szCs w:val="21"/>
                <w:highlight w:val="none"/>
              </w:rPr>
              <w:t>制造商：具有独立企业法人资格，持有有效企业营业执照；</w:t>
            </w:r>
          </w:p>
          <w:p w14:paraId="6D5B4B2E">
            <w:pPr>
              <w:adjustRightInd w:val="0"/>
              <w:snapToGrid w:val="0"/>
              <w:rPr>
                <w:rFonts w:hint="eastAsia" w:ascii="宋体" w:hAnsi="宋体" w:cs="宋体"/>
                <w:color w:val="000000"/>
                <w:sz w:val="21"/>
                <w:szCs w:val="21"/>
                <w:highlight w:val="none"/>
              </w:rPr>
            </w:pPr>
            <w:r>
              <w:rPr>
                <w:rFonts w:hint="eastAsia" w:ascii="宋体" w:hAnsi="宋体" w:cs="宋体"/>
                <w:color w:val="000000"/>
                <w:sz w:val="21"/>
                <w:szCs w:val="21"/>
                <w:highlight w:val="none"/>
              </w:rPr>
              <w:t>代理商：具有独立企业法人资格，持有有效企业营业执照，具有制造商出具的针对本招标项目所投设备的唯一授权书，且该制造商满足前述关于“制造商”的要求。</w:t>
            </w:r>
          </w:p>
        </w:tc>
      </w:tr>
    </w:tbl>
    <w:p w14:paraId="1930B423">
      <w:pPr>
        <w:pStyle w:val="12"/>
        <w:wordWrap w:val="0"/>
        <w:adjustRightInd w:val="0"/>
        <w:snapToGrid w:val="0"/>
        <w:ind w:firstLine="422"/>
        <w:rPr>
          <w:rFonts w:hint="eastAsia" w:ascii="宋体" w:hAnsi="宋体" w:cs="宋体"/>
          <w:b/>
          <w:color w:val="000000"/>
          <w:sz w:val="21"/>
          <w:szCs w:val="21"/>
          <w:highlight w:val="none"/>
          <w:shd w:val="clear" w:color="auto" w:fill="FFFFFF"/>
        </w:rPr>
      </w:pPr>
    </w:p>
    <w:p w14:paraId="2CD72330">
      <w:pPr>
        <w:pStyle w:val="12"/>
        <w:wordWrap w:val="0"/>
        <w:adjustRightInd w:val="0"/>
        <w:snapToGrid w:val="0"/>
        <w:ind w:firstLine="422"/>
        <w:rPr>
          <w:rFonts w:hint="eastAsia" w:ascii="宋体" w:hAnsi="宋体" w:cs="宋体"/>
          <w:b/>
          <w:color w:val="000000"/>
          <w:sz w:val="21"/>
          <w:szCs w:val="21"/>
          <w:highlight w:val="none"/>
          <w:shd w:val="clear" w:color="auto" w:fill="FFFFFF"/>
        </w:rPr>
      </w:pPr>
    </w:p>
    <w:p w14:paraId="057AB804">
      <w:pPr>
        <w:pStyle w:val="12"/>
        <w:wordWrap w:val="0"/>
        <w:adjustRightInd w:val="0"/>
        <w:snapToGrid w:val="0"/>
        <w:ind w:firstLine="422"/>
        <w:rPr>
          <w:rFonts w:hint="eastAsia" w:ascii="宋体" w:hAnsi="宋体" w:cs="宋体"/>
          <w:b/>
          <w:color w:val="000000"/>
          <w:sz w:val="21"/>
          <w:szCs w:val="21"/>
          <w:highlight w:val="none"/>
          <w:shd w:val="clear" w:color="auto" w:fill="FFFFFF"/>
        </w:rPr>
      </w:pPr>
    </w:p>
    <w:p w14:paraId="17ACE0CE">
      <w:pPr>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附录2  资格审查条件(业绩最低要求)</w:t>
      </w:r>
    </w:p>
    <w:tbl>
      <w:tblPr>
        <w:tblStyle w:val="10"/>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2BDD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6775F8CB">
            <w:pPr>
              <w:adjustRightInd w:val="0"/>
              <w:snapToGrid w:val="0"/>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业绩要求</w:t>
            </w:r>
          </w:p>
        </w:tc>
      </w:tr>
      <w:tr w14:paraId="5925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9337" w:type="dxa"/>
            <w:vAlign w:val="center"/>
          </w:tcPr>
          <w:p w14:paraId="68FA6BD2">
            <w:pPr>
              <w:adjustRightInd w:val="0"/>
              <w:snapToGrid w:val="0"/>
              <w:rPr>
                <w:rFonts w:hint="eastAsia" w:ascii="宋体" w:hAnsi="宋体" w:cs="宋体"/>
                <w:bCs/>
                <w:color w:val="000000"/>
                <w:sz w:val="21"/>
                <w:szCs w:val="21"/>
                <w:highlight w:val="none"/>
                <w:shd w:val="clear" w:color="auto" w:fill="FFFFFF"/>
              </w:rPr>
            </w:pPr>
            <w:r>
              <w:rPr>
                <w:rFonts w:hint="eastAsia" w:ascii="宋体" w:hAnsi="宋体" w:cs="宋体"/>
                <w:bCs/>
                <w:color w:val="000000"/>
                <w:sz w:val="21"/>
                <w:szCs w:val="21"/>
                <w:highlight w:val="none"/>
                <w:shd w:val="clear" w:color="auto" w:fill="FFFFFF"/>
              </w:rPr>
              <w:t>近3年（2021年</w:t>
            </w:r>
            <w:r>
              <w:rPr>
                <w:rFonts w:hint="eastAsia" w:ascii="宋体" w:hAnsi="宋体" w:cs="宋体"/>
                <w:bCs/>
                <w:color w:val="000000"/>
                <w:sz w:val="21"/>
                <w:szCs w:val="21"/>
                <w:highlight w:val="none"/>
                <w:shd w:val="clear" w:color="auto" w:fill="FFFFFF"/>
                <w:lang w:eastAsia="zh-CN"/>
              </w:rPr>
              <w:t>11月</w:t>
            </w:r>
            <w:r>
              <w:rPr>
                <w:rFonts w:hint="eastAsia" w:ascii="宋体" w:hAnsi="宋体" w:cs="宋体"/>
                <w:bCs/>
                <w:color w:val="000000"/>
                <w:sz w:val="21"/>
                <w:szCs w:val="21"/>
                <w:highlight w:val="none"/>
                <w:shd w:val="clear" w:color="auto" w:fill="FFFFFF"/>
              </w:rPr>
              <w:t>1日至今，以合同签订时间为准）累计不少于</w:t>
            </w:r>
            <w:r>
              <w:rPr>
                <w:rFonts w:hint="eastAsia" w:ascii="宋体" w:hAnsi="宋体" w:cs="宋体"/>
                <w:color w:val="000000"/>
                <w:sz w:val="21"/>
                <w:szCs w:val="21"/>
                <w:highlight w:val="none"/>
                <w:lang w:val="en-US" w:eastAsia="zh-CN"/>
              </w:rPr>
              <w:t>30台移动充电设备供货业绩。</w:t>
            </w:r>
          </w:p>
        </w:tc>
      </w:tr>
    </w:tbl>
    <w:p w14:paraId="2A5C2002">
      <w:pPr>
        <w:spacing w:line="288" w:lineRule="auto"/>
        <w:rPr>
          <w:rFonts w:hint="eastAsia" w:ascii="宋体" w:hAnsi="宋体"/>
          <w:color w:val="000000"/>
          <w:szCs w:val="21"/>
          <w:highlight w:val="none"/>
          <w:shd w:val="clear" w:color="auto" w:fill="FFFFFF"/>
        </w:rPr>
      </w:pPr>
      <w:r>
        <w:rPr>
          <w:rFonts w:hint="eastAsia" w:ascii="宋体" w:hAnsi="宋体"/>
          <w:color w:val="000000"/>
          <w:szCs w:val="21"/>
          <w:highlight w:val="none"/>
        </w:rPr>
        <w:t>注：</w:t>
      </w:r>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和制造商的业绩可互用，以上业绩不包含制造商和代理商签订的合同</w:t>
      </w:r>
      <w:r>
        <w:rPr>
          <w:rFonts w:hint="eastAsia" w:ascii="宋体" w:hAnsi="宋体"/>
          <w:color w:val="000000"/>
          <w:szCs w:val="21"/>
          <w:highlight w:val="none"/>
        </w:rPr>
        <w:t>。</w:t>
      </w:r>
    </w:p>
    <w:p w14:paraId="479E0872">
      <w:pPr>
        <w:rPr>
          <w:rFonts w:hint="eastAsia" w:ascii="宋体" w:hAnsi="宋体" w:cs="宋体"/>
          <w:color w:val="000000"/>
          <w:sz w:val="21"/>
          <w:szCs w:val="21"/>
          <w:highlight w:val="none"/>
        </w:rPr>
      </w:pPr>
    </w:p>
    <w:p w14:paraId="2758FE09">
      <w:pPr>
        <w:rPr>
          <w:rFonts w:hint="eastAsia" w:ascii="宋体" w:hAnsi="宋体" w:cs="宋体"/>
          <w:color w:val="000000"/>
          <w:sz w:val="21"/>
          <w:szCs w:val="21"/>
          <w:highlight w:val="none"/>
        </w:rPr>
      </w:pPr>
    </w:p>
    <w:p w14:paraId="1EEEBB24">
      <w:pPr>
        <w:rPr>
          <w:rFonts w:hint="eastAsia" w:ascii="宋体" w:hAnsi="宋体" w:cs="宋体"/>
          <w:color w:val="000000"/>
          <w:sz w:val="21"/>
          <w:szCs w:val="21"/>
          <w:highlight w:val="none"/>
        </w:rPr>
      </w:pPr>
    </w:p>
    <w:p w14:paraId="6BDC32A1">
      <w:pPr>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附录3 资格审查条件(信誉最低要求)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9"/>
      </w:tblGrid>
      <w:tr w14:paraId="6E9B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219" w:type="dxa"/>
            <w:vAlign w:val="center"/>
          </w:tcPr>
          <w:p w14:paraId="13F76BB0">
            <w:pPr>
              <w:adjustRightInd w:val="0"/>
              <w:snapToGrid w:val="0"/>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信誉要求</w:t>
            </w:r>
          </w:p>
        </w:tc>
      </w:tr>
      <w:tr w14:paraId="662B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219" w:type="dxa"/>
            <w:vAlign w:val="center"/>
          </w:tcPr>
          <w:p w14:paraId="0E0EE62C">
            <w:pPr>
              <w:adjustRightInd w:val="0"/>
              <w:snapToGrid w:val="0"/>
              <w:rPr>
                <w:rFonts w:hint="eastAsia" w:ascii="宋体" w:hAnsi="宋体" w:cs="宋体"/>
                <w:b/>
                <w:color w:val="000000"/>
                <w:sz w:val="21"/>
                <w:szCs w:val="21"/>
                <w:highlight w:val="none"/>
                <w:shd w:val="clear" w:color="auto" w:fill="FFFFFF"/>
              </w:rPr>
            </w:pPr>
            <w:r>
              <w:rPr>
                <w:rFonts w:hint="eastAsia" w:ascii="宋体" w:hAnsi="宋体" w:cs="宋体"/>
                <w:color w:val="000000"/>
                <w:sz w:val="21"/>
                <w:szCs w:val="21"/>
                <w:highlight w:val="none"/>
              </w:rPr>
              <w:t>投标人在过去1年中(2023年</w:t>
            </w:r>
            <w:r>
              <w:rPr>
                <w:rFonts w:hint="eastAsia" w:ascii="宋体" w:hAnsi="宋体" w:cs="宋体"/>
                <w:color w:val="000000"/>
                <w:sz w:val="21"/>
                <w:szCs w:val="21"/>
                <w:highlight w:val="none"/>
                <w:lang w:eastAsia="zh-CN"/>
              </w:rPr>
              <w:t>11月</w:t>
            </w:r>
            <w:r>
              <w:rPr>
                <w:rFonts w:hint="eastAsia" w:ascii="宋体" w:hAnsi="宋体" w:cs="宋体"/>
                <w:color w:val="000000"/>
                <w:sz w:val="21"/>
                <w:szCs w:val="21"/>
                <w:highlight w:val="none"/>
              </w:rPr>
              <w:t>1日至今)不曾在</w:t>
            </w:r>
            <w:r>
              <w:rPr>
                <w:rFonts w:hint="eastAsia" w:ascii="宋体" w:hAnsi="宋体" w:cs="宋体"/>
                <w:color w:val="000000"/>
                <w:sz w:val="21"/>
                <w:szCs w:val="21"/>
                <w:highlight w:val="none"/>
                <w:lang w:val="en-US" w:eastAsia="zh-CN"/>
              </w:rPr>
              <w:t>移动充电设备</w:t>
            </w:r>
            <w:r>
              <w:rPr>
                <w:rFonts w:hint="eastAsia" w:ascii="宋体" w:hAnsi="宋体" w:cs="宋体"/>
                <w:color w:val="000000"/>
                <w:sz w:val="21"/>
                <w:szCs w:val="21"/>
                <w:highlight w:val="none"/>
              </w:rPr>
              <w:t>供货合同中违约而被驱逐或因投标人自身的原因而使</w:t>
            </w:r>
            <w:r>
              <w:rPr>
                <w:rFonts w:hint="eastAsia" w:ascii="宋体" w:hAnsi="宋体" w:cs="宋体"/>
                <w:color w:val="000000"/>
                <w:sz w:val="21"/>
                <w:szCs w:val="21"/>
                <w:highlight w:val="none"/>
                <w:lang w:val="en-US" w:eastAsia="zh-CN"/>
              </w:rPr>
              <w:t>移动充电设备</w:t>
            </w:r>
            <w:r>
              <w:rPr>
                <w:rFonts w:hint="eastAsia" w:ascii="宋体" w:hAnsi="宋体" w:cs="宋体"/>
                <w:color w:val="000000"/>
                <w:sz w:val="21"/>
                <w:szCs w:val="21"/>
                <w:highlight w:val="none"/>
              </w:rPr>
              <w:t>供货合同被解除。</w:t>
            </w:r>
          </w:p>
        </w:tc>
      </w:tr>
    </w:tbl>
    <w:p w14:paraId="206F50A6">
      <w:pPr>
        <w:pStyle w:val="13"/>
        <w:ind w:left="400"/>
        <w:rPr>
          <w:color w:val="000000"/>
          <w:highlight w:val="none"/>
        </w:rPr>
      </w:pPr>
    </w:p>
    <w:p w14:paraId="38D71DE5">
      <w:pPr>
        <w:pStyle w:val="13"/>
        <w:pageBreakBefore/>
        <w:snapToGrid w:val="0"/>
        <w:spacing w:after="0" w:line="360" w:lineRule="auto"/>
        <w:ind w:left="0" w:firstLine="0"/>
        <w:rPr>
          <w:color w:val="000000"/>
          <w:szCs w:val="21"/>
          <w:highlight w:val="none"/>
        </w:rPr>
      </w:pPr>
      <w:r>
        <w:rPr>
          <w:rFonts w:hint="eastAsia" w:ascii="宋体" w:hAnsi="宋体" w:cs="宋体"/>
          <w:b/>
          <w:color w:val="000000"/>
          <w:szCs w:val="21"/>
          <w:highlight w:val="none"/>
        </w:rPr>
        <w:t>附件2：评标办法前附表</w:t>
      </w:r>
    </w:p>
    <w:p w14:paraId="72A518F0">
      <w:pPr>
        <w:pStyle w:val="2"/>
        <w:wordWrap w:val="0"/>
        <w:spacing w:before="0" w:line="360" w:lineRule="auto"/>
        <w:rPr>
          <w:rFonts w:hint="eastAsia" w:ascii="宋体" w:hAnsi="宋体" w:cs="宋体"/>
          <w:color w:val="auto"/>
          <w:spacing w:val="1"/>
          <w:sz w:val="28"/>
          <w:szCs w:val="28"/>
          <w:highlight w:val="none"/>
        </w:rPr>
      </w:pPr>
      <w:bookmarkStart w:id="0" w:name="__RefHeading___Toc22300259"/>
      <w:bookmarkEnd w:id="0"/>
      <w:r>
        <w:rPr>
          <w:rFonts w:hint="eastAsia" w:ascii="宋体" w:hAnsi="宋体" w:cs="宋体"/>
          <w:color w:val="auto"/>
          <w:spacing w:val="2"/>
          <w:sz w:val="24"/>
          <w:szCs w:val="24"/>
          <w:highlight w:val="none"/>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DEC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6E85B03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7197" w:type="dxa"/>
            <w:vAlign w:val="center"/>
          </w:tcPr>
          <w:p w14:paraId="70889F6C">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评审因素与标准</w:t>
            </w:r>
          </w:p>
        </w:tc>
      </w:tr>
      <w:tr w14:paraId="3E4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03070AAD">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1</w:t>
            </w:r>
          </w:p>
        </w:tc>
        <w:tc>
          <w:tcPr>
            <w:tcW w:w="1317" w:type="dxa"/>
            <w:vAlign w:val="center"/>
          </w:tcPr>
          <w:p w14:paraId="6155D1C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评标办法</w:t>
            </w:r>
          </w:p>
        </w:tc>
        <w:tc>
          <w:tcPr>
            <w:tcW w:w="7197" w:type="dxa"/>
            <w:vAlign w:val="center"/>
          </w:tcPr>
          <w:p w14:paraId="01C2791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430B768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3B727A3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(2)技术得分较高的投标人优先；</w:t>
            </w:r>
          </w:p>
          <w:p w14:paraId="558283C8">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(3)满足资格审查条件附录2（业绩最低要求）要求的累计</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数量多的</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优先。</w:t>
            </w:r>
          </w:p>
        </w:tc>
      </w:tr>
      <w:tr w14:paraId="3580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0E659C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p w14:paraId="3DB10759">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317" w:type="dxa"/>
            <w:vAlign w:val="center"/>
          </w:tcPr>
          <w:p w14:paraId="37FCD7E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形式评审与响应性评审标准</w:t>
            </w:r>
          </w:p>
        </w:tc>
        <w:tc>
          <w:tcPr>
            <w:tcW w:w="7197" w:type="dxa"/>
            <w:vAlign w:val="center"/>
          </w:tcPr>
          <w:p w14:paraId="3AD91FB0">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第一个信封（商务文件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p>
          <w:p w14:paraId="17C86D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64E7135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a.投标函按照招标文件规定填报了招标人名称、项目名称、补遗书编号（如有）、交货地点、交货期、质量要求；</w:t>
            </w:r>
          </w:p>
          <w:p w14:paraId="391AA54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5CABDF9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（2）投标文件上法定代表人或其委托代理人的签字、投标人的单位章盖章齐全，符合招标文件规定。</w:t>
            </w:r>
          </w:p>
          <w:p w14:paraId="7AE18C57">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（3）投标人按照招标文件的规定提供了投标保证金，满足投标人须知3.4.1规定。</w:t>
            </w:r>
          </w:p>
          <w:p w14:paraId="14B94DF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（4）投标人法定代表人授权委托代理人签署投标文件的，须提交授权委托书，授权委托书的签字盖章符合招标文件规定。</w:t>
            </w:r>
          </w:p>
          <w:p w14:paraId="4234F3D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（5）投标人法定代表人亲自签署投标文件的，提供了法定代表人身份证明,法定代表人身份证明的签字盖章符合招标文件规定。</w:t>
            </w:r>
          </w:p>
          <w:p w14:paraId="7C4266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（6）投标人未以联合体形式投标。</w:t>
            </w:r>
          </w:p>
          <w:p w14:paraId="1CB0D140">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（7）投标人未对本项目进行分包。</w:t>
            </w:r>
          </w:p>
          <w:p w14:paraId="0D37AB7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（8）同一投标人未提交两个以上不同的投标文件。</w:t>
            </w:r>
          </w:p>
          <w:p w14:paraId="135E1B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（9）投标文件中未出现有关投标报价的内容。</w:t>
            </w:r>
          </w:p>
          <w:p w14:paraId="18C0172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（10）投标文件载明的招标项目完成期限未超过招标文件规定的时限。</w:t>
            </w:r>
          </w:p>
          <w:p w14:paraId="09F14E7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）权利义务符合招标文件规定：</w:t>
            </w:r>
          </w:p>
          <w:p w14:paraId="5BC307C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23AB6B8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726162A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c．投标人未提出不同的工程验收、计量、支付办法；</w:t>
            </w:r>
          </w:p>
          <w:p w14:paraId="6DD019C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14:paraId="6DC180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14:paraId="6661950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f．投标人未对合同条款有重要保留</w:t>
            </w:r>
          </w:p>
          <w:p w14:paraId="23EE602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）投标文件对招标文件的实质性要求和条件（带</w:t>
            </w:r>
            <w:r>
              <w:rPr>
                <w:rFonts w:hint="eastAsia" w:ascii="宋体" w:hAnsi="宋体" w:cs="宋体"/>
                <w:color w:val="auto"/>
                <w:spacing w:val="-2"/>
                <w:sz w:val="21"/>
                <w:szCs w:val="21"/>
                <w:highlight w:val="none"/>
              </w:rPr>
              <w:t>*</w:t>
            </w:r>
            <w:r>
              <w:rPr>
                <w:rFonts w:hint="eastAsia" w:ascii="宋体" w:hAnsi="宋体" w:cs="宋体"/>
                <w:color w:val="auto"/>
                <w:sz w:val="21"/>
                <w:szCs w:val="21"/>
                <w:highlight w:val="none"/>
              </w:rPr>
              <w:t>的条款）作出响应，满足招标文件的要求。</w:t>
            </w:r>
          </w:p>
          <w:p w14:paraId="1441F85B">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）技术支持资料符合第二章“投标人须知”第 1.11.3 项规定</w:t>
            </w:r>
          </w:p>
          <w:p w14:paraId="7E039EAE">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2ACDD75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196B30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a.投标函按照招标文件规定填报了招标人名称、项目名称、补遗书编号（如有）、投标报价（包括大写金额和小写金额）；</w:t>
            </w:r>
          </w:p>
          <w:p w14:paraId="34FAA8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b.报价说明文字与招标文件规定一致，未对实质性内容进行修改和删除。</w:t>
            </w:r>
          </w:p>
          <w:p w14:paraId="3AF1401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c.投标文件组成齐全完整，内容均按规定填写。</w:t>
            </w:r>
          </w:p>
          <w:p w14:paraId="051378B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1281512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5D41B81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（4）投标报价的大写金额能够确定具体数值。</w:t>
            </w:r>
          </w:p>
          <w:p w14:paraId="6C23E39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（5）同一投标人未提交两个以上不同的投标报价。</w:t>
            </w:r>
          </w:p>
          <w:p w14:paraId="459E6948">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ascii="宋体" w:hAnsi="宋体" w:cs="宋体"/>
                <w:color w:val="auto"/>
                <w:sz w:val="21"/>
                <w:szCs w:val="21"/>
                <w:highlight w:val="none"/>
              </w:rPr>
              <w:t>（6）分项报价表中投标报价与投标函大写金额一致。</w:t>
            </w:r>
          </w:p>
        </w:tc>
      </w:tr>
      <w:tr w14:paraId="17E3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4F11355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317" w:type="dxa"/>
            <w:vAlign w:val="center"/>
          </w:tcPr>
          <w:p w14:paraId="2467A4B4">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197" w:type="dxa"/>
            <w:vAlign w:val="center"/>
          </w:tcPr>
          <w:p w14:paraId="19E34EC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（1）投标人具备有效的企业营业执照、组织机构代码证（三证合一或五证合一的除外）和基本账户开户许可证（或基本存款账户信息）；</w:t>
            </w:r>
          </w:p>
          <w:p w14:paraId="6BBF182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（2）投标人的资质符合招标文件规定；</w:t>
            </w:r>
          </w:p>
          <w:p w14:paraId="3EE38C9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（3）投标人的类似项目业绩符合招标文件规定；</w:t>
            </w:r>
          </w:p>
          <w:p w14:paraId="3D89F6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（4）投标人的信誉符合招标文件规定；</w:t>
            </w:r>
          </w:p>
          <w:p w14:paraId="338E12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（5）投标人不存在第二章“投标人须知”第1.4.3项规定的任何一种情形。</w:t>
            </w:r>
          </w:p>
        </w:tc>
      </w:tr>
      <w:tr w14:paraId="25B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2EB4A8E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317" w:type="dxa"/>
            <w:vAlign w:val="center"/>
          </w:tcPr>
          <w:p w14:paraId="1C2C411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7197" w:type="dxa"/>
            <w:vAlign w:val="center"/>
          </w:tcPr>
          <w:p w14:paraId="1EF64CE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775E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052943C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317" w:type="dxa"/>
            <w:vAlign w:val="center"/>
          </w:tcPr>
          <w:p w14:paraId="4573119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分值构成</w:t>
            </w:r>
          </w:p>
          <w:p w14:paraId="0EC0300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7197" w:type="dxa"/>
            <w:vAlign w:val="center"/>
          </w:tcPr>
          <w:p w14:paraId="4B9A5798">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第一个信封（商务及技术文件）评分分值构成：</w:t>
            </w:r>
          </w:p>
          <w:p w14:paraId="6D6C4134">
            <w:pPr>
              <w:keepNext w:val="0"/>
              <w:keepLines w:val="0"/>
              <w:pageBreakBefore w:val="0"/>
              <w:widowControl w:val="0"/>
              <w:kinsoku/>
              <w:wordWrap/>
              <w:overflowPunct/>
              <w:topLinePunct w:val="0"/>
              <w:bidi w:val="0"/>
              <w:adjustRightInd w:val="0"/>
              <w:snapToGrid w:val="0"/>
              <w:spacing w:line="320" w:lineRule="exact"/>
              <w:ind w:left="102"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商务部分：</w:t>
            </w:r>
            <w:r>
              <w:rPr>
                <w:rFonts w:hint="eastAsia" w:ascii="宋体" w:hAnsi="宋体" w:eastAsia="宋体" w:cs="宋体"/>
                <w:caps w:val="0"/>
                <w:color w:val="000000"/>
                <w:spacing w:val="0"/>
                <w:sz w:val="21"/>
                <w:szCs w:val="21"/>
                <w:highlight w:val="none"/>
                <w:u w:val="single"/>
                <w:lang w:val="en-US" w:eastAsia="zh-CN"/>
              </w:rPr>
              <w:t>10</w:t>
            </w:r>
            <w:r>
              <w:rPr>
                <w:rFonts w:hint="eastAsia" w:ascii="宋体" w:hAnsi="宋体" w:eastAsia="宋体" w:cs="宋体"/>
                <w:caps w:val="0"/>
                <w:color w:val="000000"/>
                <w:spacing w:val="0"/>
                <w:sz w:val="21"/>
                <w:szCs w:val="21"/>
                <w:highlight w:val="none"/>
              </w:rPr>
              <w:t xml:space="preserve">分 </w:t>
            </w:r>
          </w:p>
          <w:p w14:paraId="7C35EE6A">
            <w:pPr>
              <w:keepNext w:val="0"/>
              <w:keepLines w:val="0"/>
              <w:pageBreakBefore w:val="0"/>
              <w:widowControl w:val="0"/>
              <w:kinsoku/>
              <w:wordWrap/>
              <w:overflowPunct/>
              <w:topLinePunct w:val="0"/>
              <w:bidi w:val="0"/>
              <w:adjustRightInd w:val="0"/>
              <w:snapToGrid w:val="0"/>
              <w:spacing w:line="320" w:lineRule="exact"/>
              <w:ind w:left="102"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技术部分：</w:t>
            </w:r>
            <w:r>
              <w:rPr>
                <w:rFonts w:hint="eastAsia" w:ascii="宋体" w:hAnsi="宋体" w:eastAsia="宋体" w:cs="宋体"/>
                <w:caps w:val="0"/>
                <w:color w:val="000000"/>
                <w:spacing w:val="0"/>
                <w:sz w:val="21"/>
                <w:szCs w:val="21"/>
                <w:highlight w:val="none"/>
                <w:u w:val="single"/>
                <w:lang w:val="en-US" w:eastAsia="zh-CN"/>
              </w:rPr>
              <w:t>40</w:t>
            </w:r>
            <w:r>
              <w:rPr>
                <w:rFonts w:hint="eastAsia" w:ascii="宋体" w:hAnsi="宋体" w:eastAsia="宋体" w:cs="宋体"/>
                <w:caps w:val="0"/>
                <w:color w:val="000000"/>
                <w:spacing w:val="0"/>
                <w:sz w:val="21"/>
                <w:szCs w:val="21"/>
                <w:highlight w:val="none"/>
              </w:rPr>
              <w:t xml:space="preserve">分 </w:t>
            </w:r>
          </w:p>
          <w:p w14:paraId="1372D6E2">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第二个信封（报价文件）评分分值构成：</w:t>
            </w:r>
          </w:p>
          <w:p w14:paraId="7B93DE6C">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aps w:val="0"/>
                <w:color w:val="000000"/>
                <w:spacing w:val="0"/>
                <w:sz w:val="21"/>
                <w:szCs w:val="21"/>
                <w:highlight w:val="none"/>
              </w:rPr>
              <w:t>投标报价：</w:t>
            </w:r>
            <w:r>
              <w:rPr>
                <w:rFonts w:hint="eastAsia" w:ascii="宋体" w:hAnsi="宋体" w:eastAsia="宋体" w:cs="宋体"/>
                <w:caps w:val="0"/>
                <w:color w:val="000000"/>
                <w:spacing w:val="0"/>
                <w:sz w:val="21"/>
                <w:szCs w:val="21"/>
                <w:highlight w:val="none"/>
                <w:u w:val="single"/>
                <w:lang w:val="en-US" w:eastAsia="zh-CN"/>
              </w:rPr>
              <w:t>50</w:t>
            </w:r>
            <w:r>
              <w:rPr>
                <w:rFonts w:hint="eastAsia" w:ascii="宋体" w:hAnsi="宋体" w:eastAsia="宋体" w:cs="宋体"/>
                <w:caps w:val="0"/>
                <w:color w:val="000000"/>
                <w:spacing w:val="0"/>
                <w:sz w:val="21"/>
                <w:szCs w:val="21"/>
                <w:highlight w:val="none"/>
              </w:rPr>
              <w:t>分</w:t>
            </w:r>
          </w:p>
        </w:tc>
      </w:tr>
      <w:tr w14:paraId="4FB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C83F7C7">
            <w:pPr>
              <w:keepNext w:val="0"/>
              <w:keepLines w:val="0"/>
              <w:pageBreakBefore w:val="0"/>
              <w:widowControl w:val="0"/>
              <w:kinsoku/>
              <w:wordWrap/>
              <w:overflowPunct/>
              <w:topLinePunct w:val="0"/>
              <w:bidi w:val="0"/>
              <w:adjustRightInd w:val="0"/>
              <w:snapToGrid w:val="0"/>
              <w:spacing w:line="320" w:lineRule="exact"/>
              <w:ind w:left="32" w:leftChars="16" w:right="87" w:rightChars="0"/>
              <w:jc w:val="center"/>
              <w:textAlignment w:val="auto"/>
              <w:rPr>
                <w:rFonts w:hint="eastAsia" w:ascii="宋体" w:hAnsi="宋体" w:cs="宋体"/>
                <w:color w:val="auto"/>
                <w:sz w:val="21"/>
                <w:szCs w:val="21"/>
                <w:highlight w:val="none"/>
              </w:rPr>
            </w:pPr>
            <w:r>
              <w:rPr>
                <w:rFonts w:ascii="宋体" w:hAnsi="宋体" w:cs="微软雅黑"/>
                <w:caps w:val="0"/>
                <w:spacing w:val="0"/>
                <w:sz w:val="21"/>
                <w:szCs w:val="21"/>
                <w:highlight w:val="none"/>
              </w:rPr>
              <w:t>2.2.2</w:t>
            </w:r>
          </w:p>
        </w:tc>
        <w:tc>
          <w:tcPr>
            <w:tcW w:w="1317" w:type="dxa"/>
            <w:vAlign w:val="center"/>
          </w:tcPr>
          <w:p w14:paraId="288A71E0">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spacing w:val="0"/>
                <w:sz w:val="21"/>
                <w:szCs w:val="21"/>
                <w:highlight w:val="none"/>
              </w:rPr>
            </w:pPr>
            <w:r>
              <w:rPr>
                <w:rFonts w:hint="eastAsia" w:ascii="宋体" w:hAnsi="宋体" w:cs="微软雅黑"/>
                <w:caps w:val="0"/>
                <w:spacing w:val="0"/>
                <w:sz w:val="21"/>
                <w:szCs w:val="21"/>
                <w:highlight w:val="none"/>
              </w:rPr>
              <w:t>评标</w:t>
            </w:r>
          </w:p>
          <w:p w14:paraId="7440B37D">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spacing w:val="0"/>
                <w:sz w:val="21"/>
                <w:szCs w:val="21"/>
                <w:highlight w:val="none"/>
              </w:rPr>
            </w:pPr>
            <w:r>
              <w:rPr>
                <w:rFonts w:hint="eastAsia" w:ascii="宋体" w:hAnsi="宋体" w:cs="微软雅黑"/>
                <w:caps w:val="0"/>
                <w:spacing w:val="0"/>
                <w:sz w:val="21"/>
                <w:szCs w:val="21"/>
                <w:highlight w:val="none"/>
              </w:rPr>
              <w:t>基准价</w:t>
            </w:r>
          </w:p>
          <w:p w14:paraId="6F2F1E89">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auto"/>
                <w:sz w:val="21"/>
                <w:szCs w:val="21"/>
                <w:highlight w:val="none"/>
              </w:rPr>
            </w:pPr>
            <w:r>
              <w:rPr>
                <w:rFonts w:hint="eastAsia" w:ascii="宋体" w:hAnsi="宋体" w:cs="微软雅黑"/>
                <w:caps w:val="0"/>
                <w:spacing w:val="0"/>
                <w:sz w:val="21"/>
                <w:szCs w:val="21"/>
                <w:highlight w:val="none"/>
              </w:rPr>
              <w:t>计算方法</w:t>
            </w:r>
          </w:p>
        </w:tc>
        <w:tc>
          <w:tcPr>
            <w:tcW w:w="7197" w:type="dxa"/>
            <w:vAlign w:val="center"/>
          </w:tcPr>
          <w:p w14:paraId="72B3ED5B">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（1）评标价的确定：评标价＝投标函文字报价</w:t>
            </w:r>
          </w:p>
          <w:p w14:paraId="66F16F38">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（2）评标价平均值的计算：</w:t>
            </w:r>
          </w:p>
          <w:p w14:paraId="1BEBF355">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highlight w:val="none"/>
              </w:rPr>
            </w:pPr>
            <w:r>
              <w:rPr>
                <w:rFonts w:hint="eastAsia" w:ascii="宋体" w:hAnsi="宋体" w:eastAsia="宋体" w:cs="Times New Roman"/>
                <w:kern w:val="2"/>
                <w:sz w:val="21"/>
                <w:highlight w:val="none"/>
              </w:rPr>
              <w:t>除按第二章“投标人须知”第5.2.</w:t>
            </w:r>
            <w:r>
              <w:rPr>
                <w:rFonts w:hint="eastAsia" w:ascii="宋体" w:hAnsi="宋体" w:eastAsia="宋体" w:cs="Times New Roman"/>
                <w:kern w:val="2"/>
                <w:sz w:val="21"/>
                <w:highlight w:val="none"/>
                <w:lang w:val="en-US" w:eastAsia="zh-CN"/>
              </w:rPr>
              <w:t>4</w:t>
            </w:r>
            <w:r>
              <w:rPr>
                <w:rFonts w:hint="eastAsia" w:ascii="宋体" w:hAnsi="宋体" w:eastAsia="宋体" w:cs="Times New Roman"/>
                <w:kern w:val="2"/>
                <w:sz w:val="21"/>
                <w:highlight w:val="none"/>
              </w:rPr>
              <w:t>项规定开标现场被宣布为不进入评标基准价计算的投标报价之外，所有投标人的</w:t>
            </w:r>
            <w:r>
              <w:rPr>
                <w:rFonts w:hint="eastAsia" w:ascii="宋体" w:hAnsi="宋体" w:eastAsia="宋体" w:cs="宋体"/>
                <w:kern w:val="2"/>
                <w:sz w:val="21"/>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554C7D1E">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7D0DB67D">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10AA9DBE">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kern w:val="2"/>
                <w:sz w:val="21"/>
                <w:highlight w:val="none"/>
              </w:rPr>
              <w:t>。</w:t>
            </w:r>
          </w:p>
        </w:tc>
      </w:tr>
      <w:tr w14:paraId="1908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817CB05">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2.2.3</w:t>
            </w:r>
          </w:p>
        </w:tc>
        <w:tc>
          <w:tcPr>
            <w:tcW w:w="1317" w:type="dxa"/>
            <w:vAlign w:val="center"/>
          </w:tcPr>
          <w:p w14:paraId="2D7803CE">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投标报价的偏差率计算公式</w:t>
            </w:r>
          </w:p>
        </w:tc>
        <w:tc>
          <w:tcPr>
            <w:tcW w:w="7197" w:type="dxa"/>
            <w:vAlign w:val="center"/>
          </w:tcPr>
          <w:p w14:paraId="0B1867ED">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偏差率=100%×（投标人评标价-评标基准价）/评标基准价</w:t>
            </w:r>
          </w:p>
        </w:tc>
      </w:tr>
      <w:tr w14:paraId="29D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55EB42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1317" w:type="dxa"/>
            <w:vAlign w:val="center"/>
          </w:tcPr>
          <w:p w14:paraId="0BC7B019">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信息查询</w:t>
            </w:r>
          </w:p>
        </w:tc>
        <w:tc>
          <w:tcPr>
            <w:tcW w:w="7197" w:type="dxa"/>
            <w:vAlign w:val="center"/>
          </w:tcPr>
          <w:p w14:paraId="69520B9B">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修改为：</w:t>
            </w:r>
          </w:p>
          <w:p w14:paraId="227313F9">
            <w:pPr>
              <w:keepNext w:val="0"/>
              <w:keepLines w:val="0"/>
              <w:pageBreakBefore w:val="0"/>
              <w:kinsoku/>
              <w:wordWrap/>
              <w:overflowPunct/>
              <w:topLinePunct w:val="0"/>
              <w:bidi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4BC47F7C">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1D4675B5">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7D995A9C">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0F3F91FA">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投标人应保证本款所附的全部截图的真实性。</w:t>
            </w:r>
            <w:r>
              <w:rPr>
                <w:rFonts w:hint="eastAsia" w:ascii="宋体" w:hAnsi="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71BC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vAlign w:val="center"/>
          </w:tcPr>
          <w:p w14:paraId="75C11F12">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auto"/>
                <w:sz w:val="21"/>
                <w:szCs w:val="21"/>
                <w:highlight w:val="none"/>
                <w:lang w:bidi="ar"/>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165A36D">
      <w:pPr>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br w:type="page"/>
      </w:r>
      <w:r>
        <w:rPr>
          <w:rFonts w:hint="eastAsia" w:ascii="宋体" w:hAnsi="宋体" w:cs="宋体"/>
          <w:color w:val="auto"/>
          <w:sz w:val="24"/>
          <w:szCs w:val="24"/>
          <w:highlight w:val="none"/>
          <w:lang w:bidi="ar"/>
        </w:rPr>
        <w:t>具体</w:t>
      </w:r>
      <w:r>
        <w:rPr>
          <w:rFonts w:hint="eastAsia" w:ascii="宋体" w:hAnsi="宋体" w:cs="宋体"/>
          <w:color w:val="auto"/>
          <w:sz w:val="21"/>
          <w:szCs w:val="21"/>
          <w:highlight w:val="none"/>
          <w:lang w:bidi="ar"/>
        </w:rPr>
        <w:t xml:space="preserve">评分标准如下： </w:t>
      </w:r>
    </w:p>
    <w:tbl>
      <w:tblPr>
        <w:tblStyle w:val="10"/>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3F1F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17555A0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评分因素与权重分值</w:t>
            </w:r>
          </w:p>
        </w:tc>
        <w:tc>
          <w:tcPr>
            <w:tcW w:w="4925" w:type="dxa"/>
            <w:vMerge w:val="restart"/>
            <w:shd w:val="clear" w:color="000000" w:fill="FFFFFF"/>
            <w:vAlign w:val="center"/>
          </w:tcPr>
          <w:p w14:paraId="10EB61C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评分标准</w:t>
            </w:r>
          </w:p>
        </w:tc>
      </w:tr>
      <w:tr w14:paraId="4AAF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35699BB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709" w:type="dxa"/>
            <w:shd w:val="clear" w:color="000000" w:fill="FFFFFF"/>
            <w:vAlign w:val="center"/>
          </w:tcPr>
          <w:p w14:paraId="19F4E8E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w:t>
            </w:r>
          </w:p>
        </w:tc>
        <w:tc>
          <w:tcPr>
            <w:tcW w:w="1038" w:type="dxa"/>
            <w:shd w:val="clear" w:color="000000" w:fill="FFFFFF"/>
            <w:vAlign w:val="center"/>
          </w:tcPr>
          <w:p w14:paraId="01A9E58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评分因素权重分值</w:t>
            </w:r>
          </w:p>
        </w:tc>
        <w:tc>
          <w:tcPr>
            <w:tcW w:w="1233" w:type="dxa"/>
            <w:shd w:val="clear" w:color="000000" w:fill="FFFFFF"/>
            <w:vAlign w:val="center"/>
          </w:tcPr>
          <w:p w14:paraId="0B8F9167">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各评分因素细分项</w:t>
            </w:r>
          </w:p>
        </w:tc>
        <w:tc>
          <w:tcPr>
            <w:tcW w:w="989" w:type="dxa"/>
            <w:shd w:val="clear" w:color="000000" w:fill="FFFFFF"/>
            <w:vAlign w:val="center"/>
          </w:tcPr>
          <w:p w14:paraId="14716C1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w:t>
            </w:r>
          </w:p>
        </w:tc>
        <w:tc>
          <w:tcPr>
            <w:tcW w:w="4925" w:type="dxa"/>
            <w:vMerge w:val="continue"/>
            <w:shd w:val="clear" w:color="000000" w:fill="FFFFFF"/>
          </w:tcPr>
          <w:p w14:paraId="2B6994C2">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auto"/>
                <w:sz w:val="21"/>
                <w:szCs w:val="21"/>
                <w:highlight w:val="none"/>
                <w:lang w:val="zh-CN"/>
              </w:rPr>
            </w:pPr>
          </w:p>
        </w:tc>
      </w:tr>
      <w:tr w14:paraId="264B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16" w:type="dxa"/>
            <w:vMerge w:val="restart"/>
            <w:shd w:val="clear" w:color="000000" w:fill="FFFFFF"/>
            <w:vAlign w:val="center"/>
          </w:tcPr>
          <w:p w14:paraId="18106EE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p>
          <w:p w14:paraId="5313E3DD">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shd w:val="clear" w:color="000000" w:fill="FFFFFF"/>
            <w:vAlign w:val="center"/>
          </w:tcPr>
          <w:p w14:paraId="2051667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1038" w:type="dxa"/>
            <w:vMerge w:val="restart"/>
            <w:shd w:val="clear" w:color="000000" w:fill="FFFFFF"/>
            <w:vAlign w:val="center"/>
          </w:tcPr>
          <w:p w14:paraId="3051F1D0">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w:t>
            </w:r>
          </w:p>
        </w:tc>
        <w:tc>
          <w:tcPr>
            <w:tcW w:w="1233" w:type="dxa"/>
            <w:vMerge w:val="restart"/>
            <w:shd w:val="clear" w:color="000000" w:fill="FFFFFF"/>
            <w:vAlign w:val="center"/>
          </w:tcPr>
          <w:p w14:paraId="145EAA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设</w:t>
            </w:r>
            <w:r>
              <w:rPr>
                <w:rFonts w:hint="eastAsia" w:ascii="宋体" w:hAnsi="宋体" w:eastAsia="宋体" w:cs="宋体"/>
                <w:color w:val="auto"/>
                <w:sz w:val="21"/>
                <w:szCs w:val="21"/>
                <w:highlight w:val="none"/>
              </w:rPr>
              <w:t>备</w:t>
            </w:r>
            <w:r>
              <w:rPr>
                <w:rFonts w:hint="eastAsia" w:ascii="宋体" w:hAnsi="宋体" w:eastAsia="宋体" w:cs="宋体"/>
                <w:color w:val="auto"/>
                <w:spacing w:val="-2"/>
                <w:sz w:val="21"/>
                <w:szCs w:val="21"/>
                <w:highlight w:val="none"/>
              </w:rPr>
              <w:t>的</w:t>
            </w:r>
            <w:r>
              <w:rPr>
                <w:rFonts w:hint="eastAsia" w:ascii="宋体" w:hAnsi="宋体" w:eastAsia="宋体" w:cs="宋体"/>
                <w:color w:val="auto"/>
                <w:sz w:val="21"/>
                <w:szCs w:val="21"/>
                <w:highlight w:val="none"/>
              </w:rPr>
              <w:t>业绩</w:t>
            </w:r>
          </w:p>
        </w:tc>
        <w:tc>
          <w:tcPr>
            <w:tcW w:w="989" w:type="dxa"/>
            <w:vMerge w:val="restart"/>
            <w:shd w:val="clear" w:color="000000" w:fill="FFFFFF"/>
            <w:vAlign w:val="center"/>
          </w:tcPr>
          <w:p w14:paraId="02B6216F">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4925" w:type="dxa"/>
            <w:tcBorders>
              <w:bottom w:val="single" w:color="auto" w:sz="4" w:space="0"/>
            </w:tcBorders>
            <w:shd w:val="clear" w:color="000000" w:fill="FFFFFF"/>
          </w:tcPr>
          <w:p w14:paraId="5FAD05B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满足资格审查条件(业绩最低要求)得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2A8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816" w:type="dxa"/>
            <w:vMerge w:val="continue"/>
            <w:tcBorders>
              <w:bottom w:val="single" w:color="000000" w:sz="4" w:space="0"/>
            </w:tcBorders>
            <w:shd w:val="clear" w:color="000000" w:fill="FFFFFF"/>
            <w:vAlign w:val="center"/>
          </w:tcPr>
          <w:p w14:paraId="6D87793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tcBorders>
              <w:bottom w:val="single" w:color="000000" w:sz="4" w:space="0"/>
            </w:tcBorders>
            <w:shd w:val="clear" w:color="000000" w:fill="FFFFFF"/>
            <w:vAlign w:val="center"/>
          </w:tcPr>
          <w:p w14:paraId="6FBB3E4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038" w:type="dxa"/>
            <w:vMerge w:val="continue"/>
            <w:tcBorders>
              <w:bottom w:val="single" w:color="000000" w:sz="4" w:space="0"/>
            </w:tcBorders>
            <w:shd w:val="clear" w:color="000000" w:fill="FFFFFF"/>
            <w:vAlign w:val="center"/>
          </w:tcPr>
          <w:p w14:paraId="35BD837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vMerge w:val="continue"/>
            <w:tcBorders>
              <w:bottom w:val="single" w:color="000000" w:sz="4" w:space="0"/>
            </w:tcBorders>
            <w:shd w:val="clear" w:color="000000" w:fill="FFFFFF"/>
            <w:vAlign w:val="center"/>
          </w:tcPr>
          <w:p w14:paraId="086AEC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p>
        </w:tc>
        <w:tc>
          <w:tcPr>
            <w:tcW w:w="989" w:type="dxa"/>
            <w:vMerge w:val="continue"/>
            <w:tcBorders>
              <w:bottom w:val="single" w:color="000000" w:sz="4" w:space="0"/>
            </w:tcBorders>
            <w:shd w:val="clear" w:color="000000" w:fill="FFFFFF"/>
            <w:vAlign w:val="center"/>
          </w:tcPr>
          <w:p w14:paraId="0019549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4925" w:type="dxa"/>
            <w:tcBorders>
              <w:top w:val="single" w:color="auto" w:sz="4" w:space="0"/>
              <w:bottom w:val="single" w:color="000000" w:sz="4" w:space="0"/>
            </w:tcBorders>
            <w:shd w:val="clear" w:color="000000" w:fill="FFFFFF"/>
          </w:tcPr>
          <w:p w14:paraId="24C51E0E">
            <w:pPr>
              <w:keepNext w:val="0"/>
              <w:keepLines w:val="0"/>
              <w:pageBreakBefore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sz w:val="21"/>
                <w:szCs w:val="21"/>
                <w:highlight w:val="none"/>
              </w:rPr>
              <w:t>近3年内(2021年</w:t>
            </w:r>
            <w:r>
              <w:rPr>
                <w:rFonts w:hint="eastAsia" w:ascii="宋体" w:hAnsi="宋体" w:cs="宋体"/>
                <w:color w:val="000000"/>
                <w:sz w:val="21"/>
                <w:szCs w:val="21"/>
                <w:highlight w:val="none"/>
                <w:lang w:eastAsia="zh-CN"/>
              </w:rPr>
              <w:t>11月</w:t>
            </w:r>
            <w:r>
              <w:rPr>
                <w:rFonts w:hint="eastAsia" w:ascii="宋体" w:hAnsi="宋体" w:cs="宋体"/>
                <w:color w:val="000000"/>
                <w:sz w:val="21"/>
                <w:szCs w:val="21"/>
                <w:highlight w:val="none"/>
              </w:rPr>
              <w:t>1日至今，以合同签订时间为准)，每</w:t>
            </w:r>
            <w:r>
              <w:rPr>
                <w:rFonts w:hint="eastAsia" w:ascii="宋体" w:hAnsi="宋体" w:cs="宋体"/>
                <w:color w:val="000000"/>
                <w:sz w:val="21"/>
                <w:szCs w:val="21"/>
                <w:highlight w:val="none"/>
                <w:lang w:val="en-US" w:eastAsia="zh-CN"/>
              </w:rPr>
              <w:t>增加1台移动充电设备</w:t>
            </w:r>
            <w:r>
              <w:rPr>
                <w:rFonts w:hint="eastAsia" w:ascii="宋体" w:hAnsi="宋体" w:cs="宋体"/>
                <w:color w:val="000000"/>
                <w:sz w:val="21"/>
                <w:szCs w:val="21"/>
                <w:highlight w:val="none"/>
              </w:rPr>
              <w:t>供货业绩加</w:t>
            </w:r>
            <w:r>
              <w:rPr>
                <w:rFonts w:hint="eastAsia" w:ascii="宋体" w:hAnsi="宋体" w:cs="宋体"/>
                <w:color w:val="000000"/>
                <w:sz w:val="21"/>
                <w:szCs w:val="21"/>
                <w:highlight w:val="none"/>
                <w:lang w:val="en-US" w:eastAsia="zh-CN"/>
              </w:rPr>
              <w:t>0.4</w:t>
            </w:r>
            <w:r>
              <w:rPr>
                <w:rFonts w:hint="eastAsia" w:ascii="宋体" w:hAnsi="宋体" w:cs="宋体"/>
                <w:color w:val="000000"/>
                <w:sz w:val="21"/>
                <w:szCs w:val="21"/>
                <w:highlight w:val="none"/>
              </w:rPr>
              <w:t>分，最多加</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r>
              <w:rPr>
                <w:rFonts w:hint="eastAsia" w:ascii="宋体" w:hAnsi="宋体" w:eastAsia="宋体" w:cs="宋体"/>
                <w:color w:val="000000"/>
                <w:sz w:val="21"/>
                <w:szCs w:val="21"/>
                <w:highlight w:val="none"/>
              </w:rPr>
              <w:t>。</w:t>
            </w:r>
          </w:p>
        </w:tc>
      </w:tr>
      <w:tr w14:paraId="0E26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792AE3F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p>
          <w:p w14:paraId="5EE737D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09" w:type="dxa"/>
            <w:vMerge w:val="restart"/>
            <w:shd w:val="clear" w:color="000000" w:fill="FFFFFF"/>
            <w:vAlign w:val="center"/>
          </w:tcPr>
          <w:p w14:paraId="264CC26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1038" w:type="dxa"/>
            <w:vMerge w:val="restart"/>
            <w:shd w:val="clear" w:color="000000" w:fill="FFFFFF"/>
            <w:vAlign w:val="center"/>
          </w:tcPr>
          <w:p w14:paraId="5141A57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zh-CN"/>
              </w:rPr>
              <w:t>分</w:t>
            </w:r>
          </w:p>
        </w:tc>
        <w:tc>
          <w:tcPr>
            <w:tcW w:w="1233" w:type="dxa"/>
            <w:shd w:val="clear" w:color="000000" w:fill="FFFFFF"/>
            <w:vAlign w:val="center"/>
          </w:tcPr>
          <w:p w14:paraId="1B6D2DD2">
            <w:pPr>
              <w:pStyle w:val="1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投标设备整体评价</w:t>
            </w:r>
          </w:p>
        </w:tc>
        <w:tc>
          <w:tcPr>
            <w:tcW w:w="989" w:type="dxa"/>
            <w:shd w:val="clear" w:color="000000" w:fill="FFFFFF"/>
            <w:vAlign w:val="center"/>
          </w:tcPr>
          <w:p w14:paraId="1391C36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925" w:type="dxa"/>
            <w:shd w:val="clear" w:color="000000" w:fill="FFFFFF"/>
            <w:vAlign w:val="center"/>
          </w:tcPr>
          <w:p w14:paraId="6512203E">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1.设备整体性能优越、功能齐全、完善，自动化水平高，完全满足招标文件要求，得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DF628D4">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2.设备整体性能较高、功能较齐全、较完善，自动化水平较高，满足招标文件要求，得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EBE76EE">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3.设备整体性能一般，功能一般，自动化水平一般，基本满足招标文件要求，得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6F5F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0088553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186E965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6EE43EC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5BD2CD9A">
            <w:pPr>
              <w:pStyle w:val="1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投标设备技术性能指标响应程度</w:t>
            </w:r>
          </w:p>
        </w:tc>
        <w:tc>
          <w:tcPr>
            <w:tcW w:w="989" w:type="dxa"/>
            <w:shd w:val="clear" w:color="000000" w:fill="FFFFFF"/>
            <w:vAlign w:val="center"/>
          </w:tcPr>
          <w:p w14:paraId="290AE3B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925" w:type="dxa"/>
            <w:shd w:val="clear" w:color="000000" w:fill="FFFFFF"/>
            <w:vAlign w:val="top"/>
          </w:tcPr>
          <w:p w14:paraId="4E2D0403">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1.投标产品选型合理，主要机械组成部件的技术性能参数及功能参数指标高，实用性强、产品设计科学合理、质量可靠，得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DC56FD8">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2.投标产品选型较合理，主要机械组成部件的技术性能参数及功能参数指标较高，实用性较强、产品设计较合理、质量较可靠，得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0DE08E2">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3.投标产品选型一般，主要机械组成部件的技术性能参数及功能参数指标一般，实用性一般、产品设计一般、质量一般，得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F08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jc w:val="center"/>
        </w:trPr>
        <w:tc>
          <w:tcPr>
            <w:tcW w:w="816" w:type="dxa"/>
            <w:vMerge w:val="continue"/>
            <w:shd w:val="clear" w:color="000000" w:fill="FFFFFF"/>
            <w:vAlign w:val="center"/>
          </w:tcPr>
          <w:p w14:paraId="719BB67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35BD1C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7239ECA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462FD595">
            <w:pPr>
              <w:pStyle w:val="1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售后服务网点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售后服务人员</w:t>
            </w:r>
          </w:p>
        </w:tc>
        <w:tc>
          <w:tcPr>
            <w:tcW w:w="989" w:type="dxa"/>
            <w:shd w:val="clear" w:color="000000" w:fill="FFFFFF"/>
            <w:vAlign w:val="center"/>
          </w:tcPr>
          <w:p w14:paraId="0CFE860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925" w:type="dxa"/>
            <w:shd w:val="clear" w:color="000000" w:fill="FFFFFF"/>
            <w:vAlign w:val="top"/>
          </w:tcPr>
          <w:p w14:paraId="45C73727">
            <w:pPr>
              <w:keepNext w:val="0"/>
              <w:keepLines w:val="0"/>
              <w:pageBreakBefore w:val="0"/>
              <w:numPr>
                <w:ilvl w:val="0"/>
                <w:numId w:val="0"/>
              </w:numPr>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分布和数量合理完善，售后响应时间及时得8-10分；</w:t>
            </w:r>
          </w:p>
          <w:p w14:paraId="23963615">
            <w:pPr>
              <w:pStyle w:val="16"/>
              <w:keepNext w:val="0"/>
              <w:keepLines w:val="0"/>
              <w:pageBreakBefore w:val="0"/>
              <w:numPr>
                <w:ilvl w:val="0"/>
                <w:numId w:val="0"/>
              </w:numPr>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分布和数量较合理完善，售后响应时间较及时得6-8分；</w:t>
            </w:r>
          </w:p>
          <w:p w14:paraId="0A8D8B6B">
            <w:pPr>
              <w:pStyle w:val="16"/>
              <w:keepNext w:val="0"/>
              <w:keepLines w:val="0"/>
              <w:pageBreakBefore w:val="0"/>
              <w:numPr>
                <w:ilvl w:val="0"/>
                <w:numId w:val="0"/>
              </w:numPr>
              <w:kinsoku/>
              <w:wordWrap/>
              <w:overflowPunct/>
              <w:topLinePunct w:val="0"/>
              <w:bidi w:val="0"/>
              <w:snapToGrid w:val="0"/>
              <w:spacing w:line="320" w:lineRule="exact"/>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分布和数量基本可行，售后响应时间一般得6分；</w:t>
            </w:r>
          </w:p>
        </w:tc>
      </w:tr>
      <w:tr w14:paraId="11D9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3C57E88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098AF6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03BD844D">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p>
        </w:tc>
        <w:tc>
          <w:tcPr>
            <w:tcW w:w="1233" w:type="dxa"/>
            <w:tcBorders>
              <w:top w:val="single" w:color="auto" w:sz="4" w:space="0"/>
            </w:tcBorders>
            <w:shd w:val="clear" w:color="000000" w:fill="FFFFFF"/>
            <w:vAlign w:val="center"/>
          </w:tcPr>
          <w:p w14:paraId="6F3B60B2">
            <w:pPr>
              <w:pStyle w:val="1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供货能力及进度保障</w:t>
            </w:r>
          </w:p>
        </w:tc>
        <w:tc>
          <w:tcPr>
            <w:tcW w:w="989" w:type="dxa"/>
            <w:shd w:val="clear" w:color="000000" w:fill="FFFFFF"/>
            <w:vAlign w:val="center"/>
          </w:tcPr>
          <w:p w14:paraId="5C7B2D2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925" w:type="dxa"/>
            <w:shd w:val="clear" w:color="000000" w:fill="FFFFFF"/>
            <w:vAlign w:val="top"/>
          </w:tcPr>
          <w:p w14:paraId="4D7A83D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1.投标人提供的供货方案切实可行、供货能力强、交货进度有保障、能够保质保量的完成供货，针对供货过程中的特殊情况有预案，得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7A34E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2.投标人提供的供货方案可行、供货能力较强、交货进度满足招标文件要求，得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139496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3.投标人提供的供货方案一般、供货能力一般、交货进度基本满足招标文件要求，得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777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2921705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6990C4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319E9AC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2DB3288C">
            <w:pPr>
              <w:pStyle w:val="1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w:t>
            </w:r>
            <w:r>
              <w:rPr>
                <w:rFonts w:hint="eastAsia" w:ascii="宋体" w:hAnsi="宋体" w:eastAsia="宋体" w:cs="宋体"/>
                <w:color w:val="auto"/>
                <w:sz w:val="21"/>
                <w:szCs w:val="21"/>
                <w:highlight w:val="none"/>
                <w:lang w:val="en-US"/>
              </w:rPr>
              <w:t>及质保期</w:t>
            </w:r>
            <w:r>
              <w:rPr>
                <w:rFonts w:hint="eastAsia" w:ascii="宋体" w:hAnsi="宋体" w:eastAsia="宋体" w:cs="宋体"/>
                <w:color w:val="auto"/>
                <w:sz w:val="21"/>
                <w:szCs w:val="21"/>
                <w:highlight w:val="none"/>
              </w:rPr>
              <w:t>服务</w:t>
            </w:r>
          </w:p>
        </w:tc>
        <w:tc>
          <w:tcPr>
            <w:tcW w:w="989" w:type="dxa"/>
            <w:shd w:val="clear" w:color="000000" w:fill="FFFFFF"/>
            <w:vAlign w:val="center"/>
          </w:tcPr>
          <w:p w14:paraId="426C2E77">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925" w:type="dxa"/>
            <w:tcBorders>
              <w:bottom w:val="single" w:color="auto" w:sz="4" w:space="0"/>
            </w:tcBorders>
            <w:shd w:val="clear" w:color="000000" w:fill="FFFFFF"/>
            <w:vAlign w:val="center"/>
          </w:tcPr>
          <w:p w14:paraId="388F4D14">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服务方案切实可行，针对性强，</w:t>
            </w:r>
            <w:r>
              <w:rPr>
                <w:rFonts w:hint="eastAsia" w:ascii="宋体" w:hAnsi="宋体" w:eastAsia="宋体" w:cs="宋体"/>
                <w:color w:val="auto"/>
                <w:sz w:val="21"/>
                <w:szCs w:val="21"/>
                <w:highlight w:val="none"/>
              </w:rPr>
              <w:t>服务体系完善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p w14:paraId="0E3FA4D5">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服务方案较切实可行，针对性较强，</w:t>
            </w:r>
            <w:r>
              <w:rPr>
                <w:rFonts w:hint="eastAsia" w:ascii="宋体" w:hAnsi="宋体" w:eastAsia="宋体" w:cs="宋体"/>
                <w:color w:val="auto"/>
                <w:sz w:val="21"/>
                <w:szCs w:val="21"/>
                <w:highlight w:val="none"/>
              </w:rPr>
              <w:t>服务体系较完善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0191BA30">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服务方案基本可行，</w:t>
            </w:r>
            <w:r>
              <w:rPr>
                <w:rFonts w:hint="eastAsia" w:ascii="宋体" w:hAnsi="宋体" w:eastAsia="宋体" w:cs="宋体"/>
                <w:color w:val="auto"/>
                <w:sz w:val="21"/>
                <w:szCs w:val="21"/>
                <w:highlight w:val="none"/>
              </w:rPr>
              <w:t>服务体系基本完善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tc>
      </w:tr>
      <w:tr w14:paraId="39EB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E45F06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p>
        </w:tc>
        <w:tc>
          <w:tcPr>
            <w:tcW w:w="709" w:type="dxa"/>
            <w:shd w:val="clear" w:color="000000" w:fill="FFFFFF"/>
            <w:vAlign w:val="center"/>
          </w:tcPr>
          <w:p w14:paraId="7F7943D6">
            <w:pPr>
              <w:keepNext w:val="0"/>
              <w:keepLines w:val="0"/>
              <w:pageBreakBefore w:val="0"/>
              <w:kinsoku/>
              <w:wordWrap/>
              <w:overflowPunct/>
              <w:topLinePunct w:val="0"/>
              <w:bidi w:val="0"/>
              <w:snapToGrid w:val="0"/>
              <w:spacing w:line="320" w:lineRule="exact"/>
              <w:ind w:left="126" w:hanging="126" w:hangingChars="60"/>
              <w:jc w:val="both"/>
              <w:textAlignment w:val="auto"/>
              <w:rPr>
                <w:rFonts w:hint="eastAsia" w:ascii="宋体" w:hAnsi="宋体" w:eastAsia="宋体" w:cs="宋体"/>
                <w:color w:val="auto"/>
                <w:sz w:val="21"/>
                <w:szCs w:val="21"/>
                <w:highlight w:val="none"/>
              </w:rPr>
            </w:pPr>
            <w:r>
              <w:rPr>
                <w:rFonts w:hint="eastAsia" w:ascii="宋体" w:hAnsi="宋体" w:eastAsia="宋体" w:cs="宋体"/>
                <w:caps w:val="0"/>
                <w:spacing w:val="0"/>
                <w:kern w:val="0"/>
                <w:sz w:val="21"/>
                <w:szCs w:val="21"/>
                <w:highlight w:val="none"/>
              </w:rPr>
              <w:t>评标价</w:t>
            </w:r>
          </w:p>
        </w:tc>
        <w:tc>
          <w:tcPr>
            <w:tcW w:w="1038" w:type="dxa"/>
            <w:shd w:val="clear" w:color="000000" w:fill="FFFFFF"/>
            <w:vAlign w:val="center"/>
          </w:tcPr>
          <w:p w14:paraId="036D53E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zh-CN"/>
              </w:rPr>
              <w:t>分</w:t>
            </w:r>
          </w:p>
        </w:tc>
        <w:tc>
          <w:tcPr>
            <w:tcW w:w="7147" w:type="dxa"/>
            <w:gridSpan w:val="3"/>
            <w:shd w:val="clear" w:color="000000" w:fill="FFFFFF"/>
            <w:vAlign w:val="center"/>
          </w:tcPr>
          <w:p w14:paraId="061CEE05">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评标价得分计算公式示例：</w:t>
            </w:r>
          </w:p>
          <w:p w14:paraId="027A8D67">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234EBA22">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E41DEB">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0；E1=0.</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；E2=0.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；评标价最低得分为0分。</w:t>
            </w:r>
          </w:p>
          <w:p w14:paraId="7BF05B0C">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rPr>
              <w:t>评标价得分保留两位小数，第三位四舍五入。</w:t>
            </w:r>
          </w:p>
        </w:tc>
      </w:tr>
      <w:tr w14:paraId="4CB0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0304EE2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709" w:type="dxa"/>
            <w:shd w:val="clear" w:color="000000" w:fill="FFFFFF"/>
            <w:vAlign w:val="center"/>
          </w:tcPr>
          <w:p w14:paraId="28C99D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aps w:val="0"/>
                <w:spacing w:val="0"/>
                <w:kern w:val="0"/>
                <w:sz w:val="21"/>
                <w:szCs w:val="21"/>
                <w:highlight w:val="none"/>
              </w:rPr>
            </w:pPr>
            <w:r>
              <w:rPr>
                <w:rFonts w:hint="eastAsia" w:ascii="宋体" w:hAnsi="宋体" w:eastAsia="宋体" w:cs="宋体"/>
                <w:caps w:val="0"/>
                <w:spacing w:val="0"/>
                <w:kern w:val="0"/>
                <w:sz w:val="21"/>
                <w:szCs w:val="21"/>
                <w:highlight w:val="none"/>
                <w:lang w:val="en-US" w:eastAsia="zh-CN"/>
              </w:rPr>
              <w:t>其他因素</w:t>
            </w:r>
          </w:p>
        </w:tc>
        <w:tc>
          <w:tcPr>
            <w:tcW w:w="1038" w:type="dxa"/>
            <w:shd w:val="clear" w:color="000000" w:fill="FFFFFF"/>
            <w:vAlign w:val="center"/>
          </w:tcPr>
          <w:p w14:paraId="33C9F0C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147" w:type="dxa"/>
            <w:gridSpan w:val="3"/>
            <w:shd w:val="clear" w:color="000000" w:fill="FFFFFF"/>
            <w:vAlign w:val="center"/>
          </w:tcPr>
          <w:p w14:paraId="49D1A633">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w:t>
            </w:r>
          </w:p>
        </w:tc>
      </w:tr>
    </w:tbl>
    <w:p w14:paraId="3A17E649">
      <w:pPr>
        <w:rPr>
          <w:rFonts w:hint="eastAsia" w:ascii="宋体" w:hAnsi="宋体" w:cs="宋体"/>
          <w:color w:val="auto"/>
          <w:spacing w:val="2"/>
          <w:sz w:val="24"/>
          <w:szCs w:val="24"/>
          <w:highlight w:val="none"/>
        </w:rPr>
      </w:pPr>
    </w:p>
    <w:p w14:paraId="0864E4A6">
      <w:pPr>
        <w:adjustRightIn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注：1.评委打分保留一位小数，各评分因素得分应以评标委员会各成员的打分平均值确定，保留两位小数，第三位四舍五入。</w:t>
      </w:r>
    </w:p>
    <w:p w14:paraId="6D0A49F1">
      <w:pPr>
        <w:ind w:firstLine="420" w:firstLineChars="200"/>
      </w:pPr>
      <w:r>
        <w:rPr>
          <w:rFonts w:hint="eastAsia" w:ascii="宋体" w:hAnsi="宋体" w:eastAsia="宋体" w:cs="宋体"/>
          <w:color w:val="auto"/>
          <w:sz w:val="21"/>
          <w:szCs w:val="21"/>
          <w:highlight w:val="none"/>
        </w:rPr>
        <w:t>2.技术部分评分因素缺项则该项得0分</w:t>
      </w:r>
      <w:r>
        <w:rPr>
          <w:rFonts w:hint="eastAsia" w:ascii="宋体" w:hAnsi="宋体" w:cs="宋体"/>
          <w:color w:val="000000"/>
          <w:szCs w:val="21"/>
          <w:highlight w:val="none"/>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B3CD3"/>
    <w:rsid w:val="639E6324"/>
    <w:rsid w:val="649B6149"/>
    <w:rsid w:val="6C44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paragraph" w:styleId="2">
    <w:name w:val="heading 3"/>
    <w:basedOn w:val="1"/>
    <w:next w:val="1"/>
    <w:qFormat/>
    <w:uiPriority w:val="9"/>
    <w:pPr>
      <w:keepNext/>
      <w:keepLines/>
      <w:numPr>
        <w:ilvl w:val="2"/>
        <w:numId w:val="1"/>
      </w:numPr>
      <w:spacing w:before="260" w:after="260" w:line="412" w:lineRule="auto"/>
      <w:outlineLvl w:val="2"/>
    </w:pPr>
    <w:rPr>
      <w:rFonts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widowControl w:val="0"/>
      <w:spacing w:after="120"/>
      <w:jc w:val="both"/>
    </w:pPr>
    <w:rPr>
      <w:rFonts w:cs="Times New Roman"/>
      <w:kern w:val="2"/>
      <w:sz w:val="21"/>
      <w:szCs w:val="24"/>
    </w:rPr>
  </w:style>
  <w:style w:type="paragraph" w:customStyle="1" w:styleId="4">
    <w:name w:val="正文部分 Char Char Char"/>
    <w:basedOn w:val="3"/>
    <w:next w:val="5"/>
    <w:autoRedefine/>
    <w:qFormat/>
    <w:uiPriority w:val="0"/>
    <w:pPr>
      <w:spacing w:line="460" w:lineRule="exact"/>
      <w:textAlignment w:val="baseline"/>
    </w:pPr>
    <w:rPr>
      <w:sz w:val="24"/>
    </w:rPr>
  </w:style>
  <w:style w:type="paragraph" w:customStyle="1" w:styleId="5">
    <w:name w:val="章标题"/>
    <w:basedOn w:val="6"/>
    <w:autoRedefine/>
    <w:qFormat/>
    <w:uiPriority w:val="0"/>
    <w:pPr>
      <w:spacing w:line="360" w:lineRule="auto"/>
    </w:p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7">
    <w:name w:val="Body Text Indent"/>
    <w:basedOn w:val="1"/>
    <w:next w:val="1"/>
    <w:qFormat/>
    <w:uiPriority w:val="0"/>
    <w:pPr>
      <w:spacing w:after="120"/>
      <w:ind w:left="420" w:leftChars="200"/>
    </w:pPr>
  </w:style>
  <w:style w:type="paragraph" w:styleId="8">
    <w:name w:val="Body Text 2"/>
    <w:basedOn w:val="1"/>
    <w:next w:val="1"/>
    <w:qFormat/>
    <w:uiPriority w:val="0"/>
    <w:rPr>
      <w:sz w:val="28"/>
    </w:rPr>
  </w:style>
  <w:style w:type="paragraph" w:styleId="9">
    <w:name w:val="Body Text First Indent 2"/>
    <w:basedOn w:val="7"/>
    <w:next w:val="1"/>
    <w:qFormat/>
    <w:uiPriority w:val="0"/>
    <w:pPr>
      <w:widowControl w:val="0"/>
      <w:ind w:firstLine="420" w:firstLineChars="200"/>
      <w:jc w:val="both"/>
    </w:pPr>
    <w:rPr>
      <w:rFonts w:cs="Times New Roman"/>
      <w:kern w:val="2"/>
      <w:sz w:val="21"/>
      <w:szCs w:val="24"/>
    </w:rPr>
  </w:style>
  <w:style w:type="paragraph" w:styleId="12">
    <w:name w:val="List Paragraph"/>
    <w:basedOn w:val="1"/>
    <w:autoRedefine/>
    <w:qFormat/>
    <w:uiPriority w:val="0"/>
    <w:pPr>
      <w:ind w:firstLine="420"/>
    </w:pPr>
  </w:style>
  <w:style w:type="paragraph" w:customStyle="1" w:styleId="13">
    <w:name w:val="正文首行缩进 21"/>
    <w:basedOn w:val="14"/>
    <w:autoRedefine/>
    <w:qFormat/>
    <w:uiPriority w:val="0"/>
    <w:pPr>
      <w:widowControl w:val="0"/>
      <w:ind w:firstLine="420"/>
      <w:jc w:val="both"/>
    </w:pPr>
    <w:rPr>
      <w:rFonts w:cs="Times New Roman"/>
      <w:kern w:val="2"/>
      <w:sz w:val="21"/>
      <w:szCs w:val="24"/>
    </w:rPr>
  </w:style>
  <w:style w:type="paragraph" w:customStyle="1" w:styleId="14">
    <w:name w:val="正文文本缩进1"/>
    <w:basedOn w:val="1"/>
    <w:autoRedefine/>
    <w:qFormat/>
    <w:uiPriority w:val="0"/>
    <w:pPr>
      <w:spacing w:after="120"/>
      <w:ind w:left="420"/>
    </w:pPr>
  </w:style>
  <w:style w:type="paragraph" w:customStyle="1" w:styleId="15">
    <w:name w:val="Table Paragraph"/>
    <w:basedOn w:val="1"/>
    <w:autoRedefine/>
    <w:qFormat/>
    <w:uiPriority w:val="6"/>
    <w:pPr>
      <w:widowControl w:val="0"/>
      <w:autoSpaceDE w:val="0"/>
    </w:pPr>
    <w:rPr>
      <w:rFonts w:ascii="宋体" w:hAnsi="宋体" w:cs="宋体"/>
      <w:sz w:val="22"/>
      <w:szCs w:val="22"/>
      <w:lang w:val="zh-CN" w:bidi="zh-CN"/>
    </w:rPr>
  </w:style>
  <w:style w:type="paragraph" w:customStyle="1" w:styleId="16">
    <w:name w:val="Default"/>
    <w:next w:val="17"/>
    <w:autoRedefine/>
    <w:qFormat/>
    <w:uiPriority w:val="6"/>
    <w:pPr>
      <w:widowControl w:val="0"/>
      <w:autoSpaceDE w:val="0"/>
    </w:pPr>
    <w:rPr>
      <w:rFonts w:ascii="Times New Roman" w:hAnsi="Times New Roman" w:eastAsia="宋体" w:cs="Times New Roman"/>
      <w:color w:val="000000"/>
      <w:sz w:val="24"/>
      <w:szCs w:val="24"/>
      <w:lang w:val="en-US" w:eastAsia="zh-CN" w:bidi="ar-SA"/>
    </w:rPr>
  </w:style>
  <w:style w:type="paragraph" w:customStyle="1" w:styleId="17">
    <w:name w:val="大标题"/>
    <w:basedOn w:val="1"/>
    <w:next w:val="9"/>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5221</Words>
  <Characters>5651</Characters>
  <Lines>0</Lines>
  <Paragraphs>0</Paragraphs>
  <TotalTime>0</TotalTime>
  <ScaleCrop>false</ScaleCrop>
  <LinksUpToDate>false</LinksUpToDate>
  <CharactersWithSpaces>5713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2024-12-17T08:40:00Z</dcterms:created>
  <dc:creator>zjyd-2</dc:creator>
  <cp:lastModifiedBy>李娜</cp:lastModifiedBy>
  <dcterms:modified xsi:type="dcterms:W3CDTF">2024-12-17T08:52:36Z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A9344E3644B34BE0A86484854872FE43_12</vt:lpwstr>
  </property>
</Properties>
</file>