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E6279">
      <w:pPr>
        <w:pStyle w:val="6"/>
        <w:ind w:left="0" w:leftChars="0" w:firstLine="0" w:firstLineChars="0"/>
        <w:rPr>
          <w:rFonts w:hint="eastAsia" w:ascii="宋体" w:hAnsi="宋体"/>
          <w:b/>
          <w:bCs/>
          <w:sz w:val="28"/>
          <w:szCs w:val="36"/>
        </w:rPr>
      </w:pPr>
      <w:bookmarkStart w:id="0" w:name="_Toc155970155"/>
      <w:bookmarkStart w:id="1" w:name="_Toc38880042"/>
      <w:bookmarkStart w:id="2" w:name="_Toc155970199"/>
      <w:bookmarkStart w:id="3" w:name="OLE_LINK1"/>
      <w:bookmarkStart w:id="4" w:name="_Hlk55486170"/>
      <w:r>
        <w:rPr>
          <w:rFonts w:ascii="宋体" w:hAnsi="宋体"/>
          <w:b/>
          <w:bCs/>
          <w:sz w:val="28"/>
          <w:szCs w:val="36"/>
        </w:rPr>
        <w:t>附件</w:t>
      </w:r>
      <w:r>
        <w:rPr>
          <w:rFonts w:hint="eastAsia" w:ascii="宋体" w:hAnsi="宋体"/>
          <w:b/>
          <w:bCs/>
          <w:sz w:val="28"/>
          <w:szCs w:val="36"/>
        </w:rPr>
        <w:t>1</w:t>
      </w:r>
      <w:r>
        <w:rPr>
          <w:rFonts w:ascii="宋体" w:hAnsi="宋体"/>
          <w:b/>
          <w:bCs/>
          <w:sz w:val="28"/>
          <w:szCs w:val="36"/>
        </w:rPr>
        <w:t xml:space="preserve">  资格</w:t>
      </w:r>
      <w:r>
        <w:rPr>
          <w:rFonts w:hint="eastAsia" w:ascii="宋体" w:hAnsi="宋体"/>
          <w:b/>
          <w:bCs/>
          <w:sz w:val="28"/>
          <w:szCs w:val="36"/>
        </w:rPr>
        <w:t>审查条件</w:t>
      </w:r>
      <w:bookmarkEnd w:id="0"/>
      <w:bookmarkEnd w:id="1"/>
      <w:bookmarkEnd w:id="2"/>
    </w:p>
    <w:p w14:paraId="19D4B365">
      <w:pPr>
        <w:tabs>
          <w:tab w:val="left" w:pos="3300"/>
        </w:tabs>
        <w:spacing w:line="360" w:lineRule="auto"/>
        <w:jc w:val="center"/>
        <w:rPr>
          <w:rFonts w:hint="eastAsia" w:ascii="宋体" w:hAnsi="宋体"/>
          <w:b/>
        </w:rPr>
      </w:pPr>
    </w:p>
    <w:p w14:paraId="0FF2F1B3">
      <w:pPr>
        <w:spacing w:line="360" w:lineRule="auto"/>
        <w:jc w:val="center"/>
        <w:rPr>
          <w:rFonts w:hint="eastAsia" w:ascii="宋体" w:hAnsi="宋体"/>
          <w:b/>
        </w:rPr>
      </w:pPr>
    </w:p>
    <w:p w14:paraId="762F28DB">
      <w:pPr>
        <w:spacing w:line="360" w:lineRule="auto"/>
        <w:jc w:val="center"/>
      </w:pPr>
      <w:r>
        <w:rPr>
          <w:rStyle w:val="21"/>
          <w:rFonts w:hint="eastAsia" w:ascii="宋体" w:hAnsi="宋体"/>
          <w:b/>
        </w:rPr>
        <w:t>附录1  资格审查条件（资质最低条件）</w:t>
      </w:r>
    </w:p>
    <w:tbl>
      <w:tblPr>
        <w:tblStyle w:val="12"/>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38D3FD1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vAlign w:val="center"/>
          </w:tcPr>
          <w:p w14:paraId="0A3F48AE">
            <w:pPr>
              <w:spacing w:line="360" w:lineRule="auto"/>
              <w:jc w:val="center"/>
              <w:rPr>
                <w:rFonts w:hint="eastAsia" w:ascii="宋体" w:hAnsi="宋体"/>
              </w:rPr>
            </w:pPr>
            <w:r>
              <w:rPr>
                <w:rFonts w:hint="eastAsia" w:ascii="宋体" w:hAnsi="宋体"/>
              </w:rPr>
              <w:t>资 质 要 求</w:t>
            </w:r>
          </w:p>
        </w:tc>
      </w:tr>
      <w:tr w14:paraId="2592501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9322" w:type="dxa"/>
            <w:tcBorders>
              <w:top w:val="single" w:color="auto" w:sz="2" w:space="0"/>
              <w:left w:val="single" w:color="auto" w:sz="2" w:space="0"/>
              <w:bottom w:val="single" w:color="auto" w:sz="2" w:space="0"/>
              <w:right w:val="single" w:color="auto" w:sz="2" w:space="0"/>
            </w:tcBorders>
            <w:vAlign w:val="center"/>
          </w:tcPr>
          <w:p w14:paraId="37A08EC8">
            <w:pPr>
              <w:spacing w:line="360" w:lineRule="auto"/>
              <w:ind w:firstLine="480" w:firstLineChars="200"/>
              <w:jc w:val="left"/>
              <w:rPr>
                <w:rFonts w:hint="eastAsia" w:ascii="宋体" w:hAnsi="宋体"/>
              </w:rPr>
            </w:pPr>
            <w:r>
              <w:rPr>
                <w:rFonts w:hint="eastAsia" w:ascii="宋体" w:hAnsi="宋体"/>
              </w:rPr>
              <w:t>具有独立法人资格或其他组织，持有有效的营业执照。</w:t>
            </w:r>
          </w:p>
        </w:tc>
      </w:tr>
    </w:tbl>
    <w:p w14:paraId="79168BF7">
      <w:pPr>
        <w:spacing w:line="360" w:lineRule="auto"/>
        <w:jc w:val="center"/>
        <w:rPr>
          <w:rStyle w:val="22"/>
          <w:rFonts w:hint="eastAsia" w:ascii="宋体" w:hAnsi="宋体"/>
          <w:b/>
        </w:rPr>
      </w:pPr>
    </w:p>
    <w:p w14:paraId="7104833B">
      <w:pPr>
        <w:pStyle w:val="11"/>
        <w:ind w:firstLine="0" w:firstLineChars="0"/>
        <w:jc w:val="center"/>
        <w:rPr>
          <w:rFonts w:hint="eastAsia"/>
          <w:color w:val="auto"/>
        </w:rPr>
      </w:pPr>
    </w:p>
    <w:p w14:paraId="552B5C0D">
      <w:pPr>
        <w:spacing w:line="360" w:lineRule="auto"/>
        <w:jc w:val="center"/>
      </w:pPr>
      <w:r>
        <w:rPr>
          <w:rStyle w:val="22"/>
          <w:rFonts w:hint="eastAsia" w:ascii="宋体" w:hAnsi="宋体"/>
          <w:b/>
        </w:rPr>
        <w:t>附录</w:t>
      </w:r>
      <w:r>
        <w:rPr>
          <w:rStyle w:val="22"/>
          <w:rFonts w:ascii="宋体" w:hAnsi="宋体"/>
          <w:b/>
        </w:rPr>
        <w:t xml:space="preserve">2 </w:t>
      </w:r>
      <w:r>
        <w:rPr>
          <w:rStyle w:val="22"/>
          <w:rFonts w:hint="eastAsia" w:ascii="宋体" w:hAnsi="宋体"/>
          <w:b/>
        </w:rPr>
        <w:t xml:space="preserve"> 资格审查条件（</w:t>
      </w:r>
      <w:r>
        <w:rPr>
          <w:rFonts w:hint="eastAsia" w:ascii="宋体" w:hAnsi="宋体"/>
          <w:b/>
        </w:rPr>
        <w:t>业绩最低条件</w:t>
      </w:r>
      <w:r>
        <w:rPr>
          <w:rStyle w:val="22"/>
          <w:rFonts w:hint="eastAsia" w:ascii="宋体" w:hAnsi="宋体"/>
          <w:b/>
        </w:rPr>
        <w:t>）</w:t>
      </w:r>
    </w:p>
    <w:tbl>
      <w:tblPr>
        <w:tblStyle w:val="12"/>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2C06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vAlign w:val="center"/>
          </w:tcPr>
          <w:p w14:paraId="7B775508">
            <w:pPr>
              <w:spacing w:line="360" w:lineRule="auto"/>
              <w:jc w:val="center"/>
              <w:rPr>
                <w:rFonts w:hint="eastAsia" w:ascii="宋体" w:hAnsi="宋体"/>
              </w:rPr>
            </w:pPr>
            <w:r>
              <w:rPr>
                <w:rFonts w:hint="eastAsia" w:ascii="宋体" w:hAnsi="宋体"/>
              </w:rPr>
              <w:t>业绩要求</w:t>
            </w:r>
          </w:p>
        </w:tc>
      </w:tr>
      <w:tr w14:paraId="27AE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22" w:type="dxa"/>
            <w:vAlign w:val="center"/>
          </w:tcPr>
          <w:p w14:paraId="7F277489">
            <w:pPr>
              <w:widowControl/>
              <w:spacing w:line="360" w:lineRule="auto"/>
              <w:ind w:firstLine="480" w:firstLineChars="200"/>
              <w:jc w:val="left"/>
              <w:rPr>
                <w:rFonts w:hint="eastAsia" w:ascii="宋体" w:hAnsi="宋体"/>
              </w:rPr>
            </w:pPr>
            <w:r>
              <w:rPr>
                <w:rFonts w:hint="eastAsia" w:ascii="宋体" w:hAnsi="宋体"/>
              </w:rPr>
              <w:t>近3年（2021年12月1日至今，以合同签订时间为准）至少承担过一项工业园区（产业园区）招商引资服务项目或政府招商引资服务项目。</w:t>
            </w:r>
          </w:p>
        </w:tc>
      </w:tr>
    </w:tbl>
    <w:p w14:paraId="71B7F068">
      <w:pPr>
        <w:tabs>
          <w:tab w:val="left" w:pos="3300"/>
        </w:tabs>
        <w:spacing w:line="360" w:lineRule="auto"/>
        <w:jc w:val="center"/>
        <w:rPr>
          <w:rFonts w:hint="eastAsia" w:ascii="宋体" w:hAnsi="宋体"/>
          <w:b/>
        </w:rPr>
      </w:pPr>
    </w:p>
    <w:p w14:paraId="388EC2EA">
      <w:pPr>
        <w:spacing w:line="360" w:lineRule="auto"/>
        <w:jc w:val="center"/>
        <w:rPr>
          <w:rFonts w:hint="eastAsia" w:ascii="宋体" w:hAnsi="宋体"/>
          <w:b/>
        </w:rPr>
      </w:pPr>
    </w:p>
    <w:p w14:paraId="57D84BAB">
      <w:pPr>
        <w:spacing w:line="360" w:lineRule="auto"/>
        <w:jc w:val="center"/>
      </w:pPr>
      <w:r>
        <w:rPr>
          <w:rFonts w:hint="eastAsia" w:ascii="宋体" w:hAnsi="宋体"/>
          <w:b/>
        </w:rPr>
        <w:t>附录</w:t>
      </w:r>
      <w:r>
        <w:rPr>
          <w:rFonts w:ascii="宋体" w:hAnsi="宋体"/>
          <w:b/>
        </w:rPr>
        <w:t>3</w:t>
      </w:r>
      <w:r>
        <w:rPr>
          <w:rFonts w:hint="eastAsia" w:ascii="宋体" w:hAnsi="宋体"/>
          <w:b/>
        </w:rPr>
        <w:t xml:space="preserve">  资格审查条件（信誉最低条件）</w:t>
      </w: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4FAB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vAlign w:val="center"/>
          </w:tcPr>
          <w:p w14:paraId="1FDBD5F6">
            <w:pPr>
              <w:spacing w:line="360" w:lineRule="auto"/>
              <w:jc w:val="center"/>
              <w:rPr>
                <w:rFonts w:hint="eastAsia" w:ascii="宋体" w:hAnsi="宋体"/>
              </w:rPr>
            </w:pPr>
            <w:r>
              <w:rPr>
                <w:rFonts w:hint="eastAsia" w:ascii="宋体" w:hAnsi="宋体"/>
              </w:rPr>
              <w:t>信 誉 要 求</w:t>
            </w:r>
          </w:p>
        </w:tc>
      </w:tr>
      <w:tr w14:paraId="1517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vAlign w:val="center"/>
          </w:tcPr>
          <w:p w14:paraId="12E277B6">
            <w:pPr>
              <w:spacing w:line="360" w:lineRule="auto"/>
              <w:ind w:firstLine="480" w:firstLineChars="200"/>
              <w:jc w:val="left"/>
              <w:rPr>
                <w:rFonts w:hint="eastAsia" w:ascii="宋体" w:hAnsi="宋体"/>
              </w:rPr>
            </w:pPr>
            <w:r>
              <w:rPr>
                <w:rFonts w:hint="eastAsia" w:ascii="宋体" w:hAnsi="宋体"/>
              </w:rPr>
              <w:t>投标人在近1年(202</w:t>
            </w:r>
            <w:r>
              <w:rPr>
                <w:rFonts w:ascii="宋体" w:hAnsi="宋体"/>
              </w:rPr>
              <w:t>3</w:t>
            </w:r>
            <w:r>
              <w:rPr>
                <w:rFonts w:hint="eastAsia" w:ascii="宋体" w:hAnsi="宋体"/>
              </w:rPr>
              <w:t>年12</w:t>
            </w:r>
            <w:r>
              <w:rPr>
                <w:rFonts w:ascii="宋体" w:hAnsi="宋体"/>
              </w:rPr>
              <w:t>月</w:t>
            </w:r>
            <w:r>
              <w:rPr>
                <w:rFonts w:hint="eastAsia" w:ascii="宋体" w:hAnsi="宋体"/>
              </w:rPr>
              <w:t>1日至今)中不曾在工业园区（产业园区）或政府招商引资服务项目合同中违约而被驱逐或因投标人自身的原因而使合同被解除。</w:t>
            </w:r>
          </w:p>
        </w:tc>
      </w:tr>
    </w:tbl>
    <w:p w14:paraId="3906DD56">
      <w:pPr>
        <w:tabs>
          <w:tab w:val="left" w:pos="3300"/>
        </w:tabs>
        <w:spacing w:line="360" w:lineRule="auto"/>
        <w:jc w:val="center"/>
        <w:rPr>
          <w:rFonts w:hint="eastAsia" w:ascii="宋体" w:hAnsi="宋体"/>
          <w:b/>
        </w:rPr>
      </w:pPr>
    </w:p>
    <w:p w14:paraId="5765FD8A">
      <w:pPr>
        <w:spacing w:line="360" w:lineRule="auto"/>
        <w:jc w:val="center"/>
        <w:rPr>
          <w:rFonts w:hint="eastAsia" w:ascii="宋体" w:hAnsi="宋体"/>
          <w:b/>
        </w:rPr>
      </w:pPr>
    </w:p>
    <w:p w14:paraId="7EBC740A">
      <w:pPr>
        <w:spacing w:line="360" w:lineRule="auto"/>
        <w:jc w:val="center"/>
        <w:rPr>
          <w:rFonts w:hint="eastAsia" w:ascii="宋体" w:hAnsi="宋体"/>
          <w:b/>
        </w:rPr>
      </w:pPr>
      <w:r>
        <w:rPr>
          <w:rFonts w:hint="eastAsia" w:ascii="宋体" w:hAnsi="宋体"/>
          <w:b/>
        </w:rPr>
        <w:t>附录4  资格审查条件（主要人员最低要求）</w:t>
      </w:r>
    </w:p>
    <w:tbl>
      <w:tblPr>
        <w:tblStyle w:val="12"/>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66"/>
        <w:gridCol w:w="6874"/>
      </w:tblGrid>
      <w:tr w14:paraId="5B49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852" w:type="dxa"/>
            <w:vAlign w:val="center"/>
          </w:tcPr>
          <w:p w14:paraId="1EBCACD4">
            <w:pPr>
              <w:spacing w:line="360" w:lineRule="auto"/>
              <w:jc w:val="center"/>
              <w:rPr>
                <w:rFonts w:hint="eastAsia" w:ascii="宋体" w:hAnsi="宋体"/>
              </w:rPr>
            </w:pPr>
            <w:bookmarkStart w:id="13" w:name="_GoBack"/>
            <w:r>
              <w:rPr>
                <w:rFonts w:hint="eastAsia" w:ascii="宋体" w:hAnsi="宋体"/>
              </w:rPr>
              <w:t>人员</w:t>
            </w:r>
          </w:p>
        </w:tc>
        <w:tc>
          <w:tcPr>
            <w:tcW w:w="766" w:type="dxa"/>
            <w:vAlign w:val="center"/>
          </w:tcPr>
          <w:p w14:paraId="473F0AF8">
            <w:pPr>
              <w:spacing w:line="360" w:lineRule="auto"/>
              <w:jc w:val="center"/>
              <w:rPr>
                <w:rFonts w:hint="eastAsia" w:ascii="宋体" w:hAnsi="宋体"/>
              </w:rPr>
            </w:pPr>
            <w:r>
              <w:rPr>
                <w:rFonts w:hint="eastAsia" w:ascii="宋体" w:hAnsi="宋体"/>
              </w:rPr>
              <w:t>数量</w:t>
            </w:r>
          </w:p>
        </w:tc>
        <w:tc>
          <w:tcPr>
            <w:tcW w:w="6874" w:type="dxa"/>
            <w:vAlign w:val="center"/>
          </w:tcPr>
          <w:p w14:paraId="5894B0A5">
            <w:pPr>
              <w:spacing w:line="360" w:lineRule="auto"/>
              <w:jc w:val="center"/>
              <w:rPr>
                <w:rFonts w:hint="eastAsia" w:ascii="宋体" w:hAnsi="宋体"/>
              </w:rPr>
            </w:pPr>
            <w:r>
              <w:rPr>
                <w:rFonts w:hint="eastAsia" w:ascii="宋体" w:hAnsi="宋体"/>
              </w:rPr>
              <w:t>资格要求</w:t>
            </w:r>
          </w:p>
        </w:tc>
      </w:tr>
      <w:tr w14:paraId="7166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2" w:type="dxa"/>
            <w:vAlign w:val="center"/>
          </w:tcPr>
          <w:p w14:paraId="32B26EE4">
            <w:pPr>
              <w:snapToGrid w:val="0"/>
              <w:spacing w:line="360" w:lineRule="auto"/>
              <w:jc w:val="center"/>
              <w:rPr>
                <w:rFonts w:hint="eastAsia" w:ascii="宋体" w:hAnsi="宋体" w:cs="宋体"/>
                <w:bCs/>
              </w:rPr>
            </w:pPr>
            <w:r>
              <w:rPr>
                <w:rFonts w:hint="eastAsia" w:ascii="宋体" w:hAnsi="宋体" w:cs="宋体"/>
                <w:bCs/>
              </w:rPr>
              <w:t>项目负责人</w:t>
            </w:r>
          </w:p>
        </w:tc>
        <w:tc>
          <w:tcPr>
            <w:tcW w:w="766" w:type="dxa"/>
            <w:vAlign w:val="center"/>
          </w:tcPr>
          <w:p w14:paraId="0254FE45">
            <w:pPr>
              <w:snapToGrid w:val="0"/>
              <w:spacing w:line="360" w:lineRule="auto"/>
              <w:jc w:val="center"/>
              <w:rPr>
                <w:rFonts w:hint="eastAsia" w:ascii="宋体" w:hAnsi="宋体" w:cs="宋体"/>
                <w:bCs/>
              </w:rPr>
            </w:pPr>
            <w:r>
              <w:rPr>
                <w:rFonts w:hint="eastAsia" w:ascii="宋体" w:hAnsi="宋体" w:cs="宋体"/>
                <w:bCs/>
              </w:rPr>
              <w:t>1人</w:t>
            </w:r>
          </w:p>
        </w:tc>
        <w:tc>
          <w:tcPr>
            <w:tcW w:w="6874" w:type="dxa"/>
            <w:vAlign w:val="center"/>
          </w:tcPr>
          <w:p w14:paraId="11AB3D97">
            <w:pPr>
              <w:pStyle w:val="3"/>
              <w:spacing w:line="360" w:lineRule="auto"/>
              <w:ind w:firstLine="480" w:firstLineChars="200"/>
              <w:rPr>
                <w:rFonts w:hint="eastAsia" w:ascii="宋体" w:hAnsi="宋体" w:cs="宋体"/>
                <w:bCs/>
                <w:sz w:val="24"/>
                <w:u w:val="single"/>
              </w:rPr>
            </w:pPr>
            <w:r>
              <w:rPr>
                <w:rFonts w:ascii="宋体" w:hAnsi="宋体"/>
                <w:sz w:val="24"/>
              </w:rPr>
              <w:t>近</w:t>
            </w:r>
            <w:r>
              <w:rPr>
                <w:rFonts w:hint="eastAsia" w:ascii="宋体" w:hAnsi="宋体"/>
                <w:sz w:val="24"/>
              </w:rPr>
              <w:t>3</w:t>
            </w:r>
            <w:r>
              <w:rPr>
                <w:rFonts w:ascii="宋体" w:hAnsi="宋体"/>
                <w:sz w:val="24"/>
              </w:rPr>
              <w:t>年内（20</w:t>
            </w:r>
            <w:r>
              <w:rPr>
                <w:rFonts w:hint="eastAsia" w:ascii="宋体" w:hAnsi="宋体"/>
                <w:sz w:val="24"/>
              </w:rPr>
              <w:t>2</w:t>
            </w:r>
            <w:r>
              <w:rPr>
                <w:rFonts w:ascii="宋体" w:hAnsi="宋体"/>
                <w:sz w:val="24"/>
              </w:rPr>
              <w:t>1年</w:t>
            </w:r>
            <w:r>
              <w:rPr>
                <w:rFonts w:hint="eastAsia" w:ascii="宋体" w:hAnsi="宋体"/>
                <w:sz w:val="24"/>
              </w:rPr>
              <w:t>12</w:t>
            </w:r>
            <w:r>
              <w:rPr>
                <w:rFonts w:ascii="宋体" w:hAnsi="宋体"/>
                <w:sz w:val="24"/>
              </w:rPr>
              <w:t>月1日至今，以合同签订时间为准）</w:t>
            </w:r>
            <w:r>
              <w:rPr>
                <w:rFonts w:hint="eastAsia" w:ascii="宋体" w:hAnsi="宋体"/>
                <w:sz w:val="24"/>
              </w:rPr>
              <w:t>至少承担过一项工业园区（产业园区）招商引资服务项目或政府招商引资服务项目的项目负责人。</w:t>
            </w:r>
          </w:p>
        </w:tc>
      </w:tr>
      <w:bookmarkEnd w:id="13"/>
    </w:tbl>
    <w:p w14:paraId="02EBD9AE">
      <w:pPr>
        <w:rPr>
          <w:rFonts w:hint="eastAsia" w:ascii="宋体" w:hAnsi="宋体"/>
          <w:b/>
          <w:bCs/>
        </w:rPr>
      </w:pPr>
    </w:p>
    <w:p w14:paraId="2D0A9B63">
      <w:pPr>
        <w:pStyle w:val="4"/>
        <w:wordWrap w:val="0"/>
        <w:snapToGrid w:val="0"/>
        <w:ind w:right="844"/>
        <w:rPr>
          <w:rFonts w:hint="eastAsia"/>
          <w:b/>
          <w:bCs/>
          <w:szCs w:val="36"/>
        </w:rPr>
      </w:pPr>
      <w:r>
        <w:rPr>
          <w:bCs/>
          <w:sz w:val="28"/>
          <w:szCs w:val="28"/>
        </w:rPr>
        <w:br w:type="page"/>
      </w:r>
      <w:bookmarkStart w:id="5" w:name="_Toc155970200"/>
      <w:bookmarkStart w:id="6" w:name="_Toc155970156"/>
      <w:r>
        <w:rPr>
          <w:b/>
          <w:bCs/>
          <w:szCs w:val="36"/>
        </w:rPr>
        <w:t>附件2：随机确定评标基准价计算方法的规则与程序</w:t>
      </w:r>
    </w:p>
    <w:p w14:paraId="0AF80122">
      <w:pPr>
        <w:adjustRightInd w:val="0"/>
        <w:spacing w:line="360" w:lineRule="auto"/>
        <w:rPr>
          <w:b/>
        </w:rPr>
      </w:pPr>
      <w:r>
        <w:rPr>
          <w:b/>
        </w:rPr>
        <w:t>一、随机抽取确定评标基准价计算方法规则</w:t>
      </w:r>
    </w:p>
    <w:p w14:paraId="67502980">
      <w:pPr>
        <w:adjustRightInd w:val="0"/>
        <w:spacing w:line="360" w:lineRule="auto"/>
        <w:ind w:firstLine="480" w:firstLineChars="200"/>
        <w:rPr>
          <w:bCs/>
        </w:rPr>
      </w:pPr>
      <w:r>
        <w:rPr>
          <w:bCs/>
        </w:rPr>
        <w:t>参与随机确定评标基准价计算方法的各方当事人（以下简称“各方”）应当严格遵守以下规则：</w:t>
      </w:r>
    </w:p>
    <w:p w14:paraId="0954FD87">
      <w:pPr>
        <w:adjustRightInd w:val="0"/>
        <w:spacing w:line="360" w:lineRule="auto"/>
        <w:ind w:firstLine="480" w:firstLineChars="200"/>
        <w:rPr>
          <w:bCs/>
        </w:rPr>
      </w:pPr>
      <w:r>
        <w:rPr>
          <w:bCs/>
        </w:rPr>
        <w:t>（一）各方必须严格遵守公开、公平、公正和诚实信用原则；</w:t>
      </w:r>
    </w:p>
    <w:p w14:paraId="1C8ED858">
      <w:pPr>
        <w:adjustRightInd w:val="0"/>
        <w:spacing w:line="360" w:lineRule="auto"/>
        <w:ind w:firstLine="480" w:firstLineChars="200"/>
        <w:rPr>
          <w:bCs/>
        </w:rPr>
      </w:pPr>
      <w:r>
        <w:rPr>
          <w:bCs/>
        </w:rPr>
        <w:t>（二）随机抽取活动在招标人的主持下进行，由公证机关对全过程进行公证，招标人做好影像记录，并存档备查；</w:t>
      </w:r>
    </w:p>
    <w:p w14:paraId="2F0E7991">
      <w:pPr>
        <w:adjustRightInd w:val="0"/>
        <w:spacing w:line="360" w:lineRule="auto"/>
        <w:ind w:firstLine="480" w:firstLineChars="200"/>
        <w:rPr>
          <w:bCs/>
        </w:rPr>
      </w:pPr>
      <w:r>
        <w:rPr>
          <w:bCs/>
        </w:rPr>
        <w:t>（三）用于随机抽取的器具由招标人提供；</w:t>
      </w:r>
    </w:p>
    <w:p w14:paraId="595A8218">
      <w:pPr>
        <w:adjustRightInd w:val="0"/>
        <w:spacing w:line="360" w:lineRule="auto"/>
        <w:ind w:firstLine="480" w:firstLineChars="200"/>
        <w:rPr>
          <w:bCs/>
        </w:rPr>
      </w:pPr>
      <w:r>
        <w:rPr>
          <w:bCs/>
        </w:rPr>
        <w:t>（四）各方必须严格遵守现场纪律，确保随机抽取活动有序进行；</w:t>
      </w:r>
    </w:p>
    <w:p w14:paraId="003DCB6F">
      <w:pPr>
        <w:adjustRightInd w:val="0"/>
        <w:spacing w:line="360" w:lineRule="auto"/>
        <w:ind w:firstLine="480" w:firstLineChars="200"/>
        <w:rPr>
          <w:bCs/>
        </w:rPr>
      </w:pPr>
      <w:r>
        <w:rPr>
          <w:bCs/>
        </w:rPr>
        <w:t>（五）投标人对随机抽取过程有异议的，在</w:t>
      </w:r>
      <w:r>
        <w:rPr>
          <w:kern w:val="0"/>
        </w:rPr>
        <w:t>“电子招标投标交易平台”</w:t>
      </w:r>
      <w:r>
        <w:rPr>
          <w:bCs/>
        </w:rPr>
        <w:t>的开标大厅点异议按钮在线提出异议，招标人当场作出答复，并作好记录。</w:t>
      </w:r>
    </w:p>
    <w:p w14:paraId="5DB20656">
      <w:pPr>
        <w:adjustRightInd w:val="0"/>
        <w:spacing w:line="360" w:lineRule="auto"/>
        <w:rPr>
          <w:b/>
        </w:rPr>
      </w:pPr>
      <w:r>
        <w:rPr>
          <w:b/>
        </w:rPr>
        <w:t>二、随机抽取确定评标基准价计算方法的程序</w:t>
      </w:r>
    </w:p>
    <w:p w14:paraId="11AA071C">
      <w:pPr>
        <w:adjustRightInd w:val="0"/>
        <w:spacing w:line="360" w:lineRule="auto"/>
        <w:ind w:firstLine="480" w:firstLineChars="200"/>
        <w:rPr>
          <w:bCs/>
        </w:rPr>
      </w:pPr>
      <w:r>
        <w:rPr>
          <w:bCs/>
        </w:rPr>
        <w:t>（一）确定随机抽取代码球</w:t>
      </w:r>
    </w:p>
    <w:p w14:paraId="42DF7452">
      <w:pPr>
        <w:adjustRightInd w:val="0"/>
        <w:spacing w:line="360" w:lineRule="auto"/>
        <w:ind w:firstLine="480" w:firstLineChars="200"/>
        <w:rPr>
          <w:bCs/>
        </w:rPr>
      </w:pPr>
      <w:r>
        <w:rPr>
          <w:bCs/>
        </w:rPr>
        <w:t>用抽取器具随机确定抽取代码球一套，作为本次随机抽取确定评标基准价计算方法的代码球。</w:t>
      </w:r>
    </w:p>
    <w:p w14:paraId="117E3BA5">
      <w:pPr>
        <w:adjustRightInd w:val="0"/>
        <w:spacing w:line="360" w:lineRule="auto"/>
        <w:ind w:firstLine="480" w:firstLineChars="200"/>
        <w:rPr>
          <w:bCs/>
        </w:rPr>
      </w:pPr>
      <w:r>
        <w:rPr>
          <w:bCs/>
        </w:rPr>
        <w:t>（二）本次招标共设置三种评标基准价计算方法（详见评标办法）。</w:t>
      </w:r>
    </w:p>
    <w:p w14:paraId="32C2D1DA">
      <w:pPr>
        <w:adjustRightInd w:val="0"/>
        <w:spacing w:line="360" w:lineRule="auto"/>
        <w:ind w:firstLine="480" w:firstLineChars="200"/>
        <w:rPr>
          <w:bCs/>
        </w:rPr>
      </w:pPr>
      <w:r>
        <w:rPr>
          <w:bCs/>
        </w:rPr>
        <w:t>确定评标基准价计算方法的编号及代码球，1号球代表评标基准价计算方法一；2号球代表评标基准价计算方法二；3号球代表评标基准价计算方法三。</w:t>
      </w:r>
    </w:p>
    <w:p w14:paraId="76F978C6">
      <w:pPr>
        <w:adjustRightInd w:val="0"/>
        <w:spacing w:line="360" w:lineRule="auto"/>
        <w:ind w:firstLine="480" w:firstLineChars="200"/>
        <w:rPr>
          <w:bCs/>
        </w:rPr>
      </w:pPr>
      <w:r>
        <w:rPr>
          <w:bCs/>
        </w:rPr>
        <w:t>（三）在投标文件第一信封（商务及技术文件）开标现场，将编号1、2、3代码球全部放入随机抽取器具中，由抽取器具随机抽取产生本次招标评标基准价计算方法。</w:t>
      </w:r>
    </w:p>
    <w:p w14:paraId="5B9B494D">
      <w:pPr>
        <w:adjustRightInd w:val="0"/>
        <w:spacing w:line="360" w:lineRule="auto"/>
        <w:ind w:firstLine="480" w:firstLineChars="200"/>
        <w:rPr>
          <w:bCs/>
        </w:rPr>
      </w:pPr>
      <w:r>
        <w:rPr>
          <w:bCs/>
        </w:rPr>
        <w:t>（四）确定评标基准价计算方法需要的系数（如有）。</w:t>
      </w:r>
    </w:p>
    <w:p w14:paraId="6F57F519">
      <w:pPr>
        <w:adjustRightInd w:val="0"/>
        <w:spacing w:line="360" w:lineRule="auto"/>
        <w:ind w:firstLine="480" w:firstLineChars="200"/>
        <w:rPr>
          <w:bCs/>
        </w:rPr>
      </w:pPr>
      <w:r>
        <w:rPr>
          <w:bCs/>
        </w:rPr>
        <w:t>如果确定的评标基准价计算方法为方法一或方法二，需要再抽取评标基准价系数K。K值取值范围为</w:t>
      </w:r>
      <w:r>
        <w:rPr>
          <w:rFonts w:hint="eastAsia"/>
          <w:bCs/>
        </w:rPr>
        <w:t>0.975、</w:t>
      </w:r>
      <w:r>
        <w:rPr>
          <w:bCs/>
        </w:rPr>
        <w:t>0.980、0.985、0.990、0.995共5个数值。1号球代表K值为0.9</w:t>
      </w:r>
      <w:r>
        <w:rPr>
          <w:rFonts w:hint="eastAsia"/>
          <w:bCs/>
        </w:rPr>
        <w:t>75</w:t>
      </w:r>
      <w:r>
        <w:rPr>
          <w:bCs/>
        </w:rPr>
        <w:t>；2号球代表K值为0.98</w:t>
      </w:r>
      <w:r>
        <w:rPr>
          <w:rFonts w:hint="eastAsia"/>
          <w:bCs/>
        </w:rPr>
        <w:t>0</w:t>
      </w:r>
      <w:r>
        <w:rPr>
          <w:bCs/>
        </w:rPr>
        <w:t>；3号球代表K值为0.9</w:t>
      </w:r>
      <w:r>
        <w:rPr>
          <w:rFonts w:hint="eastAsia"/>
          <w:bCs/>
        </w:rPr>
        <w:t>85</w:t>
      </w:r>
      <w:r>
        <w:rPr>
          <w:bCs/>
        </w:rPr>
        <w:t>；4号球代表K值为0.99</w:t>
      </w:r>
      <w:r>
        <w:rPr>
          <w:rFonts w:hint="eastAsia"/>
          <w:bCs/>
        </w:rPr>
        <w:t>0</w:t>
      </w:r>
      <w:r>
        <w:rPr>
          <w:bCs/>
        </w:rPr>
        <w:t>；5号球代表K值为</w:t>
      </w:r>
      <w:r>
        <w:rPr>
          <w:rFonts w:hint="eastAsia"/>
          <w:bCs/>
        </w:rPr>
        <w:t>0.995</w:t>
      </w:r>
      <w:r>
        <w:rPr>
          <w:bCs/>
        </w:rPr>
        <w:t>。在开标现场通过随机抽取方式确定一个评标基准价系数K，并当场公布。</w:t>
      </w:r>
    </w:p>
    <w:p w14:paraId="1C62B007">
      <w:pPr>
        <w:adjustRightInd w:val="0"/>
        <w:spacing w:line="360" w:lineRule="auto"/>
        <w:ind w:firstLine="480" w:firstLineChars="200"/>
        <w:rPr>
          <w:bCs/>
        </w:rPr>
      </w:pPr>
      <w:r>
        <w:rPr>
          <w:bCs/>
        </w:rPr>
        <w:t>（五）如果遇到抽取器具发生故障，导致随机确定评标基准价计算方法过程中断时，招标人应及时宣布发生故障之前的随机确定评标基准价计算方法结果有效。宣布前任何人不得随意处理抽取器具，并请招标人、公证人员、监督人员三方对故障发生情况进行书面确认。故障排除或更换抽取器具后，招标人应宣布继续后续的抽取程序。</w:t>
      </w:r>
    </w:p>
    <w:p w14:paraId="1107BE68">
      <w:pPr>
        <w:adjustRightInd w:val="0"/>
        <w:spacing w:line="360" w:lineRule="auto"/>
        <w:rPr>
          <w:b/>
        </w:rPr>
      </w:pPr>
      <w:r>
        <w:rPr>
          <w:b/>
        </w:rPr>
        <w:t>三、随机抽取结果的确认</w:t>
      </w:r>
    </w:p>
    <w:p w14:paraId="712068A8">
      <w:pPr>
        <w:adjustRightInd w:val="0"/>
        <w:spacing w:line="360" w:lineRule="auto"/>
        <w:ind w:firstLine="480" w:firstLineChars="200"/>
        <w:rPr>
          <w:bCs/>
        </w:rPr>
      </w:pPr>
      <w:r>
        <w:rPr>
          <w:bCs/>
        </w:rPr>
        <w:t>随机抽取结束后，招标人当场宣布随机抽取结果，抽取结果由招标人代表和公证人员签字确认。投标人代表在开标记录表上用河北CA数字证书进行确认，若投标人未及时在开标记录表上确认，视为该投标人默认抽取结果。</w:t>
      </w:r>
    </w:p>
    <w:p w14:paraId="035BDCD0">
      <w:pPr>
        <w:widowControl/>
        <w:jc w:val="left"/>
        <w:rPr>
          <w:bCs/>
          <w:sz w:val="32"/>
          <w:szCs w:val="32"/>
        </w:rPr>
      </w:pPr>
      <w:r>
        <w:rPr>
          <w:b/>
        </w:rPr>
        <w:br w:type="page"/>
      </w:r>
    </w:p>
    <w:p w14:paraId="7632BAB3">
      <w:pPr>
        <w:rPr>
          <w:rFonts w:hint="eastAsia" w:ascii="宋体" w:hAnsi="宋体"/>
          <w:sz w:val="28"/>
          <w:szCs w:val="28"/>
        </w:rPr>
      </w:pPr>
      <w:r>
        <w:rPr>
          <w:rFonts w:hint="eastAsia" w:ascii="宋体" w:hAnsi="宋体"/>
          <w:b/>
          <w:bCs/>
          <w:sz w:val="28"/>
          <w:szCs w:val="36"/>
        </w:rPr>
        <w:t>附件3 评标办法</w:t>
      </w:r>
      <w:bookmarkEnd w:id="5"/>
      <w:bookmarkEnd w:id="6"/>
    </w:p>
    <w:p w14:paraId="13316C80">
      <w:pPr>
        <w:snapToGrid w:val="0"/>
        <w:spacing w:line="360" w:lineRule="auto"/>
        <w:jc w:val="center"/>
        <w:rPr>
          <w:rFonts w:hint="eastAsia" w:ascii="宋体" w:hAnsi="宋体"/>
          <w:b/>
          <w:sz w:val="28"/>
          <w:szCs w:val="28"/>
        </w:rPr>
      </w:pPr>
      <w:r>
        <w:rPr>
          <w:rFonts w:hint="eastAsia" w:ascii="宋体" w:hAnsi="宋体"/>
          <w:b/>
          <w:sz w:val="28"/>
          <w:szCs w:val="28"/>
        </w:rPr>
        <w:t>评标办法（综合评估法）</w:t>
      </w:r>
    </w:p>
    <w:p w14:paraId="6A1C2D8F">
      <w:pPr>
        <w:autoSpaceDE w:val="0"/>
        <w:autoSpaceDN w:val="0"/>
        <w:adjustRightInd w:val="0"/>
        <w:snapToGrid w:val="0"/>
        <w:spacing w:line="360" w:lineRule="auto"/>
        <w:ind w:right="113"/>
        <w:jc w:val="center"/>
        <w:rPr>
          <w:rFonts w:hint="eastAsia" w:ascii="宋体" w:hAnsi="宋体"/>
          <w:b/>
          <w:bCs/>
          <w:sz w:val="28"/>
          <w:szCs w:val="36"/>
        </w:rPr>
      </w:pPr>
      <w:r>
        <w:rPr>
          <w:rFonts w:hint="eastAsia" w:ascii="宋体" w:hAnsi="宋体"/>
          <w:b/>
          <w:bCs/>
          <w:sz w:val="28"/>
          <w:szCs w:val="36"/>
        </w:rPr>
        <w:t>评标办法前附表</w:t>
      </w:r>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589"/>
        <w:gridCol w:w="6405"/>
      </w:tblGrid>
      <w:tr w14:paraId="7B34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66" w:type="dxa"/>
            <w:gridSpan w:val="2"/>
            <w:vAlign w:val="center"/>
          </w:tcPr>
          <w:p w14:paraId="560CB697">
            <w:pPr>
              <w:adjustRightInd w:val="0"/>
              <w:snapToGrid w:val="0"/>
              <w:jc w:val="center"/>
              <w:rPr>
                <w:rFonts w:hint="eastAsia" w:ascii="宋体" w:hAnsi="宋体" w:cs="宋体"/>
                <w:b/>
              </w:rPr>
            </w:pPr>
            <w:r>
              <w:rPr>
                <w:rFonts w:hint="eastAsia" w:ascii="宋体" w:hAnsi="宋体" w:cs="宋体"/>
                <w:b/>
              </w:rPr>
              <w:t>条款号</w:t>
            </w:r>
          </w:p>
        </w:tc>
        <w:tc>
          <w:tcPr>
            <w:tcW w:w="6405" w:type="dxa"/>
            <w:vAlign w:val="center"/>
          </w:tcPr>
          <w:p w14:paraId="40C5B16C">
            <w:pPr>
              <w:adjustRightInd w:val="0"/>
              <w:snapToGrid w:val="0"/>
              <w:jc w:val="center"/>
              <w:rPr>
                <w:rFonts w:hint="eastAsia" w:ascii="宋体" w:hAnsi="宋体" w:cs="宋体"/>
                <w:b/>
              </w:rPr>
            </w:pPr>
            <w:r>
              <w:rPr>
                <w:rFonts w:hint="eastAsia" w:ascii="宋体" w:hAnsi="宋体" w:cs="宋体"/>
                <w:b/>
              </w:rPr>
              <w:t>评审因素与评审标准</w:t>
            </w:r>
          </w:p>
        </w:tc>
      </w:tr>
      <w:tr w14:paraId="3DC7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vAlign w:val="center"/>
          </w:tcPr>
          <w:p w14:paraId="20475A8E">
            <w:pPr>
              <w:jc w:val="center"/>
              <w:rPr>
                <w:rFonts w:hint="eastAsia" w:ascii="宋体" w:hAnsi="宋体" w:cs="宋体"/>
                <w:bCs/>
              </w:rPr>
            </w:pPr>
            <w:r>
              <w:rPr>
                <w:rFonts w:hint="eastAsia" w:ascii="宋体" w:hAnsi="宋体" w:cs="宋体"/>
                <w:bCs/>
              </w:rPr>
              <w:t>1</w:t>
            </w:r>
          </w:p>
        </w:tc>
        <w:tc>
          <w:tcPr>
            <w:tcW w:w="1589" w:type="dxa"/>
            <w:vAlign w:val="center"/>
          </w:tcPr>
          <w:p w14:paraId="6C69AA10">
            <w:pPr>
              <w:jc w:val="center"/>
              <w:rPr>
                <w:rFonts w:hint="eastAsia" w:ascii="宋体" w:hAnsi="宋体" w:cs="宋体"/>
                <w:b/>
              </w:rPr>
            </w:pPr>
            <w:r>
              <w:rPr>
                <w:rFonts w:hint="eastAsia" w:ascii="宋体" w:hAnsi="宋体" w:cs="宋体"/>
              </w:rPr>
              <w:t>评标办法</w:t>
            </w:r>
          </w:p>
        </w:tc>
        <w:tc>
          <w:tcPr>
            <w:tcW w:w="6405" w:type="dxa"/>
            <w:vAlign w:val="center"/>
          </w:tcPr>
          <w:p w14:paraId="2CAE15A9">
            <w:pPr>
              <w:snapToGrid w:val="0"/>
              <w:jc w:val="left"/>
              <w:textAlignment w:val="baseline"/>
              <w:rPr>
                <w:rFonts w:hint="eastAsia" w:ascii="宋体" w:hAnsi="宋体" w:cs="宋体"/>
              </w:rPr>
            </w:pPr>
            <w:r>
              <w:rPr>
                <w:rFonts w:hint="eastAsia" w:ascii="宋体" w:hAnsi="宋体" w:cs="宋体"/>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2D81B2F6">
            <w:pPr>
              <w:adjustRightInd w:val="0"/>
              <w:snapToGrid w:val="0"/>
              <w:rPr>
                <w:rFonts w:hint="eastAsia" w:ascii="宋体" w:hAnsi="宋体" w:cs="宋体"/>
              </w:rPr>
            </w:pPr>
            <w:r>
              <w:rPr>
                <w:rFonts w:hint="eastAsia" w:ascii="宋体" w:hAnsi="宋体" w:cs="宋体"/>
              </w:rPr>
              <w:t>（1）评标价低的投标人优先；</w:t>
            </w:r>
          </w:p>
          <w:p w14:paraId="63BB548B">
            <w:pPr>
              <w:adjustRightInd w:val="0"/>
              <w:snapToGrid w:val="0"/>
              <w:rPr>
                <w:rFonts w:hint="eastAsia" w:ascii="宋体" w:hAnsi="宋体" w:cs="宋体"/>
              </w:rPr>
            </w:pPr>
            <w:r>
              <w:rPr>
                <w:rFonts w:hint="eastAsia" w:ascii="宋体" w:hAnsi="宋体" w:cs="宋体"/>
              </w:rPr>
              <w:t>（2）服务方案得分较高的投标人优先；</w:t>
            </w:r>
          </w:p>
          <w:p w14:paraId="24A735C9">
            <w:pPr>
              <w:adjustRightInd w:val="0"/>
              <w:snapToGrid w:val="0"/>
              <w:rPr>
                <w:rFonts w:cs="宋体"/>
              </w:rPr>
            </w:pPr>
            <w:r>
              <w:rPr>
                <w:rFonts w:hint="eastAsia" w:ascii="宋体" w:hAnsi="宋体" w:cs="宋体"/>
              </w:rPr>
              <w:t>（3）投标人近3年内满足资格审查条件(业绩最低条件)要求的业绩累计金额高的优先。</w:t>
            </w:r>
          </w:p>
        </w:tc>
      </w:tr>
      <w:tr w14:paraId="1784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vAlign w:val="center"/>
          </w:tcPr>
          <w:p w14:paraId="1A15975F">
            <w:pPr>
              <w:adjustRightInd w:val="0"/>
              <w:snapToGrid w:val="0"/>
              <w:jc w:val="center"/>
              <w:rPr>
                <w:rFonts w:hint="eastAsia" w:ascii="宋体" w:hAnsi="宋体" w:cs="宋体"/>
              </w:rPr>
            </w:pPr>
            <w:r>
              <w:rPr>
                <w:rFonts w:hint="eastAsia" w:ascii="宋体" w:hAnsi="宋体" w:cs="宋体"/>
              </w:rPr>
              <w:t>2.1.1</w:t>
            </w:r>
          </w:p>
          <w:p w14:paraId="495CD09B">
            <w:pPr>
              <w:adjustRightInd w:val="0"/>
              <w:snapToGrid w:val="0"/>
              <w:jc w:val="center"/>
              <w:rPr>
                <w:rFonts w:hint="eastAsia" w:ascii="宋体" w:hAnsi="宋体" w:cs="宋体"/>
              </w:rPr>
            </w:pPr>
            <w:r>
              <w:rPr>
                <w:rFonts w:hint="eastAsia" w:ascii="宋体" w:hAnsi="宋体" w:cs="宋体"/>
              </w:rPr>
              <w:t>2.1.3</w:t>
            </w:r>
          </w:p>
        </w:tc>
        <w:tc>
          <w:tcPr>
            <w:tcW w:w="1589" w:type="dxa"/>
            <w:vAlign w:val="center"/>
          </w:tcPr>
          <w:p w14:paraId="08BBB3E3">
            <w:pPr>
              <w:adjustRightInd w:val="0"/>
              <w:snapToGrid w:val="0"/>
              <w:jc w:val="center"/>
              <w:rPr>
                <w:rFonts w:hint="eastAsia" w:ascii="宋体" w:hAnsi="宋体" w:cs="宋体"/>
              </w:rPr>
            </w:pPr>
            <w:r>
              <w:rPr>
                <w:rFonts w:hint="eastAsia" w:ascii="宋体" w:hAnsi="宋体" w:cs="宋体"/>
              </w:rPr>
              <w:t>形式评审与响应性评审标准</w:t>
            </w:r>
          </w:p>
        </w:tc>
        <w:tc>
          <w:tcPr>
            <w:tcW w:w="6405" w:type="dxa"/>
          </w:tcPr>
          <w:p w14:paraId="23F0BC52">
            <w:pPr>
              <w:tabs>
                <w:tab w:val="left" w:pos="3060"/>
              </w:tabs>
              <w:rPr>
                <w:rFonts w:hint="eastAsia" w:ascii="宋体" w:hAnsi="宋体" w:cs="宋体"/>
                <w:b/>
                <w:bCs/>
              </w:rPr>
            </w:pPr>
            <w:r>
              <w:rPr>
                <w:rFonts w:hint="eastAsia" w:ascii="宋体" w:hAnsi="宋体" w:cs="宋体"/>
                <w:b/>
                <w:bCs/>
              </w:rPr>
              <w:t>第一个信封（商务及技术文件）评审标准:</w:t>
            </w:r>
          </w:p>
          <w:p w14:paraId="657559BF">
            <w:pPr>
              <w:snapToGrid w:val="0"/>
              <w:rPr>
                <w:rFonts w:hint="eastAsia" w:ascii="宋体" w:hAnsi="宋体" w:cs="宋体"/>
              </w:rPr>
            </w:pPr>
            <w:r>
              <w:rPr>
                <w:rFonts w:hint="eastAsia" w:ascii="宋体" w:hAnsi="宋体" w:cs="宋体"/>
              </w:rPr>
              <w:t>（1）投标文件按照招标文件规定的格式、内容填写，字迹清晰可辨：</w:t>
            </w:r>
          </w:p>
          <w:p w14:paraId="6200EAEC">
            <w:pPr>
              <w:snapToGrid w:val="0"/>
              <w:rPr>
                <w:rFonts w:hint="eastAsia" w:ascii="宋体" w:hAnsi="宋体" w:cs="宋体"/>
              </w:rPr>
            </w:pPr>
            <w:r>
              <w:rPr>
                <w:rFonts w:hint="eastAsia" w:ascii="宋体" w:hAnsi="宋体" w:cs="宋体"/>
              </w:rPr>
              <w:t>a.投标函按招标文件规定填报了项目名称、补遗书编号（如有）、项目负责人姓名、服务期限；</w:t>
            </w:r>
          </w:p>
          <w:p w14:paraId="58414736">
            <w:pPr>
              <w:snapToGrid w:val="0"/>
              <w:rPr>
                <w:rFonts w:hint="eastAsia" w:ascii="宋体" w:hAnsi="宋体" w:cs="宋体"/>
              </w:rPr>
            </w:pPr>
            <w:r>
              <w:rPr>
                <w:rFonts w:hint="eastAsia" w:ascii="宋体" w:hAnsi="宋体" w:cs="宋体"/>
              </w:rPr>
              <w:t>b.投标文件组成齐全完整，内容均按规定填写。</w:t>
            </w:r>
          </w:p>
          <w:p w14:paraId="5B55B689">
            <w:pPr>
              <w:snapToGrid w:val="0"/>
              <w:rPr>
                <w:rFonts w:hint="eastAsia" w:ascii="宋体" w:hAnsi="宋体" w:cs="宋体"/>
              </w:rPr>
            </w:pPr>
            <w:r>
              <w:rPr>
                <w:rFonts w:hint="eastAsia" w:ascii="宋体" w:hAnsi="宋体" w:cs="宋体"/>
              </w:rPr>
              <w:t>（2）投标文件上法定代表人（单位负责人）或其委托代理人的签字、投标人的单位章盖章齐全，符合招标文件规定。</w:t>
            </w:r>
          </w:p>
          <w:p w14:paraId="02489066">
            <w:pPr>
              <w:snapToGrid w:val="0"/>
              <w:rPr>
                <w:rFonts w:hint="eastAsia" w:ascii="宋体" w:hAnsi="宋体" w:cs="宋体"/>
              </w:rPr>
            </w:pPr>
            <w:r>
              <w:rPr>
                <w:rFonts w:hint="eastAsia" w:ascii="宋体" w:hAnsi="宋体" w:cs="宋体"/>
              </w:rPr>
              <w:t>（3）投标人按照招标文件的规定提供了投标保证金，并符合投标人须知前附表3.4项的相关规定。</w:t>
            </w:r>
          </w:p>
          <w:p w14:paraId="34D83860">
            <w:pPr>
              <w:snapToGrid w:val="0"/>
              <w:rPr>
                <w:rFonts w:hint="eastAsia" w:ascii="宋体" w:hAnsi="宋体" w:cs="宋体"/>
              </w:rPr>
            </w:pPr>
            <w:r>
              <w:rPr>
                <w:rFonts w:hint="eastAsia" w:ascii="宋体" w:hAnsi="宋体" w:cs="宋体"/>
              </w:rPr>
              <w:t>（4）投标人法定代表人（单位负责人）授权委托代理人签署投标文件的，须提交授权委托书，符合招标文件规定。</w:t>
            </w:r>
          </w:p>
          <w:p w14:paraId="65F791DE">
            <w:pPr>
              <w:tabs>
                <w:tab w:val="left" w:pos="3060"/>
              </w:tabs>
              <w:rPr>
                <w:rFonts w:hint="eastAsia" w:ascii="宋体" w:hAnsi="宋体" w:cs="宋体"/>
              </w:rPr>
            </w:pPr>
            <w:r>
              <w:rPr>
                <w:rFonts w:hint="eastAsia" w:ascii="宋体" w:hAnsi="宋体" w:cs="宋体"/>
              </w:rPr>
              <w:t>（5）投标人法定代表人（单位负责人）若亲自签署投标文件的，须提供法定代表人（单位负责人）身份证明，符合招标文件规定。</w:t>
            </w:r>
          </w:p>
          <w:p w14:paraId="65A3DE11">
            <w:pPr>
              <w:tabs>
                <w:tab w:val="left" w:pos="3060"/>
              </w:tabs>
              <w:rPr>
                <w:rFonts w:hint="eastAsia" w:ascii="宋体" w:hAnsi="宋体" w:cs="宋体"/>
              </w:rPr>
            </w:pPr>
            <w:r>
              <w:rPr>
                <w:rFonts w:hint="eastAsia" w:ascii="宋体" w:hAnsi="宋体" w:cs="宋体"/>
              </w:rPr>
              <w:t>（6）投标人未以联合体形式投标。</w:t>
            </w:r>
          </w:p>
          <w:p w14:paraId="5A8B2C02">
            <w:pPr>
              <w:tabs>
                <w:tab w:val="left" w:pos="3060"/>
              </w:tabs>
              <w:rPr>
                <w:rFonts w:hint="eastAsia" w:ascii="宋体" w:hAnsi="宋体" w:cs="宋体"/>
              </w:rPr>
            </w:pPr>
            <w:r>
              <w:rPr>
                <w:rFonts w:hint="eastAsia" w:ascii="宋体" w:hAnsi="宋体" w:cs="宋体"/>
              </w:rPr>
              <w:t>（7）投标人按照招标文件要求未将项目进行分包。</w:t>
            </w:r>
          </w:p>
          <w:p w14:paraId="28242FE8">
            <w:pPr>
              <w:tabs>
                <w:tab w:val="left" w:pos="3060"/>
              </w:tabs>
              <w:rPr>
                <w:rFonts w:hint="eastAsia" w:ascii="宋体" w:hAnsi="宋体" w:cs="宋体"/>
              </w:rPr>
            </w:pPr>
            <w:r>
              <w:rPr>
                <w:rFonts w:hint="eastAsia" w:ascii="宋体" w:hAnsi="宋体" w:cs="宋体"/>
              </w:rPr>
              <w:t>（8）投标人未提交备选方案。</w:t>
            </w:r>
          </w:p>
          <w:p w14:paraId="0F4E8F55">
            <w:pPr>
              <w:tabs>
                <w:tab w:val="left" w:pos="3060"/>
              </w:tabs>
              <w:rPr>
                <w:rFonts w:hint="eastAsia" w:ascii="宋体" w:hAnsi="宋体" w:cs="宋体"/>
              </w:rPr>
            </w:pPr>
            <w:r>
              <w:rPr>
                <w:rFonts w:hint="eastAsia" w:ascii="宋体" w:hAnsi="宋体" w:cs="宋体"/>
              </w:rPr>
              <w:t>（9）同一投标人未提交两个以上不同的投标文件。</w:t>
            </w:r>
          </w:p>
          <w:p w14:paraId="53DD5E42">
            <w:pPr>
              <w:tabs>
                <w:tab w:val="left" w:pos="3060"/>
              </w:tabs>
              <w:rPr>
                <w:rFonts w:hint="eastAsia" w:ascii="宋体" w:hAnsi="宋体" w:cs="宋体"/>
              </w:rPr>
            </w:pPr>
            <w:r>
              <w:rPr>
                <w:rFonts w:hint="eastAsia" w:ascii="宋体" w:hAnsi="宋体" w:cs="宋体"/>
              </w:rPr>
              <w:t>（</w:t>
            </w:r>
            <w:r>
              <w:rPr>
                <w:rFonts w:ascii="宋体" w:hAnsi="宋体" w:cs="宋体"/>
              </w:rPr>
              <w:t>10</w:t>
            </w:r>
            <w:r>
              <w:rPr>
                <w:rFonts w:hint="eastAsia" w:ascii="宋体" w:hAnsi="宋体" w:cs="宋体"/>
              </w:rPr>
              <w:t>）投标文件中未出现有关投标报价的内容。</w:t>
            </w:r>
          </w:p>
          <w:p w14:paraId="6E75F486">
            <w:pPr>
              <w:tabs>
                <w:tab w:val="left" w:pos="3060"/>
              </w:tabs>
              <w:rPr>
                <w:rFonts w:hint="eastAsia" w:ascii="宋体" w:hAnsi="宋体" w:cs="宋体"/>
              </w:rPr>
            </w:pPr>
            <w:r>
              <w:rPr>
                <w:rFonts w:hint="eastAsia" w:ascii="宋体" w:hAnsi="宋体" w:cs="宋体"/>
              </w:rPr>
              <w:t>（1</w:t>
            </w:r>
            <w:r>
              <w:rPr>
                <w:rFonts w:ascii="宋体" w:hAnsi="宋体" w:cs="宋体"/>
              </w:rPr>
              <w:t>1</w:t>
            </w:r>
            <w:r>
              <w:rPr>
                <w:rFonts w:hint="eastAsia" w:ascii="宋体" w:hAnsi="宋体" w:cs="宋体"/>
              </w:rPr>
              <w:t>）投标文件载明的招标项目服务期限符合招标文件规定。</w:t>
            </w:r>
          </w:p>
          <w:p w14:paraId="3E329DC2">
            <w:pPr>
              <w:tabs>
                <w:tab w:val="left" w:pos="3060"/>
              </w:tabs>
              <w:rPr>
                <w:rFonts w:hint="eastAsia" w:ascii="宋体" w:hAnsi="宋体" w:cs="宋体"/>
              </w:rPr>
            </w:pPr>
            <w:r>
              <w:rPr>
                <w:rFonts w:hint="eastAsia" w:ascii="宋体" w:hAnsi="宋体" w:cs="宋体"/>
              </w:rPr>
              <w:t>（1</w:t>
            </w:r>
            <w:r>
              <w:rPr>
                <w:rFonts w:ascii="宋体" w:hAnsi="宋体" w:cs="宋体"/>
              </w:rPr>
              <w:t>2</w:t>
            </w:r>
            <w:r>
              <w:rPr>
                <w:rFonts w:hint="eastAsia" w:ascii="宋体" w:hAnsi="宋体" w:cs="宋体"/>
              </w:rPr>
              <w:t>）投标文件对招标文件的实质性要求和条件做出响应。</w:t>
            </w:r>
          </w:p>
          <w:p w14:paraId="36DAF6AA">
            <w:pPr>
              <w:tabs>
                <w:tab w:val="left" w:pos="3060"/>
              </w:tabs>
              <w:rPr>
                <w:rFonts w:hint="eastAsia" w:ascii="宋体" w:hAnsi="宋体" w:cs="宋体"/>
              </w:rPr>
            </w:pPr>
            <w:r>
              <w:rPr>
                <w:rFonts w:hint="eastAsia" w:ascii="宋体" w:hAnsi="宋体" w:cs="宋体"/>
              </w:rPr>
              <w:t>（1</w:t>
            </w:r>
            <w:r>
              <w:rPr>
                <w:rFonts w:ascii="宋体" w:hAnsi="宋体" w:cs="宋体"/>
              </w:rPr>
              <w:t>3</w:t>
            </w:r>
            <w:r>
              <w:rPr>
                <w:rFonts w:hint="eastAsia" w:ascii="宋体" w:hAnsi="宋体" w:cs="宋体"/>
              </w:rPr>
              <w:t>）权利义务符合招标文件规定：</w:t>
            </w:r>
          </w:p>
          <w:p w14:paraId="0935B3C6">
            <w:pPr>
              <w:tabs>
                <w:tab w:val="left" w:pos="3060"/>
              </w:tabs>
              <w:rPr>
                <w:rFonts w:hint="eastAsia" w:ascii="宋体" w:hAnsi="宋体" w:cs="宋体"/>
              </w:rPr>
            </w:pPr>
            <w:r>
              <w:rPr>
                <w:rFonts w:hint="eastAsia" w:ascii="宋体" w:hAnsi="宋体" w:cs="宋体"/>
              </w:rPr>
              <w:t>a.投标人应接受招标文件规定的风险划分原则，未提出新的风险划分办法；</w:t>
            </w:r>
          </w:p>
          <w:p w14:paraId="6C3E6880">
            <w:pPr>
              <w:tabs>
                <w:tab w:val="left" w:pos="3060"/>
              </w:tabs>
              <w:rPr>
                <w:rFonts w:hint="eastAsia" w:ascii="宋体" w:hAnsi="宋体" w:cs="宋体"/>
              </w:rPr>
            </w:pPr>
            <w:r>
              <w:rPr>
                <w:rFonts w:hint="eastAsia" w:ascii="宋体" w:hAnsi="宋体" w:cs="宋体"/>
              </w:rPr>
              <w:t>b.投标人未增加发包人的责任范围，或减少投标人义务；</w:t>
            </w:r>
          </w:p>
          <w:p w14:paraId="313BF1D5">
            <w:pPr>
              <w:tabs>
                <w:tab w:val="left" w:pos="3060"/>
              </w:tabs>
              <w:rPr>
                <w:rFonts w:hint="eastAsia" w:ascii="宋体" w:hAnsi="宋体" w:cs="宋体"/>
              </w:rPr>
            </w:pPr>
            <w:r>
              <w:rPr>
                <w:rFonts w:hint="eastAsia" w:ascii="宋体" w:hAnsi="宋体" w:cs="宋体"/>
              </w:rPr>
              <w:t>c.投标人未提出不同的支付办法；</w:t>
            </w:r>
          </w:p>
          <w:p w14:paraId="63B9519E">
            <w:pPr>
              <w:tabs>
                <w:tab w:val="left" w:pos="3060"/>
              </w:tabs>
              <w:rPr>
                <w:rFonts w:hint="eastAsia" w:ascii="宋体" w:hAnsi="宋体" w:cs="宋体"/>
              </w:rPr>
            </w:pPr>
            <w:r>
              <w:rPr>
                <w:rFonts w:hint="eastAsia" w:ascii="宋体" w:hAnsi="宋体" w:cs="宋体"/>
              </w:rPr>
              <w:t>d.投标人对合同纠纷、事故处理办法未提出异议；</w:t>
            </w:r>
          </w:p>
          <w:p w14:paraId="577D010D">
            <w:pPr>
              <w:tabs>
                <w:tab w:val="left" w:pos="3060"/>
              </w:tabs>
              <w:rPr>
                <w:rFonts w:hint="eastAsia" w:ascii="宋体" w:hAnsi="宋体" w:cs="宋体"/>
              </w:rPr>
            </w:pPr>
            <w:r>
              <w:rPr>
                <w:rFonts w:hint="eastAsia" w:ascii="宋体" w:hAnsi="宋体" w:cs="宋体"/>
              </w:rPr>
              <w:t>e.投标人在投标活动中无欺诈行为；</w:t>
            </w:r>
          </w:p>
          <w:p w14:paraId="719E23B7">
            <w:pPr>
              <w:tabs>
                <w:tab w:val="left" w:pos="3060"/>
              </w:tabs>
              <w:rPr>
                <w:rFonts w:hint="eastAsia" w:ascii="宋体" w:hAnsi="宋体" w:cs="宋体"/>
              </w:rPr>
            </w:pPr>
            <w:r>
              <w:rPr>
                <w:rFonts w:hint="eastAsia" w:ascii="宋体" w:hAnsi="宋体" w:cs="宋体"/>
              </w:rPr>
              <w:t>f.投标人未对合同条款有重要保留。</w:t>
            </w:r>
          </w:p>
          <w:p w14:paraId="5ACD1512">
            <w:pPr>
              <w:pStyle w:val="4"/>
              <w:rPr>
                <w:rFonts w:hint="eastAsia" w:cs="宋体"/>
              </w:rPr>
            </w:pPr>
            <w:r>
              <w:rPr>
                <w:rFonts w:hint="eastAsia" w:cs="宋体"/>
              </w:rPr>
              <w:t>(1</w:t>
            </w:r>
            <w:r>
              <w:rPr>
                <w:rFonts w:cs="宋体"/>
              </w:rPr>
              <w:t>4</w:t>
            </w:r>
            <w:r>
              <w:rPr>
                <w:rFonts w:hint="eastAsia" w:cs="宋体"/>
              </w:rPr>
              <w:t>) 投标人名称与营业执照、基本账户开户许可证（或基本存款账户信息）一致，如单位名称有变更的，应提供其变更记录或相关部门的合法批件复印件。</w:t>
            </w:r>
          </w:p>
          <w:p w14:paraId="08AE3B78">
            <w:pPr>
              <w:tabs>
                <w:tab w:val="left" w:pos="3060"/>
              </w:tabs>
              <w:rPr>
                <w:rFonts w:hint="eastAsia" w:ascii="宋体" w:hAnsi="宋体" w:cs="宋体"/>
                <w:b/>
                <w:bCs/>
              </w:rPr>
            </w:pPr>
            <w:r>
              <w:rPr>
                <w:rFonts w:hint="eastAsia" w:ascii="宋体" w:hAnsi="宋体" w:cs="宋体"/>
                <w:b/>
                <w:bCs/>
              </w:rPr>
              <w:t>第二个信封（报价文件）评审标准：</w:t>
            </w:r>
          </w:p>
          <w:p w14:paraId="1F2C1B99">
            <w:pPr>
              <w:snapToGrid w:val="0"/>
              <w:rPr>
                <w:rFonts w:hint="eastAsia" w:ascii="宋体" w:hAnsi="宋体" w:cs="宋体"/>
              </w:rPr>
            </w:pPr>
            <w:r>
              <w:rPr>
                <w:rFonts w:hint="eastAsia" w:ascii="宋体" w:hAnsi="宋体" w:cs="宋体"/>
              </w:rPr>
              <w:t>（1）投标文件按照招标文件规定的格式、内容填写，字迹清晰可辨：</w:t>
            </w:r>
          </w:p>
          <w:p w14:paraId="7A2B8E7A">
            <w:pPr>
              <w:snapToGrid w:val="0"/>
              <w:rPr>
                <w:rFonts w:hint="eastAsia" w:ascii="宋体" w:hAnsi="宋体" w:cs="宋体"/>
              </w:rPr>
            </w:pPr>
            <w:r>
              <w:rPr>
                <w:rFonts w:hint="eastAsia" w:ascii="宋体" w:hAnsi="宋体" w:cs="宋体"/>
              </w:rPr>
              <w:t>a.投标函按招标文件规定填报了项目名称、补遗书编号（如有）、投标价（包括大写金额和小写金额）；</w:t>
            </w:r>
          </w:p>
          <w:p w14:paraId="7405CC9D">
            <w:pPr>
              <w:snapToGrid w:val="0"/>
              <w:rPr>
                <w:rFonts w:hint="eastAsia" w:ascii="宋体" w:hAnsi="宋体" w:cs="宋体"/>
              </w:rPr>
            </w:pPr>
            <w:r>
              <w:rPr>
                <w:rFonts w:hint="eastAsia" w:ascii="宋体" w:hAnsi="宋体" w:cs="宋体"/>
              </w:rPr>
              <w:t>b.投标文件组成齐全完整，内容均按规定填写。</w:t>
            </w:r>
          </w:p>
          <w:p w14:paraId="1D878B43">
            <w:pPr>
              <w:snapToGrid w:val="0"/>
              <w:rPr>
                <w:rFonts w:hint="eastAsia" w:ascii="宋体" w:hAnsi="宋体" w:cs="宋体"/>
              </w:rPr>
            </w:pPr>
            <w:r>
              <w:rPr>
                <w:rFonts w:hint="eastAsia" w:ascii="宋体" w:hAnsi="宋体" w:cs="宋体"/>
              </w:rPr>
              <w:t>（2）投标文件上法定代表人（单位负责人）或其委托代理人的签字、投标人的单位章盖章齐全，符合招标文件规定。</w:t>
            </w:r>
          </w:p>
          <w:p w14:paraId="73F6564A">
            <w:pPr>
              <w:tabs>
                <w:tab w:val="left" w:pos="3060"/>
              </w:tabs>
              <w:snapToGrid w:val="0"/>
              <w:rPr>
                <w:rFonts w:hint="eastAsia" w:ascii="宋体" w:hAnsi="宋体" w:cs="宋体"/>
              </w:rPr>
            </w:pPr>
            <w:r>
              <w:rPr>
                <w:rFonts w:hint="eastAsia" w:ascii="宋体" w:hAnsi="宋体" w:cs="宋体"/>
              </w:rPr>
              <w:t>（3）投标报价中的报价未超过招标文件设定的最高投标限价。</w:t>
            </w:r>
          </w:p>
          <w:p w14:paraId="4C5943A0">
            <w:pPr>
              <w:tabs>
                <w:tab w:val="left" w:pos="3060"/>
              </w:tabs>
              <w:snapToGrid w:val="0"/>
              <w:rPr>
                <w:rFonts w:hint="eastAsia" w:ascii="宋体" w:hAnsi="宋体" w:cs="宋体"/>
              </w:rPr>
            </w:pPr>
            <w:r>
              <w:rPr>
                <w:rFonts w:hint="eastAsia" w:ascii="宋体" w:hAnsi="宋体" w:cs="宋体"/>
              </w:rPr>
              <w:t>（4）投标报价中报价的大写金额能够确定具体数值。</w:t>
            </w:r>
          </w:p>
        </w:tc>
      </w:tr>
      <w:tr w14:paraId="405D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vAlign w:val="center"/>
          </w:tcPr>
          <w:p w14:paraId="4722F85D">
            <w:pPr>
              <w:adjustRightInd w:val="0"/>
              <w:snapToGrid w:val="0"/>
              <w:jc w:val="center"/>
              <w:rPr>
                <w:rFonts w:hint="eastAsia" w:ascii="宋体" w:hAnsi="宋体" w:cs="宋体"/>
              </w:rPr>
            </w:pPr>
            <w:r>
              <w:rPr>
                <w:rFonts w:hint="eastAsia" w:ascii="宋体" w:hAnsi="宋体" w:cs="宋体"/>
              </w:rPr>
              <w:t>2.1.2</w:t>
            </w:r>
          </w:p>
        </w:tc>
        <w:tc>
          <w:tcPr>
            <w:tcW w:w="1589" w:type="dxa"/>
            <w:vAlign w:val="center"/>
          </w:tcPr>
          <w:p w14:paraId="239EE992">
            <w:pPr>
              <w:adjustRightInd w:val="0"/>
              <w:snapToGrid w:val="0"/>
              <w:jc w:val="center"/>
              <w:rPr>
                <w:rFonts w:hint="eastAsia" w:ascii="宋体" w:hAnsi="宋体" w:cs="宋体"/>
              </w:rPr>
            </w:pPr>
            <w:r>
              <w:rPr>
                <w:rFonts w:hint="eastAsia" w:ascii="宋体" w:hAnsi="宋体" w:cs="宋体"/>
              </w:rPr>
              <w:t>资格评审标准</w:t>
            </w:r>
          </w:p>
        </w:tc>
        <w:tc>
          <w:tcPr>
            <w:tcW w:w="6405" w:type="dxa"/>
          </w:tcPr>
          <w:p w14:paraId="22733B17">
            <w:pPr>
              <w:pStyle w:val="4"/>
              <w:rPr>
                <w:rFonts w:hint="eastAsia" w:cs="宋体"/>
              </w:rPr>
            </w:pPr>
            <w:r>
              <w:rPr>
                <w:rFonts w:hint="eastAsia" w:cs="宋体"/>
              </w:rPr>
              <w:t>（1）投标人具备有效的营业执照、组织机构代码证（三证合一或五证合一的除外）和基本账户开户许可证（或基本存款账户信息）。</w:t>
            </w:r>
          </w:p>
          <w:p w14:paraId="39AEABE9">
            <w:pPr>
              <w:tabs>
                <w:tab w:val="left" w:pos="3060"/>
              </w:tabs>
              <w:rPr>
                <w:rFonts w:hint="eastAsia" w:ascii="宋体" w:hAnsi="宋体" w:cs="宋体"/>
              </w:rPr>
            </w:pPr>
            <w:r>
              <w:rPr>
                <w:rFonts w:hint="eastAsia" w:ascii="宋体" w:hAnsi="宋体" w:cs="宋体"/>
              </w:rPr>
              <w:t>（2）投标人的类似项目业绩符合招标文件规定。</w:t>
            </w:r>
          </w:p>
          <w:p w14:paraId="7D05D937">
            <w:pPr>
              <w:tabs>
                <w:tab w:val="left" w:pos="3060"/>
              </w:tabs>
              <w:rPr>
                <w:rFonts w:hint="eastAsia" w:ascii="宋体" w:hAnsi="宋体" w:cs="宋体"/>
              </w:rPr>
            </w:pPr>
            <w:r>
              <w:rPr>
                <w:rFonts w:hint="eastAsia" w:ascii="宋体" w:hAnsi="宋体" w:cs="宋体"/>
              </w:rPr>
              <w:t>（3）投标人的信誉符合招标文件规定。</w:t>
            </w:r>
          </w:p>
          <w:p w14:paraId="646B0F6F">
            <w:pPr>
              <w:tabs>
                <w:tab w:val="left" w:pos="3060"/>
              </w:tabs>
              <w:rPr>
                <w:rFonts w:hint="eastAsia" w:ascii="宋体" w:hAnsi="宋体" w:cs="宋体"/>
              </w:rPr>
            </w:pPr>
            <w:r>
              <w:rPr>
                <w:rFonts w:hint="eastAsia" w:ascii="宋体" w:hAnsi="宋体" w:cs="宋体"/>
              </w:rPr>
              <w:t>（4）投标人的项目负责人符合招标文件规定。</w:t>
            </w:r>
          </w:p>
          <w:p w14:paraId="7A3C0A49">
            <w:pPr>
              <w:tabs>
                <w:tab w:val="left" w:pos="3060"/>
              </w:tabs>
              <w:rPr>
                <w:rFonts w:hint="eastAsia" w:ascii="宋体" w:hAnsi="宋体" w:cs="宋体"/>
              </w:rPr>
            </w:pPr>
            <w:r>
              <w:rPr>
                <w:rFonts w:hint="eastAsia" w:ascii="宋体" w:hAnsi="宋体" w:cs="宋体"/>
              </w:rPr>
              <w:t>（5）投标人的其他要求符合招标文件规定。</w:t>
            </w:r>
          </w:p>
          <w:p w14:paraId="6C63811C">
            <w:pPr>
              <w:tabs>
                <w:tab w:val="left" w:pos="3060"/>
              </w:tabs>
              <w:rPr>
                <w:rFonts w:hint="eastAsia" w:ascii="宋体" w:hAnsi="宋体" w:cs="宋体"/>
              </w:rPr>
            </w:pPr>
            <w:r>
              <w:rPr>
                <w:rFonts w:hint="eastAsia" w:ascii="宋体" w:hAnsi="宋体" w:cs="宋体"/>
              </w:rPr>
              <w:t>（6）投标人不存在第二章“投标人须知”第1.4.3项和1.4.4项规定的任何一种情形。</w:t>
            </w:r>
          </w:p>
        </w:tc>
      </w:tr>
      <w:tr w14:paraId="73B0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vAlign w:val="center"/>
          </w:tcPr>
          <w:p w14:paraId="4DB920E5">
            <w:pPr>
              <w:adjustRightInd w:val="0"/>
              <w:snapToGrid w:val="0"/>
              <w:jc w:val="center"/>
              <w:rPr>
                <w:rFonts w:hint="eastAsia" w:ascii="宋体" w:hAnsi="宋体" w:cs="宋体"/>
              </w:rPr>
            </w:pPr>
            <w:r>
              <w:rPr>
                <w:rFonts w:hint="eastAsia" w:ascii="宋体" w:hAnsi="宋体" w:cs="宋体"/>
              </w:rPr>
              <w:t>2.2.1</w:t>
            </w:r>
          </w:p>
        </w:tc>
        <w:tc>
          <w:tcPr>
            <w:tcW w:w="1589" w:type="dxa"/>
            <w:vAlign w:val="center"/>
          </w:tcPr>
          <w:p w14:paraId="522FE16F">
            <w:pPr>
              <w:adjustRightInd w:val="0"/>
              <w:snapToGrid w:val="0"/>
              <w:jc w:val="center"/>
              <w:rPr>
                <w:rFonts w:hint="eastAsia" w:ascii="宋体" w:hAnsi="宋体" w:cs="宋体"/>
              </w:rPr>
            </w:pPr>
            <w:r>
              <w:rPr>
                <w:rFonts w:hint="eastAsia" w:ascii="宋体" w:hAnsi="宋体" w:cs="宋体"/>
              </w:rPr>
              <w:t>分值构成</w:t>
            </w:r>
          </w:p>
          <w:p w14:paraId="11E83CEA">
            <w:pPr>
              <w:adjustRightInd w:val="0"/>
              <w:snapToGrid w:val="0"/>
              <w:jc w:val="center"/>
              <w:rPr>
                <w:rFonts w:hint="eastAsia" w:ascii="宋体" w:hAnsi="宋体" w:cs="宋体"/>
              </w:rPr>
            </w:pPr>
            <w:r>
              <w:rPr>
                <w:rFonts w:hint="eastAsia" w:ascii="宋体" w:hAnsi="宋体" w:cs="宋体"/>
              </w:rPr>
              <w:t>（总分100分）</w:t>
            </w:r>
          </w:p>
        </w:tc>
        <w:tc>
          <w:tcPr>
            <w:tcW w:w="6405" w:type="dxa"/>
            <w:vAlign w:val="center"/>
          </w:tcPr>
          <w:p w14:paraId="15758B77">
            <w:pPr>
              <w:rPr>
                <w:rFonts w:hint="eastAsia" w:ascii="宋体" w:hAnsi="宋体" w:cs="宋体"/>
                <w:b/>
              </w:rPr>
            </w:pPr>
            <w:r>
              <w:rPr>
                <w:rFonts w:hint="eastAsia" w:ascii="宋体" w:hAnsi="宋体" w:cs="宋体"/>
                <w:b/>
              </w:rPr>
              <w:t>第一个信封（商务及技术文件）评分分值构成：</w:t>
            </w:r>
          </w:p>
          <w:p w14:paraId="59741F62">
            <w:pPr>
              <w:rPr>
                <w:rFonts w:hint="eastAsia" w:ascii="宋体" w:hAnsi="宋体" w:cs="宋体"/>
                <w:bCs/>
              </w:rPr>
            </w:pPr>
            <w:r>
              <w:rPr>
                <w:rFonts w:hint="eastAsia" w:ascii="宋体" w:hAnsi="宋体" w:cs="宋体"/>
                <w:bCs/>
                <w:spacing w:val="40"/>
                <w:kern w:val="0"/>
                <w:fitText w:val="1200" w:id="-867534848"/>
              </w:rPr>
              <w:t>服务方</w:t>
            </w:r>
            <w:r>
              <w:rPr>
                <w:rFonts w:hint="eastAsia" w:ascii="宋体" w:hAnsi="宋体" w:cs="宋体"/>
                <w:bCs/>
                <w:spacing w:val="0"/>
                <w:kern w:val="0"/>
                <w:fitText w:val="1200" w:id="-867534848"/>
              </w:rPr>
              <w:t>案</w:t>
            </w:r>
            <w:r>
              <w:rPr>
                <w:rFonts w:hint="eastAsia" w:ascii="宋体" w:hAnsi="宋体" w:cs="宋体"/>
                <w:bCs/>
              </w:rPr>
              <w:t>：30分</w:t>
            </w:r>
          </w:p>
          <w:p w14:paraId="56E4D38F">
            <w:pPr>
              <w:rPr>
                <w:rFonts w:hint="eastAsia" w:ascii="宋体" w:hAnsi="宋体" w:cs="宋体"/>
                <w:bCs/>
              </w:rPr>
            </w:pPr>
            <w:bookmarkStart w:id="7" w:name="_Toc4458"/>
            <w:bookmarkStart w:id="8" w:name="_Toc9557"/>
            <w:bookmarkStart w:id="9" w:name="_Toc68032927"/>
            <w:r>
              <w:rPr>
                <w:rFonts w:hint="eastAsia" w:ascii="宋体" w:hAnsi="宋体" w:cs="宋体"/>
                <w:bCs/>
                <w:spacing w:val="0"/>
                <w:kern w:val="0"/>
                <w:fitText w:val="1200" w:id="-867534847"/>
              </w:rPr>
              <w:t>项目负责人</w:t>
            </w:r>
            <w:r>
              <w:rPr>
                <w:rFonts w:hint="eastAsia" w:ascii="宋体" w:hAnsi="宋体" w:cs="宋体"/>
                <w:bCs/>
              </w:rPr>
              <w:t>：10分</w:t>
            </w:r>
            <w:bookmarkEnd w:id="7"/>
            <w:bookmarkEnd w:id="8"/>
            <w:bookmarkEnd w:id="9"/>
          </w:p>
          <w:p w14:paraId="2394F070">
            <w:pPr>
              <w:rPr>
                <w:rFonts w:hint="eastAsia" w:ascii="宋体" w:hAnsi="宋体" w:cs="宋体"/>
                <w:bCs/>
              </w:rPr>
            </w:pPr>
            <w:r>
              <w:rPr>
                <w:rFonts w:hint="eastAsia" w:ascii="宋体" w:hAnsi="宋体" w:cs="宋体"/>
                <w:bCs/>
              </w:rPr>
              <w:t>业绩：10分</w:t>
            </w:r>
          </w:p>
          <w:p w14:paraId="23D8CA36">
            <w:pPr>
              <w:rPr>
                <w:rFonts w:hint="eastAsia" w:ascii="宋体" w:hAnsi="宋体" w:cs="宋体"/>
                <w:b/>
              </w:rPr>
            </w:pPr>
            <w:r>
              <w:rPr>
                <w:rFonts w:hint="eastAsia" w:ascii="宋体" w:hAnsi="宋体" w:cs="宋体"/>
                <w:b/>
              </w:rPr>
              <w:t>第二个信封（报价文件）评分分值构成：</w:t>
            </w:r>
          </w:p>
          <w:p w14:paraId="4ED24512">
            <w:pPr>
              <w:adjustRightInd w:val="0"/>
              <w:snapToGrid w:val="0"/>
              <w:rPr>
                <w:rFonts w:hint="eastAsia" w:ascii="宋体" w:hAnsi="宋体" w:cs="宋体"/>
              </w:rPr>
            </w:pPr>
            <w:r>
              <w:rPr>
                <w:rFonts w:hint="eastAsia" w:ascii="宋体" w:hAnsi="宋体" w:cs="宋体"/>
                <w:spacing w:val="120"/>
                <w:kern w:val="0"/>
                <w:fitText w:val="1200" w:id="-867534846"/>
              </w:rPr>
              <w:t>评标</w:t>
            </w:r>
            <w:r>
              <w:rPr>
                <w:rFonts w:hint="eastAsia" w:ascii="宋体" w:hAnsi="宋体" w:cs="宋体"/>
                <w:spacing w:val="0"/>
                <w:kern w:val="0"/>
                <w:fitText w:val="1200" w:id="-867534846"/>
              </w:rPr>
              <w:t>价</w:t>
            </w:r>
            <w:r>
              <w:rPr>
                <w:rFonts w:hint="eastAsia" w:ascii="宋体" w:hAnsi="宋体" w:cs="宋体"/>
              </w:rPr>
              <w:t>：50分</w:t>
            </w:r>
          </w:p>
        </w:tc>
      </w:tr>
      <w:tr w14:paraId="483A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vAlign w:val="center"/>
          </w:tcPr>
          <w:p w14:paraId="591109BB">
            <w:pPr>
              <w:adjustRightInd w:val="0"/>
              <w:snapToGrid w:val="0"/>
              <w:jc w:val="center"/>
              <w:rPr>
                <w:rFonts w:hint="eastAsia" w:ascii="宋体" w:hAnsi="宋体" w:cs="宋体"/>
              </w:rPr>
            </w:pPr>
            <w:r>
              <w:rPr>
                <w:rFonts w:hint="eastAsia" w:ascii="宋体" w:hAnsi="宋体" w:cs="宋体"/>
              </w:rPr>
              <w:t>2.2.2</w:t>
            </w:r>
          </w:p>
        </w:tc>
        <w:tc>
          <w:tcPr>
            <w:tcW w:w="1589" w:type="dxa"/>
            <w:vAlign w:val="center"/>
          </w:tcPr>
          <w:p w14:paraId="7DAF1E07">
            <w:pPr>
              <w:adjustRightInd w:val="0"/>
              <w:snapToGrid w:val="0"/>
              <w:jc w:val="center"/>
              <w:rPr>
                <w:rFonts w:hint="eastAsia" w:ascii="宋体" w:hAnsi="宋体" w:cs="宋体"/>
              </w:rPr>
            </w:pPr>
            <w:r>
              <w:rPr>
                <w:rFonts w:hint="eastAsia" w:ascii="宋体" w:hAnsi="宋体" w:cs="宋体"/>
              </w:rPr>
              <w:t>评标基准价</w:t>
            </w:r>
          </w:p>
          <w:p w14:paraId="421FDD3E">
            <w:pPr>
              <w:adjustRightInd w:val="0"/>
              <w:snapToGrid w:val="0"/>
              <w:jc w:val="center"/>
              <w:rPr>
                <w:rFonts w:hint="eastAsia" w:ascii="宋体" w:hAnsi="宋体" w:cs="宋体"/>
              </w:rPr>
            </w:pPr>
            <w:r>
              <w:rPr>
                <w:rFonts w:hint="eastAsia" w:ascii="宋体" w:hAnsi="宋体" w:cs="宋体"/>
              </w:rPr>
              <w:t>计算方法</w:t>
            </w:r>
          </w:p>
        </w:tc>
        <w:tc>
          <w:tcPr>
            <w:tcW w:w="6405" w:type="dxa"/>
            <w:vAlign w:val="center"/>
          </w:tcPr>
          <w:p w14:paraId="5B77602C">
            <w:pPr>
              <w:widowControl/>
              <w:adjustRightInd w:val="0"/>
              <w:snapToGrid w:val="0"/>
              <w:textAlignment w:val="center"/>
              <w:rPr>
                <w:rFonts w:hint="eastAsia" w:ascii="宋体" w:hAnsi="宋体"/>
                <w:snapToGrid w:val="0"/>
                <w:kern w:val="0"/>
              </w:rPr>
            </w:pPr>
            <w:r>
              <w:rPr>
                <w:rFonts w:hint="eastAsia" w:ascii="宋体" w:hAnsi="宋体"/>
                <w:snapToGrid w:val="0"/>
                <w:kern w:val="0"/>
              </w:rPr>
              <w:t>评标基准价的计算：</w:t>
            </w:r>
          </w:p>
          <w:p w14:paraId="0DB17139">
            <w:pPr>
              <w:widowControl/>
              <w:adjustRightInd w:val="0"/>
              <w:snapToGrid w:val="0"/>
              <w:textAlignment w:val="center"/>
              <w:rPr>
                <w:rFonts w:hint="eastAsia" w:ascii="宋体" w:hAnsi="宋体"/>
                <w:snapToGrid w:val="0"/>
                <w:kern w:val="0"/>
              </w:rPr>
            </w:pPr>
            <w:r>
              <w:rPr>
                <w:rFonts w:hint="eastAsia" w:ascii="宋体" w:hAnsi="宋体"/>
                <w:snapToGrid w:val="0"/>
                <w:kern w:val="0"/>
              </w:rPr>
              <w:t>在第二个信封开标现场，招标人将按照第一信封开标现场抽取的评标基准价的计算方法当场计算并宣布评标基准价。</w:t>
            </w:r>
          </w:p>
          <w:p w14:paraId="6B514722">
            <w:pPr>
              <w:widowControl/>
              <w:adjustRightInd w:val="0"/>
              <w:snapToGrid w:val="0"/>
              <w:textAlignment w:val="center"/>
              <w:rPr>
                <w:rFonts w:hint="eastAsia" w:ascii="宋体" w:hAnsi="宋体"/>
                <w:snapToGrid w:val="0"/>
                <w:kern w:val="0"/>
              </w:rPr>
            </w:pPr>
            <w:r>
              <w:rPr>
                <w:rFonts w:hint="eastAsia" w:ascii="宋体" w:hAnsi="宋体"/>
                <w:snapToGrid w:val="0"/>
                <w:kern w:val="0"/>
              </w:rPr>
              <w:t>（1）评标价的确定：</w:t>
            </w:r>
          </w:p>
          <w:p w14:paraId="2822E2BB">
            <w:pPr>
              <w:widowControl/>
              <w:adjustRightInd w:val="0"/>
              <w:snapToGrid w:val="0"/>
              <w:textAlignment w:val="center"/>
              <w:rPr>
                <w:rFonts w:hint="eastAsia" w:ascii="宋体" w:hAnsi="宋体"/>
                <w:snapToGrid w:val="0"/>
                <w:kern w:val="0"/>
              </w:rPr>
            </w:pPr>
            <w:r>
              <w:rPr>
                <w:rFonts w:hint="eastAsia" w:ascii="宋体" w:hAnsi="宋体"/>
                <w:snapToGrid w:val="0"/>
                <w:kern w:val="0"/>
              </w:rPr>
              <w:t>评标价=投标函文字报价</w:t>
            </w:r>
          </w:p>
          <w:p w14:paraId="5D60F1AE">
            <w:pPr>
              <w:widowControl/>
              <w:adjustRightInd w:val="0"/>
              <w:snapToGrid w:val="0"/>
              <w:textAlignment w:val="center"/>
              <w:rPr>
                <w:rFonts w:hint="eastAsia" w:ascii="宋体" w:hAnsi="宋体"/>
                <w:snapToGrid w:val="0"/>
                <w:kern w:val="0"/>
              </w:rPr>
            </w:pPr>
            <w:r>
              <w:rPr>
                <w:rFonts w:hint="eastAsia" w:ascii="宋体" w:hAnsi="宋体"/>
                <w:snapToGrid w:val="0"/>
                <w:kern w:val="0"/>
              </w:rPr>
              <w:t>（2）评标价平均值的计算：</w:t>
            </w:r>
          </w:p>
          <w:p w14:paraId="6B248091">
            <w:pPr>
              <w:widowControl/>
              <w:adjustRightInd w:val="0"/>
              <w:snapToGrid w:val="0"/>
              <w:textAlignment w:val="center"/>
              <w:rPr>
                <w:rFonts w:hint="eastAsia" w:ascii="宋体" w:hAnsi="宋体"/>
                <w:snapToGrid w:val="0"/>
                <w:kern w:val="0"/>
              </w:rPr>
            </w:pPr>
            <w:r>
              <w:rPr>
                <w:rFonts w:hint="eastAsia" w:ascii="宋体" w:hAnsi="宋体"/>
                <w:snapToGrid w:val="0"/>
                <w:kern w:val="0"/>
              </w:rPr>
              <w:t>除按第二章“投标人须知”第5.2.4项规定开标现场被宣布为不进入评标基准价计算的投标报价之外，所有投标人的评标价去掉n1个最高评标价和n2个最低评标价后的算术平均值即为评标价平均值：</w:t>
            </w:r>
          </w:p>
          <w:p w14:paraId="72652B24">
            <w:pPr>
              <w:widowControl/>
              <w:adjustRightInd w:val="0"/>
              <w:snapToGrid w:val="0"/>
              <w:textAlignment w:val="center"/>
              <w:rPr>
                <w:rFonts w:hint="eastAsia" w:ascii="宋体" w:hAnsi="宋体"/>
                <w:snapToGrid w:val="0"/>
                <w:kern w:val="0"/>
              </w:rPr>
            </w:pPr>
            <w:r>
              <w:rPr>
                <w:rFonts w:hint="eastAsia" w:ascii="宋体" w:hAnsi="宋体"/>
                <w:snapToGrid w:val="0"/>
                <w:kern w:val="0"/>
              </w:rPr>
              <w:t>如果参与评标价平均值计算的投标人数量＜6家时，n1=0，n2=0；</w:t>
            </w:r>
          </w:p>
          <w:p w14:paraId="2E34F6A5">
            <w:pPr>
              <w:widowControl/>
              <w:adjustRightInd w:val="0"/>
              <w:snapToGrid w:val="0"/>
              <w:textAlignment w:val="center"/>
              <w:rPr>
                <w:rFonts w:hint="eastAsia" w:ascii="宋体" w:hAnsi="宋体"/>
                <w:snapToGrid w:val="0"/>
                <w:kern w:val="0"/>
              </w:rPr>
            </w:pPr>
            <w:r>
              <w:rPr>
                <w:rFonts w:hint="eastAsia" w:ascii="宋体" w:hAnsi="宋体"/>
                <w:snapToGrid w:val="0"/>
                <w:kern w:val="0"/>
              </w:rPr>
              <w:t>6家≤参与评标价平均值计算的投标人数量＜10家时，n1=1，n2=1；</w:t>
            </w:r>
          </w:p>
          <w:p w14:paraId="40E6E771">
            <w:pPr>
              <w:widowControl/>
              <w:adjustRightInd w:val="0"/>
              <w:snapToGrid w:val="0"/>
              <w:textAlignment w:val="center"/>
              <w:rPr>
                <w:rFonts w:hint="eastAsia" w:ascii="宋体" w:hAnsi="宋体"/>
                <w:snapToGrid w:val="0"/>
                <w:kern w:val="0"/>
              </w:rPr>
            </w:pPr>
            <w:r>
              <w:rPr>
                <w:rFonts w:hint="eastAsia" w:ascii="宋体" w:hAnsi="宋体"/>
                <w:snapToGrid w:val="0"/>
                <w:kern w:val="0"/>
              </w:rPr>
              <w:t>10家≤参与评标价平均值计算的投标人数量＜20家时，n1=2，n2=2；</w:t>
            </w:r>
          </w:p>
          <w:p w14:paraId="7549A92C">
            <w:pPr>
              <w:widowControl/>
              <w:adjustRightInd w:val="0"/>
              <w:snapToGrid w:val="0"/>
              <w:textAlignment w:val="center"/>
              <w:rPr>
                <w:rFonts w:hint="eastAsia" w:ascii="宋体" w:hAnsi="宋体"/>
                <w:snapToGrid w:val="0"/>
                <w:kern w:val="0"/>
              </w:rPr>
            </w:pPr>
            <w:r>
              <w:rPr>
                <w:rFonts w:hint="eastAsia" w:ascii="宋体" w:hAnsi="宋体"/>
                <w:snapToGrid w:val="0"/>
                <w:kern w:val="0"/>
              </w:rPr>
              <w:t>20家≤参与评标价平均值计算的投标人数量＜30家时，n1=3，n2=3；</w:t>
            </w:r>
          </w:p>
          <w:p w14:paraId="25EBF5FF">
            <w:pPr>
              <w:widowControl/>
              <w:adjustRightInd w:val="0"/>
              <w:snapToGrid w:val="0"/>
              <w:textAlignment w:val="center"/>
              <w:rPr>
                <w:rFonts w:hint="eastAsia" w:ascii="宋体" w:hAnsi="宋体"/>
                <w:snapToGrid w:val="0"/>
                <w:kern w:val="0"/>
              </w:rPr>
            </w:pPr>
            <w:r>
              <w:rPr>
                <w:rFonts w:hint="eastAsia" w:ascii="宋体" w:hAnsi="宋体"/>
                <w:snapToGrid w:val="0"/>
                <w:kern w:val="0"/>
              </w:rPr>
              <w:t>参与评标价平均值计算的投标人数量≥30家时，n1=4，n2=4；</w:t>
            </w:r>
          </w:p>
          <w:p w14:paraId="6848F899">
            <w:pPr>
              <w:widowControl/>
              <w:adjustRightInd w:val="0"/>
              <w:snapToGrid w:val="0"/>
              <w:textAlignment w:val="center"/>
              <w:rPr>
                <w:rFonts w:hint="eastAsia" w:ascii="宋体" w:hAnsi="宋体"/>
                <w:snapToGrid w:val="0"/>
                <w:kern w:val="0"/>
              </w:rPr>
            </w:pPr>
            <w:r>
              <w:rPr>
                <w:rFonts w:hint="eastAsia" w:ascii="宋体" w:hAnsi="宋体"/>
                <w:snapToGrid w:val="0"/>
                <w:kern w:val="0"/>
              </w:rPr>
              <w:t>（3）评标基准价的确定：</w:t>
            </w:r>
          </w:p>
          <w:p w14:paraId="5275F1ED">
            <w:pPr>
              <w:widowControl/>
              <w:adjustRightInd w:val="0"/>
              <w:snapToGrid w:val="0"/>
              <w:textAlignment w:val="center"/>
              <w:rPr>
                <w:rFonts w:hint="eastAsia" w:ascii="宋体" w:hAnsi="宋体"/>
                <w:snapToGrid w:val="0"/>
                <w:kern w:val="0"/>
              </w:rPr>
            </w:pPr>
            <w:r>
              <w:rPr>
                <w:rFonts w:hint="eastAsia" w:ascii="宋体" w:hAnsi="宋体"/>
                <w:snapToGrid w:val="0"/>
                <w:kern w:val="0"/>
              </w:rPr>
              <w:t>采取随机抽取的方式从下列方法中确定评标基准价的计算方法：</w:t>
            </w:r>
          </w:p>
          <w:p w14:paraId="11CF03F7">
            <w:pPr>
              <w:widowControl/>
              <w:adjustRightInd w:val="0"/>
              <w:snapToGrid w:val="0"/>
              <w:textAlignment w:val="center"/>
              <w:rPr>
                <w:rFonts w:hint="eastAsia" w:ascii="宋体" w:hAnsi="宋体"/>
                <w:snapToGrid w:val="0"/>
                <w:kern w:val="0"/>
              </w:rPr>
            </w:pPr>
            <w:r>
              <w:rPr>
                <w:rFonts w:hint="eastAsia" w:ascii="宋体" w:hAnsi="宋体"/>
                <w:snapToGrid w:val="0"/>
                <w:kern w:val="0"/>
              </w:rPr>
              <w:t>方法一：评标价平均值直接作为评标基准价P。</w:t>
            </w:r>
          </w:p>
          <w:p w14:paraId="4DD7DFAA">
            <w:pPr>
              <w:widowControl/>
              <w:adjustRightInd w:val="0"/>
              <w:snapToGrid w:val="0"/>
              <w:textAlignment w:val="center"/>
              <w:rPr>
                <w:rFonts w:hint="eastAsia" w:ascii="宋体" w:hAnsi="宋体"/>
                <w:snapToGrid w:val="0"/>
                <w:kern w:val="0"/>
              </w:rPr>
            </w:pPr>
            <w:r>
              <w:rPr>
                <w:rFonts w:hint="eastAsia" w:ascii="宋体" w:hAnsi="宋体"/>
                <w:snapToGrid w:val="0"/>
                <w:kern w:val="0"/>
              </w:rPr>
              <w:t>方法二：评标价平均值乘以评标基准价系数K，作为评标基准价P。评标基准价系数K取值范围为0.975、0.980、0.985、0.990、0.995，在开标现场随机抽取确定。</w:t>
            </w:r>
          </w:p>
          <w:p w14:paraId="6DAC5ACA">
            <w:pPr>
              <w:widowControl/>
              <w:adjustRightInd w:val="0"/>
              <w:snapToGrid w:val="0"/>
              <w:textAlignment w:val="center"/>
              <w:rPr>
                <w:rFonts w:hint="eastAsia" w:ascii="宋体" w:hAnsi="宋体"/>
                <w:snapToGrid w:val="0"/>
                <w:kern w:val="0"/>
              </w:rPr>
            </w:pPr>
            <w:r>
              <w:rPr>
                <w:rFonts w:hint="eastAsia" w:ascii="宋体" w:hAnsi="宋体"/>
                <w:snapToGrid w:val="0"/>
                <w:kern w:val="0"/>
              </w:rPr>
              <w:t>方法三：评标价平均值与投标人报价的中位数的平均值作为评标基准价P。</w:t>
            </w:r>
          </w:p>
          <w:p w14:paraId="0823F604">
            <w:pPr>
              <w:widowControl/>
              <w:adjustRightInd w:val="0"/>
              <w:snapToGrid w:val="0"/>
              <w:textAlignment w:val="center"/>
              <w:rPr>
                <w:rFonts w:hint="eastAsia" w:ascii="宋体" w:hAnsi="宋体"/>
                <w:snapToGrid w:val="0"/>
                <w:kern w:val="0"/>
              </w:rPr>
            </w:pPr>
            <w:r>
              <w:rPr>
                <w:rFonts w:hint="eastAsia" w:ascii="宋体" w:hAnsi="宋体"/>
                <w:snapToGrid w:val="0"/>
                <w:kern w:val="0"/>
              </w:rPr>
              <w:t>中位数：把所有评标价按高低排序后找出正中间的一个作为中位数。如果评标价为偶数个，取最中间的两个数值的平均值作为中位数。</w:t>
            </w:r>
          </w:p>
          <w:p w14:paraId="66A1AA07">
            <w:pPr>
              <w:widowControl/>
              <w:adjustRightInd w:val="0"/>
              <w:snapToGrid w:val="0"/>
              <w:textAlignment w:val="center"/>
              <w:rPr>
                <w:rFonts w:hint="eastAsia" w:ascii="宋体" w:hAnsi="宋体"/>
                <w:snapToGrid w:val="0"/>
                <w:kern w:val="0"/>
              </w:rPr>
            </w:pPr>
            <w:r>
              <w:rPr>
                <w:rFonts w:hint="eastAsia" w:ascii="宋体" w:hAnsi="宋体"/>
                <w:snapToGrid w:val="0"/>
                <w:kern w:val="0"/>
              </w:rPr>
              <w:t>在评标过程中，评标委员会应对招标人计算的评标基准价进行复核，存在计算错误的应予以修正并在评标报告中作出说明。除此之外，评标基准价在整个评标期间保持不变，不随任何因素发生变化。</w:t>
            </w:r>
          </w:p>
          <w:p w14:paraId="6304BFAF">
            <w:pPr>
              <w:widowControl/>
              <w:adjustRightInd w:val="0"/>
              <w:snapToGrid w:val="0"/>
              <w:textAlignment w:val="center"/>
              <w:rPr>
                <w:rFonts w:hint="eastAsia" w:ascii="宋体" w:hAnsi="宋体" w:cs="宋体"/>
              </w:rPr>
            </w:pPr>
            <w:r>
              <w:rPr>
                <w:rFonts w:hint="eastAsia" w:ascii="宋体" w:hAnsi="宋体"/>
                <w:snapToGrid w:val="0"/>
                <w:kern w:val="0"/>
              </w:rPr>
              <w:t>评标基准价保留小数点后两位，小数点后第三位四舍五入。</w:t>
            </w:r>
          </w:p>
        </w:tc>
      </w:tr>
      <w:tr w14:paraId="3D2B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14:paraId="0775BFD2">
            <w:pPr>
              <w:adjustRightInd w:val="0"/>
              <w:snapToGrid w:val="0"/>
              <w:jc w:val="center"/>
              <w:rPr>
                <w:rFonts w:hint="eastAsia" w:ascii="宋体" w:hAnsi="宋体" w:cs="宋体"/>
              </w:rPr>
            </w:pPr>
            <w:r>
              <w:rPr>
                <w:rFonts w:hint="eastAsia" w:ascii="宋体" w:hAnsi="宋体" w:cs="宋体"/>
              </w:rPr>
              <w:t>2.2.3</w:t>
            </w:r>
          </w:p>
        </w:tc>
        <w:tc>
          <w:tcPr>
            <w:tcW w:w="1589" w:type="dxa"/>
            <w:vAlign w:val="center"/>
          </w:tcPr>
          <w:p w14:paraId="4B4C8493">
            <w:pPr>
              <w:adjustRightInd w:val="0"/>
              <w:snapToGrid w:val="0"/>
              <w:jc w:val="center"/>
              <w:rPr>
                <w:rFonts w:hint="eastAsia" w:ascii="宋体" w:hAnsi="宋体" w:cs="宋体"/>
              </w:rPr>
            </w:pPr>
            <w:r>
              <w:rPr>
                <w:rFonts w:hint="eastAsia" w:ascii="宋体" w:hAnsi="宋体" w:cs="宋体"/>
              </w:rPr>
              <w:t>评标价的偏差率计算公式</w:t>
            </w:r>
          </w:p>
        </w:tc>
        <w:tc>
          <w:tcPr>
            <w:tcW w:w="6405" w:type="dxa"/>
            <w:vAlign w:val="center"/>
          </w:tcPr>
          <w:p w14:paraId="5186D876">
            <w:pPr>
              <w:adjustRightInd w:val="0"/>
              <w:snapToGrid w:val="0"/>
              <w:rPr>
                <w:rFonts w:hint="eastAsia" w:ascii="宋体" w:hAnsi="宋体" w:cs="宋体"/>
              </w:rPr>
            </w:pPr>
            <w:r>
              <w:rPr>
                <w:rFonts w:hint="eastAsia" w:ascii="宋体" w:hAnsi="宋体" w:cs="宋体"/>
              </w:rPr>
              <w:t>偏差率=100%×（投标人评标价-评标基准价）/评标基准价</w:t>
            </w:r>
          </w:p>
        </w:tc>
      </w:tr>
      <w:tr w14:paraId="5E97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vAlign w:val="center"/>
          </w:tcPr>
          <w:p w14:paraId="393689DA">
            <w:pPr>
              <w:adjustRightInd w:val="0"/>
              <w:snapToGrid w:val="0"/>
              <w:jc w:val="center"/>
              <w:rPr>
                <w:rFonts w:hint="eastAsia" w:ascii="宋体" w:hAnsi="宋体" w:cs="宋体"/>
              </w:rPr>
            </w:pPr>
            <w:r>
              <w:rPr>
                <w:rFonts w:hint="eastAsia" w:ascii="宋体" w:hAnsi="宋体" w:cs="宋体"/>
              </w:rPr>
              <w:t>3.6.1</w:t>
            </w:r>
          </w:p>
        </w:tc>
        <w:tc>
          <w:tcPr>
            <w:tcW w:w="1589" w:type="dxa"/>
            <w:vAlign w:val="center"/>
          </w:tcPr>
          <w:p w14:paraId="7C534E87">
            <w:pPr>
              <w:adjustRightInd w:val="0"/>
              <w:snapToGrid w:val="0"/>
              <w:jc w:val="center"/>
              <w:rPr>
                <w:rFonts w:hint="eastAsia" w:ascii="宋体" w:hAnsi="宋体" w:cs="宋体"/>
              </w:rPr>
            </w:pPr>
            <w:r>
              <w:rPr>
                <w:rFonts w:hint="eastAsia" w:ascii="宋体" w:hAnsi="宋体" w:cs="宋体"/>
              </w:rPr>
              <w:t>信息查询</w:t>
            </w:r>
          </w:p>
        </w:tc>
        <w:tc>
          <w:tcPr>
            <w:tcW w:w="6405" w:type="dxa"/>
            <w:vAlign w:val="center"/>
          </w:tcPr>
          <w:p w14:paraId="22F8852F">
            <w:pPr>
              <w:adjustRightInd w:val="0"/>
              <w:snapToGrid w:val="0"/>
              <w:rPr>
                <w:rFonts w:hint="eastAsia" w:ascii="宋体" w:hAnsi="宋体"/>
                <w:snapToGrid w:val="0"/>
                <w:kern w:val="0"/>
              </w:rPr>
            </w:pPr>
            <w:r>
              <w:rPr>
                <w:rFonts w:hint="eastAsia" w:ascii="宋体" w:hAnsi="宋体"/>
                <w:snapToGrid w:val="0"/>
                <w:kern w:val="0"/>
              </w:rPr>
              <w:t>本款修改为：</w:t>
            </w:r>
          </w:p>
          <w:p w14:paraId="331A2488">
            <w:pPr>
              <w:adjustRightInd w:val="0"/>
              <w:snapToGrid w:val="0"/>
              <w:rPr>
                <w:rFonts w:hint="eastAsia" w:ascii="宋体" w:hAnsi="宋体"/>
                <w:snapToGrid w:val="0"/>
                <w:kern w:val="0"/>
              </w:rPr>
            </w:pPr>
            <w:r>
              <w:rPr>
                <w:rFonts w:hint="eastAsia" w:ascii="宋体" w:hAnsi="宋体"/>
                <w:snapToGrid w:val="0"/>
                <w:kern w:val="0"/>
              </w:rPr>
              <w:t>在评标过程中，评标委员会应对以下信息进行查询：</w:t>
            </w:r>
          </w:p>
          <w:p w14:paraId="0CF841B0">
            <w:pPr>
              <w:adjustRightInd w:val="0"/>
              <w:snapToGrid w:val="0"/>
              <w:rPr>
                <w:rFonts w:hint="eastAsia" w:ascii="宋体" w:hAnsi="宋体"/>
                <w:snapToGrid w:val="0"/>
                <w:kern w:val="0"/>
              </w:rPr>
            </w:pPr>
            <w:r>
              <w:rPr>
                <w:rFonts w:hint="eastAsia" w:ascii="宋体" w:hAnsi="宋体"/>
                <w:snapToGrid w:val="0"/>
                <w:kern w:val="0"/>
              </w:rPr>
              <w:t>（1）投标人信用情况网页截图内容与在“国家企业信用信息公示系统”中严重违法失信名单（黑名单）信息（不含分公司）或在“信用中国”网站“中失信被执行人名单、经营异常名录、税收违法黑名单、政府采购严重违法失信名单（均不含分公司）的复核结果一致。</w:t>
            </w:r>
          </w:p>
          <w:p w14:paraId="2AFCACF8">
            <w:pPr>
              <w:adjustRightInd w:val="0"/>
              <w:snapToGrid w:val="0"/>
              <w:rPr>
                <w:rFonts w:hint="eastAsia" w:ascii="宋体" w:hAnsi="宋体"/>
                <w:snapToGrid w:val="0"/>
                <w:kern w:val="0"/>
              </w:rPr>
            </w:pPr>
            <w:r>
              <w:rPr>
                <w:rFonts w:hint="eastAsia" w:ascii="宋体" w:hAnsi="宋体"/>
                <w:snapToGrid w:val="0"/>
                <w:kern w:val="0"/>
              </w:rPr>
              <w:t>如投标人未提供相关网页截图或所附截图与复核结果不一致导致不能满足资格评审要求的，评标委员会应否决其投标。</w:t>
            </w:r>
          </w:p>
          <w:p w14:paraId="3A846A21">
            <w:pPr>
              <w:adjustRightInd w:val="0"/>
              <w:snapToGrid w:val="0"/>
              <w:rPr>
                <w:rFonts w:hint="eastAsia" w:ascii="宋体" w:hAnsi="宋体"/>
                <w:snapToGrid w:val="0"/>
                <w:kern w:val="0"/>
              </w:rPr>
            </w:pPr>
            <w:r>
              <w:rPr>
                <w:rFonts w:hint="eastAsia" w:ascii="宋体" w:hAnsi="宋体"/>
                <w:snapToGrid w:val="0"/>
                <w:kern w:val="0"/>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04E84B22">
            <w:pPr>
              <w:snapToGrid w:val="0"/>
              <w:rPr>
                <w:rFonts w:hint="eastAsia" w:ascii="宋体" w:hAnsi="宋体" w:cs="宋体"/>
              </w:rPr>
            </w:pPr>
            <w:r>
              <w:rPr>
                <w:rFonts w:hint="eastAsia" w:ascii="宋体" w:hAnsi="宋体"/>
                <w:snapToGrid w:val="0"/>
                <w:kern w:val="0"/>
              </w:rPr>
              <w:t>（2）在评标时按照投标人提供的验证方式对电子保函或电子保证保险进行验证。如投标人未提供电子保函或电子保证保险的验证方式，或根据提供的验证方式无法核实的，评标委员会应否决其投标。</w:t>
            </w:r>
          </w:p>
        </w:tc>
      </w:tr>
      <w:bookmarkEnd w:id="3"/>
      <w:bookmarkEnd w:id="4"/>
    </w:tbl>
    <w:p w14:paraId="13E0193E">
      <w:pPr>
        <w:rPr>
          <w:b/>
          <w:bCs/>
          <w:szCs w:val="32"/>
        </w:rPr>
        <w:sectPr>
          <w:pgSz w:w="11906" w:h="16838"/>
          <w:pgMar w:top="1418" w:right="1361" w:bottom="1361" w:left="1418" w:header="851" w:footer="737" w:gutter="0"/>
          <w:pgNumType w:fmt="numberInDash"/>
          <w:cols w:space="720" w:num="1"/>
          <w:docGrid w:linePitch="312" w:charSpace="0"/>
        </w:sectPr>
      </w:pPr>
      <w:bookmarkStart w:id="10" w:name="_Toc155970157"/>
      <w:bookmarkStart w:id="11" w:name="_Toc155970201"/>
    </w:p>
    <w:p w14:paraId="0A851972">
      <w:pPr>
        <w:rPr>
          <w:b/>
          <w:bCs/>
          <w:szCs w:val="32"/>
        </w:rPr>
      </w:pPr>
      <w:bookmarkStart w:id="12" w:name="_Hlk183444345"/>
      <w:r>
        <w:rPr>
          <w:rFonts w:hint="eastAsia"/>
          <w:b/>
          <w:bCs/>
          <w:szCs w:val="32"/>
        </w:rPr>
        <w:t>评分细则</w:t>
      </w:r>
      <w:bookmarkEnd w:id="10"/>
      <w:bookmarkEnd w:id="11"/>
    </w:p>
    <w:tbl>
      <w:tblPr>
        <w:tblStyle w:val="1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28"/>
        <w:gridCol w:w="298"/>
        <w:gridCol w:w="1426"/>
        <w:gridCol w:w="3527"/>
        <w:gridCol w:w="1869"/>
      </w:tblGrid>
      <w:tr w14:paraId="40CE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gridSpan w:val="2"/>
            <w:vAlign w:val="center"/>
          </w:tcPr>
          <w:p w14:paraId="2F2DDB7E">
            <w:pPr>
              <w:jc w:val="center"/>
              <w:rPr>
                <w:rFonts w:hint="eastAsia" w:ascii="宋体" w:hAnsi="宋体" w:cs="宋体"/>
                <w:bCs/>
              </w:rPr>
            </w:pPr>
            <w:r>
              <w:rPr>
                <w:rFonts w:hint="eastAsia" w:ascii="宋体" w:hAnsi="宋体" w:cs="宋体"/>
                <w:bCs/>
              </w:rPr>
              <w:t>条款号</w:t>
            </w:r>
          </w:p>
        </w:tc>
        <w:tc>
          <w:tcPr>
            <w:tcW w:w="1724" w:type="dxa"/>
            <w:gridSpan w:val="2"/>
            <w:vAlign w:val="center"/>
          </w:tcPr>
          <w:p w14:paraId="0D4A49A4">
            <w:pPr>
              <w:jc w:val="center"/>
              <w:rPr>
                <w:rFonts w:hint="eastAsia" w:ascii="宋体" w:hAnsi="宋体" w:cs="宋体"/>
                <w:bCs/>
              </w:rPr>
            </w:pPr>
            <w:r>
              <w:rPr>
                <w:rFonts w:hint="eastAsia" w:ascii="宋体" w:hAnsi="宋体" w:cs="宋体"/>
                <w:bCs/>
              </w:rPr>
              <w:t>评分因素</w:t>
            </w:r>
          </w:p>
        </w:tc>
        <w:tc>
          <w:tcPr>
            <w:tcW w:w="5396" w:type="dxa"/>
            <w:gridSpan w:val="2"/>
            <w:vAlign w:val="center"/>
          </w:tcPr>
          <w:p w14:paraId="75F7DC63">
            <w:pPr>
              <w:jc w:val="center"/>
              <w:rPr>
                <w:rFonts w:hint="eastAsia" w:ascii="宋体" w:hAnsi="宋体" w:cs="宋体"/>
                <w:bCs/>
              </w:rPr>
            </w:pPr>
            <w:r>
              <w:rPr>
                <w:rFonts w:hint="eastAsia" w:ascii="宋体" w:hAnsi="宋体" w:cs="宋体"/>
                <w:bCs/>
              </w:rPr>
              <w:t>评分标准</w:t>
            </w:r>
          </w:p>
        </w:tc>
      </w:tr>
      <w:tr w14:paraId="08BF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restart"/>
            <w:vAlign w:val="center"/>
          </w:tcPr>
          <w:p w14:paraId="53724608">
            <w:pPr>
              <w:jc w:val="center"/>
              <w:rPr>
                <w:rFonts w:hint="eastAsia" w:ascii="宋体" w:hAnsi="宋体" w:cs="宋体"/>
                <w:bCs/>
              </w:rPr>
            </w:pPr>
            <w:r>
              <w:rPr>
                <w:rFonts w:hint="eastAsia" w:ascii="宋体" w:hAnsi="宋体" w:cs="宋体"/>
                <w:bCs/>
              </w:rPr>
              <w:t>2.2.4（1）</w:t>
            </w:r>
          </w:p>
        </w:tc>
        <w:tc>
          <w:tcPr>
            <w:tcW w:w="1128" w:type="dxa"/>
            <w:vMerge w:val="restart"/>
            <w:vAlign w:val="center"/>
          </w:tcPr>
          <w:p w14:paraId="61F57413">
            <w:pPr>
              <w:jc w:val="center"/>
              <w:rPr>
                <w:rFonts w:hint="eastAsia" w:ascii="宋体" w:hAnsi="宋体" w:cs="宋体"/>
                <w:bCs/>
              </w:rPr>
            </w:pPr>
            <w:r>
              <w:rPr>
                <w:rFonts w:hint="eastAsia" w:ascii="宋体" w:hAnsi="宋体" w:cs="宋体"/>
                <w:bCs/>
              </w:rPr>
              <w:t>服务</w:t>
            </w:r>
          </w:p>
          <w:p w14:paraId="2072EE92">
            <w:pPr>
              <w:jc w:val="center"/>
              <w:rPr>
                <w:rFonts w:hint="eastAsia" w:ascii="宋体" w:hAnsi="宋体" w:cs="宋体"/>
                <w:bCs/>
              </w:rPr>
            </w:pPr>
            <w:r>
              <w:rPr>
                <w:rFonts w:hint="eastAsia" w:ascii="宋体" w:hAnsi="宋体" w:cs="宋体"/>
                <w:bCs/>
              </w:rPr>
              <w:t>方案</w:t>
            </w:r>
          </w:p>
          <w:p w14:paraId="74371F91">
            <w:pPr>
              <w:jc w:val="center"/>
              <w:rPr>
                <w:rFonts w:hint="eastAsia" w:ascii="宋体" w:hAnsi="宋体" w:cs="宋体"/>
                <w:bCs/>
              </w:rPr>
            </w:pPr>
            <w:r>
              <w:rPr>
                <w:rFonts w:hint="eastAsia" w:ascii="宋体" w:hAnsi="宋体" w:cs="宋体"/>
                <w:bCs/>
              </w:rPr>
              <w:t>（30分）</w:t>
            </w:r>
          </w:p>
        </w:tc>
        <w:tc>
          <w:tcPr>
            <w:tcW w:w="1724" w:type="dxa"/>
            <w:gridSpan w:val="2"/>
            <w:vMerge w:val="restart"/>
            <w:vAlign w:val="center"/>
          </w:tcPr>
          <w:p w14:paraId="01C2F74A">
            <w:pPr>
              <w:jc w:val="center"/>
              <w:rPr>
                <w:rFonts w:hint="eastAsia" w:ascii="宋体" w:hAnsi="宋体" w:cs="宋体"/>
                <w:bCs/>
              </w:rPr>
            </w:pPr>
            <w:r>
              <w:rPr>
                <w:rFonts w:hint="eastAsia" w:ascii="宋体" w:hAnsi="宋体" w:cs="宋体"/>
                <w:bCs/>
              </w:rPr>
              <w:t>项目实施目标</w:t>
            </w:r>
          </w:p>
          <w:p w14:paraId="2F957DDE">
            <w:pPr>
              <w:jc w:val="center"/>
              <w:rPr>
                <w:rFonts w:hint="eastAsia" w:ascii="宋体" w:hAnsi="宋体" w:cs="宋体"/>
                <w:bCs/>
              </w:rPr>
            </w:pPr>
            <w:r>
              <w:rPr>
                <w:rFonts w:hint="eastAsia" w:ascii="宋体" w:hAnsi="宋体" w:cs="宋体"/>
                <w:bCs/>
              </w:rPr>
              <w:t>（5分）</w:t>
            </w:r>
          </w:p>
        </w:tc>
        <w:tc>
          <w:tcPr>
            <w:tcW w:w="3527" w:type="dxa"/>
            <w:vAlign w:val="center"/>
          </w:tcPr>
          <w:p w14:paraId="150A7908">
            <w:pPr>
              <w:rPr>
                <w:rFonts w:hint="eastAsia" w:ascii="宋体" w:hAnsi="宋体" w:cs="宋体"/>
                <w:bCs/>
              </w:rPr>
            </w:pPr>
            <w:r>
              <w:rPr>
                <w:rFonts w:hint="eastAsia" w:ascii="宋体" w:hAnsi="宋体" w:cs="宋体"/>
                <w:bCs/>
                <w:spacing w:val="-14"/>
              </w:rPr>
              <w:t>总体目标、阶段性目标和相关工作计划安排科学合理，明确。</w:t>
            </w:r>
          </w:p>
        </w:tc>
        <w:tc>
          <w:tcPr>
            <w:tcW w:w="1869" w:type="dxa"/>
            <w:vAlign w:val="center"/>
          </w:tcPr>
          <w:p w14:paraId="4DD1E80B">
            <w:pPr>
              <w:pStyle w:val="24"/>
              <w:jc w:val="center"/>
              <w:rPr>
                <w:rFonts w:hint="eastAsia" w:cs="宋体"/>
                <w:bCs/>
              </w:rPr>
            </w:pPr>
            <w:r>
              <w:rPr>
                <w:rFonts w:hint="eastAsia" w:cs="宋体"/>
                <w:bCs/>
              </w:rPr>
              <w:t>4</w:t>
            </w:r>
            <w:r>
              <w:rPr>
                <w:rFonts w:cs="宋体"/>
                <w:bCs/>
              </w:rPr>
              <w:t>.</w:t>
            </w:r>
            <w:r>
              <w:rPr>
                <w:rFonts w:hint="eastAsia" w:cs="宋体"/>
                <w:bCs/>
              </w:rPr>
              <w:t>0-5</w:t>
            </w:r>
            <w:r>
              <w:rPr>
                <w:rFonts w:cs="宋体"/>
                <w:bCs/>
              </w:rPr>
              <w:t>.0</w:t>
            </w:r>
          </w:p>
        </w:tc>
      </w:tr>
      <w:tr w14:paraId="6F33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432B0E57">
            <w:pPr>
              <w:jc w:val="center"/>
              <w:rPr>
                <w:rFonts w:hint="eastAsia" w:ascii="宋体" w:hAnsi="宋体" w:cs="宋体"/>
                <w:bCs/>
              </w:rPr>
            </w:pPr>
          </w:p>
        </w:tc>
        <w:tc>
          <w:tcPr>
            <w:tcW w:w="1128" w:type="dxa"/>
            <w:vMerge w:val="continue"/>
            <w:vAlign w:val="center"/>
          </w:tcPr>
          <w:p w14:paraId="65D206C8">
            <w:pPr>
              <w:jc w:val="center"/>
              <w:rPr>
                <w:rFonts w:hint="eastAsia" w:ascii="宋体" w:hAnsi="宋体" w:cs="宋体"/>
                <w:bCs/>
              </w:rPr>
            </w:pPr>
          </w:p>
        </w:tc>
        <w:tc>
          <w:tcPr>
            <w:tcW w:w="1724" w:type="dxa"/>
            <w:gridSpan w:val="2"/>
            <w:vMerge w:val="continue"/>
            <w:vAlign w:val="center"/>
          </w:tcPr>
          <w:p w14:paraId="455B0511">
            <w:pPr>
              <w:jc w:val="center"/>
              <w:rPr>
                <w:rFonts w:hint="eastAsia" w:ascii="宋体" w:hAnsi="宋体" w:cs="宋体"/>
                <w:bCs/>
              </w:rPr>
            </w:pPr>
          </w:p>
        </w:tc>
        <w:tc>
          <w:tcPr>
            <w:tcW w:w="3527" w:type="dxa"/>
            <w:vAlign w:val="center"/>
          </w:tcPr>
          <w:p w14:paraId="4FDE31EB">
            <w:pPr>
              <w:rPr>
                <w:rFonts w:hint="eastAsia" w:ascii="宋体" w:hAnsi="宋体" w:cs="宋体"/>
                <w:bCs/>
              </w:rPr>
            </w:pPr>
            <w:r>
              <w:rPr>
                <w:rFonts w:hint="eastAsia" w:ascii="宋体" w:hAnsi="宋体" w:cs="宋体"/>
                <w:bCs/>
                <w:spacing w:val="-14"/>
              </w:rPr>
              <w:t>总体目标、阶段性目标和相关工作计划</w:t>
            </w:r>
            <w:r>
              <w:rPr>
                <w:rFonts w:hint="eastAsia" w:ascii="宋体" w:hAnsi="宋体" w:cs="宋体"/>
                <w:bCs/>
                <w:spacing w:val="-10"/>
              </w:rPr>
              <w:t>较科学合理，明确。</w:t>
            </w:r>
          </w:p>
        </w:tc>
        <w:tc>
          <w:tcPr>
            <w:tcW w:w="1869" w:type="dxa"/>
            <w:vAlign w:val="center"/>
          </w:tcPr>
          <w:p w14:paraId="1A2DEEEC">
            <w:pPr>
              <w:pStyle w:val="24"/>
              <w:jc w:val="center"/>
              <w:rPr>
                <w:rFonts w:hint="eastAsia" w:cs="宋体"/>
                <w:bCs/>
              </w:rPr>
            </w:pPr>
            <w:r>
              <w:rPr>
                <w:rFonts w:hint="eastAsia" w:cs="宋体"/>
                <w:bCs/>
              </w:rPr>
              <w:t>3</w:t>
            </w:r>
            <w:r>
              <w:rPr>
                <w:rFonts w:cs="宋体"/>
                <w:bCs/>
              </w:rPr>
              <w:t>.</w:t>
            </w:r>
            <w:r>
              <w:rPr>
                <w:rFonts w:hint="eastAsia" w:cs="宋体"/>
                <w:bCs/>
              </w:rPr>
              <w:t>0-4</w:t>
            </w:r>
            <w:r>
              <w:rPr>
                <w:rFonts w:cs="宋体"/>
                <w:bCs/>
              </w:rPr>
              <w:t>.0</w:t>
            </w:r>
          </w:p>
        </w:tc>
      </w:tr>
      <w:tr w14:paraId="4AED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288620E4">
            <w:pPr>
              <w:jc w:val="center"/>
              <w:rPr>
                <w:rFonts w:hint="eastAsia" w:ascii="宋体" w:hAnsi="宋体" w:cs="宋体"/>
                <w:bCs/>
              </w:rPr>
            </w:pPr>
          </w:p>
        </w:tc>
        <w:tc>
          <w:tcPr>
            <w:tcW w:w="1128" w:type="dxa"/>
            <w:vMerge w:val="continue"/>
            <w:vAlign w:val="center"/>
          </w:tcPr>
          <w:p w14:paraId="3CA89FDF">
            <w:pPr>
              <w:jc w:val="center"/>
              <w:rPr>
                <w:rFonts w:hint="eastAsia" w:ascii="宋体" w:hAnsi="宋体" w:cs="宋体"/>
                <w:bCs/>
              </w:rPr>
            </w:pPr>
          </w:p>
        </w:tc>
        <w:tc>
          <w:tcPr>
            <w:tcW w:w="1724" w:type="dxa"/>
            <w:gridSpan w:val="2"/>
            <w:vMerge w:val="continue"/>
            <w:vAlign w:val="center"/>
          </w:tcPr>
          <w:p w14:paraId="2C0A0E12">
            <w:pPr>
              <w:jc w:val="center"/>
              <w:rPr>
                <w:rFonts w:hint="eastAsia" w:ascii="宋体" w:hAnsi="宋体" w:cs="宋体"/>
                <w:bCs/>
              </w:rPr>
            </w:pPr>
          </w:p>
        </w:tc>
        <w:tc>
          <w:tcPr>
            <w:tcW w:w="3527" w:type="dxa"/>
            <w:vAlign w:val="center"/>
          </w:tcPr>
          <w:p w14:paraId="18CA9D23">
            <w:pPr>
              <w:rPr>
                <w:rFonts w:hint="eastAsia" w:ascii="宋体" w:hAnsi="宋体" w:cs="宋体"/>
                <w:bCs/>
              </w:rPr>
            </w:pPr>
            <w:r>
              <w:rPr>
                <w:rFonts w:hint="eastAsia" w:ascii="宋体" w:hAnsi="宋体" w:cs="宋体"/>
                <w:bCs/>
                <w:spacing w:val="-14"/>
              </w:rPr>
              <w:t>总体目标、阶段性目标和相关工作计划</w:t>
            </w:r>
            <w:r>
              <w:rPr>
                <w:rFonts w:hint="eastAsia" w:ascii="宋体" w:hAnsi="宋体" w:cs="宋体"/>
                <w:bCs/>
                <w:spacing w:val="-1"/>
              </w:rPr>
              <w:t>基本科学合理。</w:t>
            </w:r>
          </w:p>
        </w:tc>
        <w:tc>
          <w:tcPr>
            <w:tcW w:w="1869" w:type="dxa"/>
            <w:vAlign w:val="center"/>
          </w:tcPr>
          <w:p w14:paraId="2FFAFDF7">
            <w:pPr>
              <w:pStyle w:val="24"/>
              <w:jc w:val="center"/>
              <w:rPr>
                <w:rFonts w:hint="eastAsia" w:cs="宋体"/>
                <w:bCs/>
              </w:rPr>
            </w:pPr>
            <w:r>
              <w:rPr>
                <w:rFonts w:hint="eastAsia" w:cs="宋体"/>
                <w:bCs/>
              </w:rPr>
              <w:t>3</w:t>
            </w:r>
            <w:r>
              <w:rPr>
                <w:rFonts w:cs="宋体"/>
                <w:bCs/>
              </w:rPr>
              <w:t>.0</w:t>
            </w:r>
          </w:p>
        </w:tc>
      </w:tr>
      <w:tr w14:paraId="07CE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1C13414E">
            <w:pPr>
              <w:jc w:val="center"/>
              <w:rPr>
                <w:rFonts w:hint="eastAsia" w:ascii="宋体" w:hAnsi="宋体" w:cs="宋体"/>
                <w:bCs/>
              </w:rPr>
            </w:pPr>
          </w:p>
        </w:tc>
        <w:tc>
          <w:tcPr>
            <w:tcW w:w="1128" w:type="dxa"/>
            <w:vMerge w:val="continue"/>
            <w:vAlign w:val="center"/>
          </w:tcPr>
          <w:p w14:paraId="29BD0310">
            <w:pPr>
              <w:jc w:val="center"/>
              <w:rPr>
                <w:rFonts w:hint="eastAsia" w:ascii="宋体" w:hAnsi="宋体" w:cs="宋体"/>
                <w:bCs/>
              </w:rPr>
            </w:pPr>
          </w:p>
        </w:tc>
        <w:tc>
          <w:tcPr>
            <w:tcW w:w="1724" w:type="dxa"/>
            <w:gridSpan w:val="2"/>
            <w:vMerge w:val="restart"/>
            <w:vAlign w:val="center"/>
          </w:tcPr>
          <w:p w14:paraId="532B395B">
            <w:pPr>
              <w:jc w:val="center"/>
              <w:rPr>
                <w:rFonts w:hint="eastAsia" w:ascii="宋体" w:hAnsi="宋体" w:cs="宋体"/>
                <w:bCs/>
              </w:rPr>
            </w:pPr>
            <w:r>
              <w:rPr>
                <w:rFonts w:hint="eastAsia" w:ascii="宋体" w:hAnsi="宋体" w:cs="宋体"/>
                <w:bCs/>
              </w:rPr>
              <w:t>团队组建及职责分工（10分）</w:t>
            </w:r>
          </w:p>
        </w:tc>
        <w:tc>
          <w:tcPr>
            <w:tcW w:w="3527" w:type="dxa"/>
            <w:vAlign w:val="center"/>
          </w:tcPr>
          <w:p w14:paraId="3C4428E8">
            <w:pPr>
              <w:rPr>
                <w:rFonts w:hint="eastAsia" w:ascii="宋体" w:hAnsi="宋体" w:cs="宋体"/>
                <w:bCs/>
              </w:rPr>
            </w:pPr>
            <w:r>
              <w:rPr>
                <w:rFonts w:hint="eastAsia" w:ascii="宋体" w:hAnsi="宋体" w:cs="宋体"/>
                <w:bCs/>
                <w:spacing w:val="-14"/>
              </w:rPr>
              <w:t>团队体系完善，服务时效性强，人员职责分工明确，团队人员综合素质强。</w:t>
            </w:r>
          </w:p>
        </w:tc>
        <w:tc>
          <w:tcPr>
            <w:tcW w:w="1869" w:type="dxa"/>
            <w:vAlign w:val="center"/>
          </w:tcPr>
          <w:p w14:paraId="1DE225BF">
            <w:pPr>
              <w:pStyle w:val="24"/>
              <w:jc w:val="center"/>
              <w:rPr>
                <w:rFonts w:hint="eastAsia" w:cs="宋体"/>
                <w:bCs/>
              </w:rPr>
            </w:pPr>
            <w:r>
              <w:rPr>
                <w:rFonts w:hint="eastAsia" w:cs="宋体"/>
                <w:bCs/>
              </w:rPr>
              <w:t>8</w:t>
            </w:r>
            <w:r>
              <w:rPr>
                <w:rFonts w:cs="宋体"/>
                <w:bCs/>
              </w:rPr>
              <w:t>.</w:t>
            </w:r>
            <w:r>
              <w:rPr>
                <w:rFonts w:hint="eastAsia" w:cs="宋体"/>
                <w:bCs/>
              </w:rPr>
              <w:t>0-10</w:t>
            </w:r>
            <w:r>
              <w:rPr>
                <w:rFonts w:cs="宋体"/>
                <w:bCs/>
              </w:rPr>
              <w:t>.0</w:t>
            </w:r>
          </w:p>
        </w:tc>
      </w:tr>
      <w:tr w14:paraId="2672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274A4CC3">
            <w:pPr>
              <w:jc w:val="center"/>
              <w:rPr>
                <w:rFonts w:hint="eastAsia" w:ascii="宋体" w:hAnsi="宋体" w:cs="宋体"/>
                <w:bCs/>
              </w:rPr>
            </w:pPr>
          </w:p>
        </w:tc>
        <w:tc>
          <w:tcPr>
            <w:tcW w:w="1128" w:type="dxa"/>
            <w:vMerge w:val="continue"/>
            <w:vAlign w:val="center"/>
          </w:tcPr>
          <w:p w14:paraId="686FA131">
            <w:pPr>
              <w:jc w:val="center"/>
              <w:rPr>
                <w:rFonts w:hint="eastAsia" w:ascii="宋体" w:hAnsi="宋体" w:cs="宋体"/>
                <w:bCs/>
              </w:rPr>
            </w:pPr>
          </w:p>
        </w:tc>
        <w:tc>
          <w:tcPr>
            <w:tcW w:w="1724" w:type="dxa"/>
            <w:gridSpan w:val="2"/>
            <w:vMerge w:val="continue"/>
            <w:vAlign w:val="center"/>
          </w:tcPr>
          <w:p w14:paraId="1D87B22A">
            <w:pPr>
              <w:jc w:val="center"/>
              <w:rPr>
                <w:rFonts w:hint="eastAsia" w:ascii="宋体" w:hAnsi="宋体" w:cs="宋体"/>
                <w:bCs/>
              </w:rPr>
            </w:pPr>
          </w:p>
        </w:tc>
        <w:tc>
          <w:tcPr>
            <w:tcW w:w="3527" w:type="dxa"/>
            <w:vAlign w:val="center"/>
          </w:tcPr>
          <w:p w14:paraId="79CAB52B">
            <w:pPr>
              <w:rPr>
                <w:rFonts w:hint="eastAsia" w:ascii="宋体" w:hAnsi="宋体" w:cs="宋体"/>
                <w:bCs/>
              </w:rPr>
            </w:pPr>
            <w:r>
              <w:rPr>
                <w:rFonts w:hint="eastAsia" w:ascii="宋体" w:hAnsi="宋体" w:cs="宋体"/>
                <w:bCs/>
                <w:spacing w:val="-14"/>
              </w:rPr>
              <w:t>团队体系较完善，服务时效性较强，人员职责分工较明确，团队人员综合素质较强。</w:t>
            </w:r>
          </w:p>
        </w:tc>
        <w:tc>
          <w:tcPr>
            <w:tcW w:w="1869" w:type="dxa"/>
            <w:vAlign w:val="center"/>
          </w:tcPr>
          <w:p w14:paraId="7095307F">
            <w:pPr>
              <w:pStyle w:val="24"/>
              <w:jc w:val="center"/>
              <w:rPr>
                <w:rFonts w:hint="eastAsia" w:cs="宋体"/>
                <w:bCs/>
              </w:rPr>
            </w:pPr>
            <w:r>
              <w:rPr>
                <w:rFonts w:hint="eastAsia" w:cs="宋体"/>
                <w:bCs/>
              </w:rPr>
              <w:t>6</w:t>
            </w:r>
            <w:r>
              <w:rPr>
                <w:rFonts w:cs="宋体"/>
                <w:bCs/>
              </w:rPr>
              <w:t>.</w:t>
            </w:r>
            <w:r>
              <w:rPr>
                <w:rFonts w:hint="eastAsia" w:cs="宋体"/>
                <w:bCs/>
              </w:rPr>
              <w:t>0-8</w:t>
            </w:r>
            <w:r>
              <w:rPr>
                <w:rFonts w:cs="宋体"/>
                <w:bCs/>
              </w:rPr>
              <w:t>.0</w:t>
            </w:r>
          </w:p>
        </w:tc>
      </w:tr>
      <w:tr w14:paraId="7523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11656902">
            <w:pPr>
              <w:jc w:val="center"/>
              <w:rPr>
                <w:rFonts w:hint="eastAsia" w:ascii="宋体" w:hAnsi="宋体" w:cs="宋体"/>
                <w:bCs/>
              </w:rPr>
            </w:pPr>
          </w:p>
        </w:tc>
        <w:tc>
          <w:tcPr>
            <w:tcW w:w="1128" w:type="dxa"/>
            <w:vMerge w:val="continue"/>
            <w:vAlign w:val="center"/>
          </w:tcPr>
          <w:p w14:paraId="7A7A3B4E">
            <w:pPr>
              <w:jc w:val="center"/>
              <w:rPr>
                <w:rFonts w:hint="eastAsia" w:ascii="宋体" w:hAnsi="宋体" w:cs="宋体"/>
                <w:bCs/>
              </w:rPr>
            </w:pPr>
          </w:p>
        </w:tc>
        <w:tc>
          <w:tcPr>
            <w:tcW w:w="1724" w:type="dxa"/>
            <w:gridSpan w:val="2"/>
            <w:vMerge w:val="continue"/>
            <w:vAlign w:val="center"/>
          </w:tcPr>
          <w:p w14:paraId="3E420769">
            <w:pPr>
              <w:jc w:val="center"/>
              <w:rPr>
                <w:rFonts w:hint="eastAsia" w:ascii="宋体" w:hAnsi="宋体" w:cs="宋体"/>
                <w:bCs/>
              </w:rPr>
            </w:pPr>
          </w:p>
        </w:tc>
        <w:tc>
          <w:tcPr>
            <w:tcW w:w="3527" w:type="dxa"/>
            <w:vAlign w:val="center"/>
          </w:tcPr>
          <w:p w14:paraId="06232C87">
            <w:pPr>
              <w:rPr>
                <w:rFonts w:hint="eastAsia" w:ascii="宋体" w:hAnsi="宋体" w:cs="宋体"/>
                <w:bCs/>
              </w:rPr>
            </w:pPr>
            <w:r>
              <w:rPr>
                <w:rFonts w:hint="eastAsia" w:ascii="宋体" w:hAnsi="宋体" w:cs="宋体"/>
                <w:bCs/>
                <w:spacing w:val="-14"/>
              </w:rPr>
              <w:t>团队体系一般，服务时效性一般，</w:t>
            </w:r>
            <w:r>
              <w:rPr>
                <w:rFonts w:hint="eastAsia" w:ascii="宋体" w:hAnsi="宋体" w:cs="宋体"/>
                <w:bCs/>
                <w:spacing w:val="-1"/>
              </w:rPr>
              <w:t>分工一般，</w:t>
            </w:r>
            <w:r>
              <w:rPr>
                <w:rFonts w:hint="eastAsia" w:ascii="宋体" w:hAnsi="宋体" w:cs="宋体"/>
                <w:bCs/>
                <w:spacing w:val="-14"/>
              </w:rPr>
              <w:t>团队人员综合素质</w:t>
            </w:r>
            <w:r>
              <w:rPr>
                <w:rFonts w:hint="eastAsia" w:ascii="宋体" w:hAnsi="宋体" w:cs="宋体"/>
                <w:bCs/>
                <w:spacing w:val="-1"/>
              </w:rPr>
              <w:t>基本满足工作需求。</w:t>
            </w:r>
          </w:p>
        </w:tc>
        <w:tc>
          <w:tcPr>
            <w:tcW w:w="1869" w:type="dxa"/>
            <w:vAlign w:val="center"/>
          </w:tcPr>
          <w:p w14:paraId="0E6FE14E">
            <w:pPr>
              <w:pStyle w:val="24"/>
              <w:jc w:val="center"/>
              <w:rPr>
                <w:rFonts w:hint="eastAsia" w:cs="宋体"/>
                <w:bCs/>
              </w:rPr>
            </w:pPr>
            <w:r>
              <w:rPr>
                <w:rFonts w:hint="eastAsia" w:cs="宋体"/>
                <w:bCs/>
              </w:rPr>
              <w:t>6</w:t>
            </w:r>
            <w:r>
              <w:rPr>
                <w:rFonts w:cs="宋体"/>
                <w:bCs/>
              </w:rPr>
              <w:t>.0</w:t>
            </w:r>
          </w:p>
        </w:tc>
      </w:tr>
      <w:tr w14:paraId="764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623DFFBF">
            <w:pPr>
              <w:jc w:val="center"/>
              <w:rPr>
                <w:rFonts w:hint="eastAsia" w:ascii="宋体" w:hAnsi="宋体" w:cs="宋体"/>
                <w:bCs/>
              </w:rPr>
            </w:pPr>
          </w:p>
        </w:tc>
        <w:tc>
          <w:tcPr>
            <w:tcW w:w="1128" w:type="dxa"/>
            <w:vMerge w:val="continue"/>
            <w:vAlign w:val="center"/>
          </w:tcPr>
          <w:p w14:paraId="7F892F67">
            <w:pPr>
              <w:jc w:val="center"/>
              <w:rPr>
                <w:rFonts w:hint="eastAsia" w:ascii="宋体" w:hAnsi="宋体" w:cs="宋体"/>
                <w:bCs/>
              </w:rPr>
            </w:pPr>
          </w:p>
        </w:tc>
        <w:tc>
          <w:tcPr>
            <w:tcW w:w="1724" w:type="dxa"/>
            <w:gridSpan w:val="2"/>
            <w:vMerge w:val="restart"/>
            <w:vAlign w:val="center"/>
          </w:tcPr>
          <w:p w14:paraId="4CEC8DA2">
            <w:pPr>
              <w:jc w:val="center"/>
              <w:rPr>
                <w:rFonts w:hint="eastAsia" w:ascii="宋体" w:hAnsi="宋体" w:cs="宋体"/>
                <w:bCs/>
              </w:rPr>
            </w:pPr>
            <w:r>
              <w:rPr>
                <w:rFonts w:hint="eastAsia" w:ascii="宋体" w:hAnsi="宋体" w:cs="宋体"/>
                <w:bCs/>
              </w:rPr>
              <w:t>整体方案</w:t>
            </w:r>
          </w:p>
          <w:p w14:paraId="2A026C93">
            <w:pPr>
              <w:jc w:val="center"/>
              <w:rPr>
                <w:rFonts w:hint="eastAsia" w:ascii="宋体" w:hAnsi="宋体" w:cs="宋体"/>
                <w:bCs/>
              </w:rPr>
            </w:pPr>
            <w:r>
              <w:rPr>
                <w:rFonts w:hint="eastAsia" w:ascii="宋体" w:hAnsi="宋体" w:cs="宋体"/>
                <w:bCs/>
              </w:rPr>
              <w:t>（10分）</w:t>
            </w:r>
          </w:p>
        </w:tc>
        <w:tc>
          <w:tcPr>
            <w:tcW w:w="3527" w:type="dxa"/>
            <w:vAlign w:val="center"/>
          </w:tcPr>
          <w:p w14:paraId="3A0C0C62">
            <w:pPr>
              <w:rPr>
                <w:rFonts w:hint="eastAsia" w:ascii="宋体" w:hAnsi="宋体" w:cs="宋体"/>
                <w:bCs/>
              </w:rPr>
            </w:pPr>
            <w:r>
              <w:rPr>
                <w:rFonts w:hint="eastAsia" w:ascii="宋体" w:hAnsi="宋体" w:cs="宋体"/>
                <w:bCs/>
                <w:spacing w:val="-14"/>
              </w:rPr>
              <w:t>方案明确详尽，具体包含营销策划方案、分期推进方案、阶段性工作目标等，与本项目的实</w:t>
            </w:r>
            <w:r>
              <w:rPr>
                <w:rFonts w:hint="eastAsia" w:ascii="宋体" w:hAnsi="宋体" w:cs="宋体"/>
                <w:bCs/>
                <w:spacing w:val="-10"/>
              </w:rPr>
              <w:t>际情</w:t>
            </w:r>
            <w:r>
              <w:rPr>
                <w:rFonts w:hint="eastAsia" w:ascii="宋体" w:hAnsi="宋体" w:cs="宋体"/>
                <w:bCs/>
                <w:spacing w:val="-9"/>
              </w:rPr>
              <w:t>况</w:t>
            </w:r>
            <w:r>
              <w:rPr>
                <w:rFonts w:hint="eastAsia" w:ascii="宋体" w:hAnsi="宋体" w:cs="宋体"/>
                <w:bCs/>
                <w:spacing w:val="-5"/>
              </w:rPr>
              <w:t>契合度高、针对性和操作性强。</w:t>
            </w:r>
          </w:p>
        </w:tc>
        <w:tc>
          <w:tcPr>
            <w:tcW w:w="1869" w:type="dxa"/>
            <w:vAlign w:val="center"/>
          </w:tcPr>
          <w:p w14:paraId="7B43E24A">
            <w:pPr>
              <w:pStyle w:val="24"/>
              <w:jc w:val="center"/>
              <w:rPr>
                <w:rFonts w:hint="eastAsia" w:cs="宋体"/>
                <w:bCs/>
              </w:rPr>
            </w:pPr>
            <w:r>
              <w:rPr>
                <w:rFonts w:hint="eastAsia" w:cs="宋体"/>
                <w:bCs/>
              </w:rPr>
              <w:t>8</w:t>
            </w:r>
            <w:r>
              <w:rPr>
                <w:rFonts w:cs="宋体"/>
                <w:bCs/>
              </w:rPr>
              <w:t>.</w:t>
            </w:r>
            <w:r>
              <w:rPr>
                <w:rFonts w:hint="eastAsia" w:cs="宋体"/>
                <w:bCs/>
              </w:rPr>
              <w:t>0-10</w:t>
            </w:r>
            <w:r>
              <w:rPr>
                <w:rFonts w:cs="宋体"/>
                <w:bCs/>
              </w:rPr>
              <w:t>.0</w:t>
            </w:r>
          </w:p>
        </w:tc>
      </w:tr>
      <w:tr w14:paraId="71E1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vAlign w:val="center"/>
          </w:tcPr>
          <w:p w14:paraId="0B49C031">
            <w:pPr>
              <w:jc w:val="center"/>
              <w:rPr>
                <w:rFonts w:hint="eastAsia" w:ascii="宋体" w:hAnsi="宋体" w:cs="宋体"/>
                <w:bCs/>
              </w:rPr>
            </w:pPr>
          </w:p>
        </w:tc>
        <w:tc>
          <w:tcPr>
            <w:tcW w:w="1128" w:type="dxa"/>
            <w:vMerge w:val="continue"/>
            <w:vAlign w:val="center"/>
          </w:tcPr>
          <w:p w14:paraId="275ED65E">
            <w:pPr>
              <w:jc w:val="center"/>
              <w:rPr>
                <w:rFonts w:hint="eastAsia" w:ascii="宋体" w:hAnsi="宋体" w:cs="宋体"/>
                <w:bCs/>
              </w:rPr>
            </w:pPr>
          </w:p>
        </w:tc>
        <w:tc>
          <w:tcPr>
            <w:tcW w:w="1724" w:type="dxa"/>
            <w:gridSpan w:val="2"/>
            <w:vMerge w:val="continue"/>
            <w:vAlign w:val="center"/>
          </w:tcPr>
          <w:p w14:paraId="7C52A152">
            <w:pPr>
              <w:jc w:val="center"/>
              <w:rPr>
                <w:rFonts w:hint="eastAsia" w:ascii="宋体" w:hAnsi="宋体" w:cs="宋体"/>
                <w:bCs/>
              </w:rPr>
            </w:pPr>
          </w:p>
        </w:tc>
        <w:tc>
          <w:tcPr>
            <w:tcW w:w="3527" w:type="dxa"/>
            <w:vAlign w:val="center"/>
          </w:tcPr>
          <w:p w14:paraId="0903CA71">
            <w:pPr>
              <w:rPr>
                <w:rFonts w:hint="eastAsia" w:ascii="宋体" w:hAnsi="宋体" w:cs="宋体"/>
                <w:bCs/>
              </w:rPr>
            </w:pPr>
            <w:r>
              <w:rPr>
                <w:rFonts w:hint="eastAsia" w:ascii="宋体" w:hAnsi="宋体" w:cs="宋体"/>
                <w:bCs/>
                <w:spacing w:val="-10"/>
              </w:rPr>
              <w:t>方案较明确，</w:t>
            </w:r>
            <w:r>
              <w:rPr>
                <w:rFonts w:hint="eastAsia" w:ascii="宋体" w:hAnsi="宋体" w:cs="宋体"/>
                <w:bCs/>
                <w:spacing w:val="-14"/>
              </w:rPr>
              <w:t>具体包含营销策划方案、分期推进方案、阶段性工作目标等，与</w:t>
            </w:r>
            <w:r>
              <w:rPr>
                <w:rFonts w:hint="eastAsia" w:ascii="宋体" w:hAnsi="宋体" w:cs="宋体"/>
                <w:bCs/>
                <w:spacing w:val="-10"/>
              </w:rPr>
              <w:t>本项目的实际情</w:t>
            </w:r>
            <w:r>
              <w:rPr>
                <w:rFonts w:hint="eastAsia" w:ascii="宋体" w:hAnsi="宋体" w:cs="宋体"/>
                <w:bCs/>
                <w:spacing w:val="-24"/>
              </w:rPr>
              <w:t>况</w:t>
            </w:r>
            <w:r>
              <w:rPr>
                <w:rFonts w:hint="eastAsia" w:ascii="宋体" w:hAnsi="宋体" w:cs="宋体"/>
                <w:bCs/>
                <w:spacing w:val="-15"/>
              </w:rPr>
              <w:t>契</w:t>
            </w:r>
            <w:r>
              <w:rPr>
                <w:rFonts w:hint="eastAsia" w:ascii="宋体" w:hAnsi="宋体" w:cs="宋体"/>
                <w:bCs/>
                <w:spacing w:val="-12"/>
              </w:rPr>
              <w:t>合度较高，</w:t>
            </w:r>
            <w:r>
              <w:rPr>
                <w:rFonts w:hint="eastAsia" w:ascii="宋体" w:hAnsi="宋体" w:cs="宋体"/>
                <w:bCs/>
                <w:spacing w:val="-5"/>
              </w:rPr>
              <w:t>针对性和操作性较强。</w:t>
            </w:r>
          </w:p>
        </w:tc>
        <w:tc>
          <w:tcPr>
            <w:tcW w:w="1869" w:type="dxa"/>
            <w:vAlign w:val="center"/>
          </w:tcPr>
          <w:p w14:paraId="717A0A12">
            <w:pPr>
              <w:pStyle w:val="24"/>
              <w:jc w:val="center"/>
              <w:rPr>
                <w:rFonts w:hint="eastAsia" w:cs="宋体"/>
                <w:bCs/>
              </w:rPr>
            </w:pPr>
            <w:r>
              <w:rPr>
                <w:rFonts w:hint="eastAsia" w:cs="宋体"/>
                <w:bCs/>
              </w:rPr>
              <w:t>6</w:t>
            </w:r>
            <w:r>
              <w:rPr>
                <w:rFonts w:cs="宋体"/>
                <w:bCs/>
              </w:rPr>
              <w:t>.</w:t>
            </w:r>
            <w:r>
              <w:rPr>
                <w:rFonts w:hint="eastAsia" w:cs="宋体"/>
                <w:bCs/>
              </w:rPr>
              <w:t>0-8</w:t>
            </w:r>
            <w:r>
              <w:rPr>
                <w:rFonts w:cs="宋体"/>
                <w:bCs/>
              </w:rPr>
              <w:t>.0</w:t>
            </w:r>
          </w:p>
        </w:tc>
      </w:tr>
      <w:tr w14:paraId="6C01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vAlign w:val="center"/>
          </w:tcPr>
          <w:p w14:paraId="680D61C7">
            <w:pPr>
              <w:jc w:val="center"/>
              <w:rPr>
                <w:rFonts w:hint="eastAsia" w:ascii="宋体" w:hAnsi="宋体" w:cs="宋体"/>
                <w:bCs/>
              </w:rPr>
            </w:pPr>
          </w:p>
        </w:tc>
        <w:tc>
          <w:tcPr>
            <w:tcW w:w="1128" w:type="dxa"/>
            <w:vMerge w:val="continue"/>
            <w:vAlign w:val="center"/>
          </w:tcPr>
          <w:p w14:paraId="646CF951">
            <w:pPr>
              <w:jc w:val="center"/>
              <w:rPr>
                <w:rFonts w:hint="eastAsia" w:ascii="宋体" w:hAnsi="宋体" w:cs="宋体"/>
                <w:bCs/>
              </w:rPr>
            </w:pPr>
          </w:p>
        </w:tc>
        <w:tc>
          <w:tcPr>
            <w:tcW w:w="1724" w:type="dxa"/>
            <w:gridSpan w:val="2"/>
            <w:vMerge w:val="continue"/>
            <w:vAlign w:val="center"/>
          </w:tcPr>
          <w:p w14:paraId="43A57317">
            <w:pPr>
              <w:jc w:val="center"/>
              <w:rPr>
                <w:rFonts w:hint="eastAsia" w:ascii="宋体" w:hAnsi="宋体" w:cs="宋体"/>
                <w:bCs/>
              </w:rPr>
            </w:pPr>
          </w:p>
        </w:tc>
        <w:tc>
          <w:tcPr>
            <w:tcW w:w="3527" w:type="dxa"/>
            <w:vAlign w:val="center"/>
          </w:tcPr>
          <w:p w14:paraId="3D3D0AF4">
            <w:pPr>
              <w:rPr>
                <w:rFonts w:hint="eastAsia" w:ascii="宋体" w:hAnsi="宋体" w:cs="宋体"/>
                <w:bCs/>
              </w:rPr>
            </w:pPr>
            <w:r>
              <w:rPr>
                <w:rFonts w:hint="eastAsia" w:ascii="宋体" w:hAnsi="宋体" w:cs="宋体"/>
                <w:bCs/>
                <w:spacing w:val="-10"/>
              </w:rPr>
              <w:t>方案</w:t>
            </w:r>
            <w:r>
              <w:rPr>
                <w:rFonts w:hint="eastAsia" w:ascii="宋体" w:hAnsi="宋体" w:cs="宋体"/>
                <w:bCs/>
                <w:spacing w:val="-14"/>
              </w:rPr>
              <w:t>具体包含营销策划方案、分期推进方案、阶段性工作目标等，</w:t>
            </w:r>
            <w:r>
              <w:rPr>
                <w:rFonts w:hint="eastAsia" w:ascii="宋体" w:hAnsi="宋体" w:cs="宋体"/>
                <w:bCs/>
                <w:spacing w:val="-1"/>
              </w:rPr>
              <w:t>基本满足招标文件及项目要求。</w:t>
            </w:r>
          </w:p>
        </w:tc>
        <w:tc>
          <w:tcPr>
            <w:tcW w:w="1869" w:type="dxa"/>
            <w:vAlign w:val="center"/>
          </w:tcPr>
          <w:p w14:paraId="69DA050F">
            <w:pPr>
              <w:pStyle w:val="24"/>
              <w:jc w:val="center"/>
              <w:rPr>
                <w:rFonts w:hint="eastAsia" w:cs="宋体"/>
                <w:bCs/>
              </w:rPr>
            </w:pPr>
            <w:r>
              <w:rPr>
                <w:rFonts w:hint="eastAsia" w:cs="宋体"/>
                <w:bCs/>
              </w:rPr>
              <w:t>6</w:t>
            </w:r>
            <w:r>
              <w:rPr>
                <w:rFonts w:cs="宋体"/>
                <w:bCs/>
              </w:rPr>
              <w:t>.0</w:t>
            </w:r>
          </w:p>
        </w:tc>
      </w:tr>
      <w:tr w14:paraId="61F7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vAlign w:val="center"/>
          </w:tcPr>
          <w:p w14:paraId="7EC93545">
            <w:pPr>
              <w:jc w:val="center"/>
              <w:rPr>
                <w:rFonts w:hint="eastAsia" w:ascii="宋体" w:hAnsi="宋体" w:cs="宋体"/>
                <w:bCs/>
              </w:rPr>
            </w:pPr>
          </w:p>
        </w:tc>
        <w:tc>
          <w:tcPr>
            <w:tcW w:w="1128" w:type="dxa"/>
            <w:vMerge w:val="continue"/>
            <w:vAlign w:val="center"/>
          </w:tcPr>
          <w:p w14:paraId="080D8E15">
            <w:pPr>
              <w:jc w:val="center"/>
              <w:rPr>
                <w:rFonts w:hint="eastAsia" w:ascii="宋体" w:hAnsi="宋体" w:cs="宋体"/>
                <w:bCs/>
              </w:rPr>
            </w:pPr>
          </w:p>
        </w:tc>
        <w:tc>
          <w:tcPr>
            <w:tcW w:w="1724" w:type="dxa"/>
            <w:gridSpan w:val="2"/>
            <w:vMerge w:val="restart"/>
            <w:vAlign w:val="center"/>
          </w:tcPr>
          <w:p w14:paraId="0B107268">
            <w:pPr>
              <w:jc w:val="center"/>
              <w:rPr>
                <w:rFonts w:hint="eastAsia" w:ascii="宋体" w:hAnsi="宋体" w:cs="宋体"/>
                <w:bCs/>
              </w:rPr>
            </w:pPr>
            <w:r>
              <w:rPr>
                <w:rFonts w:hint="eastAsia" w:ascii="宋体" w:hAnsi="宋体" w:cs="宋体"/>
                <w:bCs/>
              </w:rPr>
              <w:t>服务承诺</w:t>
            </w:r>
          </w:p>
          <w:p w14:paraId="1101AACB">
            <w:pPr>
              <w:jc w:val="center"/>
              <w:rPr>
                <w:rFonts w:hint="eastAsia" w:ascii="宋体" w:hAnsi="宋体" w:cs="宋体"/>
                <w:bCs/>
              </w:rPr>
            </w:pPr>
            <w:r>
              <w:rPr>
                <w:rFonts w:hint="eastAsia" w:ascii="宋体" w:hAnsi="宋体" w:cs="宋体"/>
                <w:bCs/>
              </w:rPr>
              <w:t>（5分）</w:t>
            </w:r>
          </w:p>
        </w:tc>
        <w:tc>
          <w:tcPr>
            <w:tcW w:w="3527" w:type="dxa"/>
            <w:vAlign w:val="center"/>
          </w:tcPr>
          <w:p w14:paraId="0801EB44">
            <w:pPr>
              <w:rPr>
                <w:rFonts w:hint="eastAsia" w:ascii="宋体" w:hAnsi="宋体" w:cs="宋体"/>
                <w:bCs/>
              </w:rPr>
            </w:pPr>
            <w:r>
              <w:rPr>
                <w:rFonts w:hint="eastAsia" w:ascii="宋体" w:hAnsi="宋体" w:cs="宋体"/>
                <w:bCs/>
                <w:spacing w:val="-1"/>
              </w:rPr>
              <w:t>服务承诺完善，人员、软硬件、与各级单位协调沟通等相关支持能力强</w:t>
            </w:r>
          </w:p>
        </w:tc>
        <w:tc>
          <w:tcPr>
            <w:tcW w:w="1869" w:type="dxa"/>
            <w:vAlign w:val="center"/>
          </w:tcPr>
          <w:p w14:paraId="4CAB480C">
            <w:pPr>
              <w:pStyle w:val="24"/>
              <w:jc w:val="center"/>
              <w:rPr>
                <w:rFonts w:hint="eastAsia" w:cs="宋体"/>
                <w:bCs/>
              </w:rPr>
            </w:pPr>
            <w:r>
              <w:rPr>
                <w:rFonts w:hint="eastAsia" w:cs="宋体"/>
                <w:bCs/>
              </w:rPr>
              <w:t>4</w:t>
            </w:r>
            <w:r>
              <w:rPr>
                <w:rFonts w:cs="宋体"/>
                <w:bCs/>
              </w:rPr>
              <w:t>.</w:t>
            </w:r>
            <w:r>
              <w:rPr>
                <w:rFonts w:hint="eastAsia" w:cs="宋体"/>
                <w:bCs/>
              </w:rPr>
              <w:t>0-5</w:t>
            </w:r>
            <w:r>
              <w:rPr>
                <w:rFonts w:cs="宋体"/>
                <w:bCs/>
              </w:rPr>
              <w:t>.0</w:t>
            </w:r>
          </w:p>
        </w:tc>
      </w:tr>
      <w:tr w14:paraId="7345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vAlign w:val="center"/>
          </w:tcPr>
          <w:p w14:paraId="7E1824E1">
            <w:pPr>
              <w:jc w:val="center"/>
              <w:rPr>
                <w:rFonts w:hint="eastAsia" w:ascii="宋体" w:hAnsi="宋体" w:cs="宋体"/>
                <w:bCs/>
              </w:rPr>
            </w:pPr>
          </w:p>
        </w:tc>
        <w:tc>
          <w:tcPr>
            <w:tcW w:w="1128" w:type="dxa"/>
            <w:vMerge w:val="continue"/>
            <w:vAlign w:val="center"/>
          </w:tcPr>
          <w:p w14:paraId="7F4BD8AD">
            <w:pPr>
              <w:jc w:val="center"/>
              <w:rPr>
                <w:rFonts w:hint="eastAsia" w:ascii="宋体" w:hAnsi="宋体" w:cs="宋体"/>
                <w:bCs/>
              </w:rPr>
            </w:pPr>
          </w:p>
        </w:tc>
        <w:tc>
          <w:tcPr>
            <w:tcW w:w="1724" w:type="dxa"/>
            <w:gridSpan w:val="2"/>
            <w:vMerge w:val="continue"/>
            <w:vAlign w:val="center"/>
          </w:tcPr>
          <w:p w14:paraId="1BC45851">
            <w:pPr>
              <w:jc w:val="center"/>
              <w:rPr>
                <w:rFonts w:hint="eastAsia" w:ascii="宋体" w:hAnsi="宋体" w:cs="宋体"/>
                <w:bCs/>
              </w:rPr>
            </w:pPr>
          </w:p>
        </w:tc>
        <w:tc>
          <w:tcPr>
            <w:tcW w:w="3527" w:type="dxa"/>
            <w:vAlign w:val="center"/>
          </w:tcPr>
          <w:p w14:paraId="567CCB74">
            <w:pPr>
              <w:rPr>
                <w:rFonts w:hint="eastAsia" w:ascii="宋体" w:hAnsi="宋体" w:cs="宋体"/>
                <w:bCs/>
              </w:rPr>
            </w:pPr>
            <w:r>
              <w:rPr>
                <w:rFonts w:hint="eastAsia" w:ascii="宋体" w:hAnsi="宋体" w:cs="宋体"/>
                <w:bCs/>
                <w:spacing w:val="-1"/>
              </w:rPr>
              <w:t>服务承诺较完善，人员、软硬件、与各级单位协调沟通等相关支持能力较强</w:t>
            </w:r>
          </w:p>
        </w:tc>
        <w:tc>
          <w:tcPr>
            <w:tcW w:w="1869" w:type="dxa"/>
            <w:vAlign w:val="center"/>
          </w:tcPr>
          <w:p w14:paraId="0C960B8B">
            <w:pPr>
              <w:pStyle w:val="24"/>
              <w:jc w:val="center"/>
              <w:rPr>
                <w:rFonts w:hint="eastAsia" w:cs="宋体"/>
                <w:bCs/>
              </w:rPr>
            </w:pPr>
            <w:r>
              <w:rPr>
                <w:rFonts w:hint="eastAsia" w:cs="宋体"/>
                <w:bCs/>
              </w:rPr>
              <w:t>3</w:t>
            </w:r>
            <w:r>
              <w:rPr>
                <w:rFonts w:cs="宋体"/>
                <w:bCs/>
              </w:rPr>
              <w:t>.</w:t>
            </w:r>
            <w:r>
              <w:rPr>
                <w:rFonts w:hint="eastAsia" w:cs="宋体"/>
                <w:bCs/>
              </w:rPr>
              <w:t>0-4</w:t>
            </w:r>
            <w:r>
              <w:rPr>
                <w:rFonts w:cs="宋体"/>
                <w:bCs/>
              </w:rPr>
              <w:t>.0</w:t>
            </w:r>
          </w:p>
        </w:tc>
      </w:tr>
      <w:tr w14:paraId="34FB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vAlign w:val="center"/>
          </w:tcPr>
          <w:p w14:paraId="4CF054C9">
            <w:pPr>
              <w:jc w:val="center"/>
              <w:rPr>
                <w:rFonts w:hint="eastAsia" w:ascii="宋体" w:hAnsi="宋体" w:cs="宋体"/>
                <w:bCs/>
              </w:rPr>
            </w:pPr>
          </w:p>
        </w:tc>
        <w:tc>
          <w:tcPr>
            <w:tcW w:w="1128" w:type="dxa"/>
            <w:vMerge w:val="continue"/>
            <w:vAlign w:val="center"/>
          </w:tcPr>
          <w:p w14:paraId="3AF17777">
            <w:pPr>
              <w:jc w:val="center"/>
              <w:rPr>
                <w:rFonts w:hint="eastAsia" w:ascii="宋体" w:hAnsi="宋体" w:cs="宋体"/>
                <w:bCs/>
              </w:rPr>
            </w:pPr>
          </w:p>
        </w:tc>
        <w:tc>
          <w:tcPr>
            <w:tcW w:w="1724" w:type="dxa"/>
            <w:gridSpan w:val="2"/>
            <w:vMerge w:val="continue"/>
            <w:vAlign w:val="center"/>
          </w:tcPr>
          <w:p w14:paraId="5C80DEE7">
            <w:pPr>
              <w:jc w:val="center"/>
              <w:rPr>
                <w:rFonts w:hint="eastAsia" w:ascii="宋体" w:hAnsi="宋体" w:cs="宋体"/>
                <w:bCs/>
              </w:rPr>
            </w:pPr>
          </w:p>
        </w:tc>
        <w:tc>
          <w:tcPr>
            <w:tcW w:w="3527" w:type="dxa"/>
            <w:vAlign w:val="center"/>
          </w:tcPr>
          <w:p w14:paraId="56F4397B">
            <w:pPr>
              <w:rPr>
                <w:rFonts w:hint="eastAsia" w:ascii="宋体" w:hAnsi="宋体" w:cs="宋体"/>
                <w:bCs/>
              </w:rPr>
            </w:pPr>
            <w:r>
              <w:rPr>
                <w:rFonts w:hint="eastAsia" w:ascii="宋体" w:hAnsi="宋体" w:cs="宋体"/>
                <w:bCs/>
                <w:spacing w:val="-1"/>
              </w:rPr>
              <w:t>服务承诺基本满足招标文件及项目要求</w:t>
            </w:r>
          </w:p>
        </w:tc>
        <w:tc>
          <w:tcPr>
            <w:tcW w:w="1869" w:type="dxa"/>
            <w:vAlign w:val="center"/>
          </w:tcPr>
          <w:p w14:paraId="724DFD4C">
            <w:pPr>
              <w:pStyle w:val="24"/>
              <w:jc w:val="center"/>
              <w:rPr>
                <w:rFonts w:hint="eastAsia" w:cs="宋体"/>
                <w:bCs/>
              </w:rPr>
            </w:pPr>
            <w:r>
              <w:rPr>
                <w:rFonts w:hint="eastAsia" w:cs="宋体"/>
                <w:bCs/>
              </w:rPr>
              <w:t>3</w:t>
            </w:r>
            <w:r>
              <w:rPr>
                <w:rFonts w:cs="宋体"/>
                <w:bCs/>
              </w:rPr>
              <w:t>.0</w:t>
            </w:r>
          </w:p>
        </w:tc>
      </w:tr>
      <w:tr w14:paraId="76EB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restart"/>
            <w:vAlign w:val="center"/>
          </w:tcPr>
          <w:p w14:paraId="23634B7D">
            <w:pPr>
              <w:jc w:val="center"/>
              <w:rPr>
                <w:rFonts w:hint="eastAsia" w:ascii="宋体" w:hAnsi="宋体" w:cs="宋体"/>
                <w:bCs/>
              </w:rPr>
            </w:pPr>
            <w:r>
              <w:rPr>
                <w:rFonts w:hint="eastAsia" w:ascii="宋体" w:hAnsi="宋体" w:cs="宋体"/>
                <w:bCs/>
              </w:rPr>
              <w:t>2.2.4（2）</w:t>
            </w:r>
          </w:p>
        </w:tc>
        <w:tc>
          <w:tcPr>
            <w:tcW w:w="2852" w:type="dxa"/>
            <w:gridSpan w:val="3"/>
            <w:vMerge w:val="restart"/>
            <w:vAlign w:val="center"/>
          </w:tcPr>
          <w:p w14:paraId="3353CE7B">
            <w:pPr>
              <w:jc w:val="center"/>
              <w:rPr>
                <w:rFonts w:hint="eastAsia" w:ascii="宋体" w:hAnsi="宋体" w:cs="宋体"/>
                <w:bCs/>
              </w:rPr>
            </w:pPr>
            <w:r>
              <w:rPr>
                <w:rFonts w:hint="eastAsia" w:ascii="宋体" w:hAnsi="宋体" w:cs="宋体"/>
                <w:bCs/>
              </w:rPr>
              <w:t>项目负责人（10分）</w:t>
            </w:r>
          </w:p>
        </w:tc>
        <w:tc>
          <w:tcPr>
            <w:tcW w:w="5396" w:type="dxa"/>
            <w:gridSpan w:val="2"/>
            <w:vAlign w:val="center"/>
          </w:tcPr>
          <w:p w14:paraId="312516E2">
            <w:pPr>
              <w:jc w:val="left"/>
              <w:rPr>
                <w:rFonts w:hint="eastAsia" w:ascii="宋体" w:hAnsi="宋体" w:cs="宋体"/>
                <w:bCs/>
              </w:rPr>
            </w:pPr>
            <w:r>
              <w:rPr>
                <w:rFonts w:ascii="宋体" w:hAnsi="宋体"/>
                <w:snapToGrid w:val="0"/>
                <w:kern w:val="0"/>
              </w:rPr>
              <w:t>满足附录4资格审查条件（</w:t>
            </w:r>
            <w:r>
              <w:rPr>
                <w:rFonts w:hint="eastAsia" w:ascii="宋体" w:hAnsi="宋体"/>
                <w:snapToGrid w:val="0"/>
                <w:kern w:val="0"/>
              </w:rPr>
              <w:t>主要人员最低要求</w:t>
            </w:r>
            <w:r>
              <w:rPr>
                <w:rFonts w:ascii="宋体" w:hAnsi="宋体"/>
                <w:snapToGrid w:val="0"/>
                <w:kern w:val="0"/>
              </w:rPr>
              <w:t>）的，得</w:t>
            </w:r>
            <w:r>
              <w:rPr>
                <w:rFonts w:hint="eastAsia" w:ascii="宋体" w:hAnsi="宋体"/>
                <w:snapToGrid w:val="0"/>
                <w:kern w:val="0"/>
              </w:rPr>
              <w:t>6</w:t>
            </w:r>
            <w:r>
              <w:rPr>
                <w:rFonts w:ascii="宋体" w:hAnsi="宋体"/>
                <w:snapToGrid w:val="0"/>
                <w:kern w:val="0"/>
              </w:rPr>
              <w:t>分</w:t>
            </w:r>
          </w:p>
        </w:tc>
      </w:tr>
      <w:tr w14:paraId="79B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continue"/>
            <w:vAlign w:val="center"/>
          </w:tcPr>
          <w:p w14:paraId="476E413D">
            <w:pPr>
              <w:jc w:val="center"/>
              <w:rPr>
                <w:rFonts w:hint="eastAsia" w:ascii="宋体" w:hAnsi="宋体" w:cs="宋体"/>
                <w:bCs/>
              </w:rPr>
            </w:pPr>
          </w:p>
        </w:tc>
        <w:tc>
          <w:tcPr>
            <w:tcW w:w="2852" w:type="dxa"/>
            <w:gridSpan w:val="3"/>
            <w:vMerge w:val="continue"/>
            <w:vAlign w:val="center"/>
          </w:tcPr>
          <w:p w14:paraId="6BC98F9C">
            <w:pPr>
              <w:jc w:val="center"/>
              <w:rPr>
                <w:rFonts w:hint="eastAsia" w:ascii="宋体" w:hAnsi="宋体" w:cs="宋体"/>
                <w:bCs/>
              </w:rPr>
            </w:pPr>
          </w:p>
        </w:tc>
        <w:tc>
          <w:tcPr>
            <w:tcW w:w="5396" w:type="dxa"/>
            <w:gridSpan w:val="2"/>
            <w:vAlign w:val="center"/>
          </w:tcPr>
          <w:p w14:paraId="2E973455">
            <w:pPr>
              <w:jc w:val="left"/>
              <w:rPr>
                <w:rFonts w:hint="eastAsia" w:ascii="宋体" w:hAnsi="宋体" w:cs="宋体"/>
                <w:bCs/>
              </w:rPr>
            </w:pPr>
            <w:r>
              <w:rPr>
                <w:rFonts w:ascii="宋体" w:hAnsi="宋体"/>
                <w:snapToGrid w:val="0"/>
                <w:kern w:val="0"/>
              </w:rPr>
              <w:t>每</w:t>
            </w:r>
            <w:r>
              <w:rPr>
                <w:rFonts w:hint="eastAsia" w:ascii="宋体" w:hAnsi="宋体"/>
                <w:snapToGrid w:val="0"/>
                <w:kern w:val="0"/>
              </w:rPr>
              <w:t>增加1项</w:t>
            </w:r>
            <w:r>
              <w:rPr>
                <w:rFonts w:ascii="宋体" w:hAnsi="宋体"/>
                <w:snapToGrid w:val="0"/>
                <w:kern w:val="0"/>
              </w:rPr>
              <w:t>满足附录4资格审查条件（</w:t>
            </w:r>
            <w:r>
              <w:rPr>
                <w:rFonts w:hint="eastAsia" w:ascii="宋体" w:hAnsi="宋体"/>
                <w:snapToGrid w:val="0"/>
                <w:kern w:val="0"/>
              </w:rPr>
              <w:t>主要人员最低要求</w:t>
            </w:r>
            <w:r>
              <w:rPr>
                <w:rFonts w:ascii="宋体" w:hAnsi="宋体"/>
                <w:snapToGrid w:val="0"/>
                <w:kern w:val="0"/>
              </w:rPr>
              <w:t>）的业绩加</w:t>
            </w:r>
            <w:r>
              <w:rPr>
                <w:rFonts w:hint="eastAsia" w:ascii="宋体" w:hAnsi="宋体"/>
                <w:snapToGrid w:val="0"/>
                <w:kern w:val="0"/>
              </w:rPr>
              <w:t>2</w:t>
            </w:r>
            <w:r>
              <w:rPr>
                <w:rFonts w:ascii="宋体" w:hAnsi="宋体"/>
                <w:snapToGrid w:val="0"/>
                <w:kern w:val="0"/>
              </w:rPr>
              <w:t>分，最多加</w:t>
            </w:r>
            <w:r>
              <w:rPr>
                <w:rFonts w:hint="eastAsia" w:ascii="宋体" w:hAnsi="宋体"/>
                <w:snapToGrid w:val="0"/>
                <w:kern w:val="0"/>
              </w:rPr>
              <w:t>4</w:t>
            </w:r>
            <w:r>
              <w:rPr>
                <w:rFonts w:ascii="宋体" w:hAnsi="宋体"/>
                <w:snapToGrid w:val="0"/>
                <w:kern w:val="0"/>
              </w:rPr>
              <w:t>分。</w:t>
            </w:r>
          </w:p>
        </w:tc>
      </w:tr>
      <w:tr w14:paraId="6E65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Align w:val="center"/>
          </w:tcPr>
          <w:p w14:paraId="3DEB6385">
            <w:pPr>
              <w:jc w:val="center"/>
              <w:rPr>
                <w:rFonts w:hint="eastAsia" w:ascii="宋体" w:hAnsi="宋体" w:cs="宋体"/>
                <w:bCs/>
              </w:rPr>
            </w:pPr>
            <w:r>
              <w:rPr>
                <w:rFonts w:hint="eastAsia" w:ascii="宋体" w:hAnsi="宋体" w:cs="宋体"/>
                <w:bCs/>
              </w:rPr>
              <w:t>2.2.4（3）</w:t>
            </w:r>
          </w:p>
        </w:tc>
        <w:tc>
          <w:tcPr>
            <w:tcW w:w="2852" w:type="dxa"/>
            <w:gridSpan w:val="3"/>
            <w:vAlign w:val="center"/>
          </w:tcPr>
          <w:p w14:paraId="0A55CD8C">
            <w:pPr>
              <w:jc w:val="center"/>
              <w:rPr>
                <w:rFonts w:hint="eastAsia" w:ascii="宋体" w:hAnsi="宋体" w:cs="宋体"/>
                <w:bCs/>
              </w:rPr>
            </w:pPr>
            <w:r>
              <w:rPr>
                <w:rFonts w:hint="eastAsia" w:ascii="宋体" w:hAnsi="宋体" w:cs="宋体"/>
                <w:bCs/>
              </w:rPr>
              <w:t>业绩（10分）</w:t>
            </w:r>
          </w:p>
        </w:tc>
        <w:tc>
          <w:tcPr>
            <w:tcW w:w="5396" w:type="dxa"/>
            <w:gridSpan w:val="2"/>
            <w:vAlign w:val="center"/>
          </w:tcPr>
          <w:p w14:paraId="18BB1A60">
            <w:pPr>
              <w:pStyle w:val="8"/>
              <w:snapToGrid w:val="0"/>
              <w:jc w:val="left"/>
              <w:rPr>
                <w:rFonts w:hint="eastAsia" w:hAnsi="宋体" w:cs="宋体"/>
                <w:sz w:val="24"/>
                <w:szCs w:val="24"/>
              </w:rPr>
            </w:pPr>
            <w:r>
              <w:rPr>
                <w:rFonts w:hint="eastAsia" w:hAnsi="宋体" w:cs="宋体"/>
                <w:sz w:val="24"/>
                <w:szCs w:val="24"/>
              </w:rPr>
              <w:t>投标人满足附录2资格审查条件（业绩最低要求）得6分。</w:t>
            </w:r>
          </w:p>
          <w:p w14:paraId="5CEF9649">
            <w:pPr>
              <w:jc w:val="left"/>
              <w:rPr>
                <w:rFonts w:hint="eastAsia" w:ascii="宋体" w:hAnsi="宋体"/>
                <w:snapToGrid w:val="0"/>
                <w:kern w:val="0"/>
              </w:rPr>
            </w:pPr>
            <w:r>
              <w:rPr>
                <w:rFonts w:hint="eastAsia" w:hAnsi="宋体" w:cs="宋体"/>
              </w:rPr>
              <w:t>投标人每增加一项满足附录2资格审查条件（业绩最低要求）的业绩加2分，最多加4分。</w:t>
            </w:r>
          </w:p>
        </w:tc>
      </w:tr>
      <w:tr w14:paraId="789F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vMerge w:val="restart"/>
            <w:vAlign w:val="center"/>
          </w:tcPr>
          <w:p w14:paraId="41DFFD34">
            <w:pPr>
              <w:jc w:val="center"/>
              <w:rPr>
                <w:rFonts w:hint="eastAsia" w:ascii="宋体" w:hAnsi="宋体" w:cs="宋体"/>
                <w:bCs/>
              </w:rPr>
            </w:pPr>
            <w:r>
              <w:rPr>
                <w:rFonts w:hint="eastAsia" w:ascii="宋体" w:hAnsi="宋体" w:cs="宋体"/>
                <w:bCs/>
              </w:rPr>
              <w:t>2.2.4（4）</w:t>
            </w:r>
          </w:p>
        </w:tc>
        <w:tc>
          <w:tcPr>
            <w:tcW w:w="1426" w:type="dxa"/>
            <w:gridSpan w:val="2"/>
            <w:vMerge w:val="restart"/>
            <w:vAlign w:val="center"/>
          </w:tcPr>
          <w:p w14:paraId="49017B26">
            <w:pPr>
              <w:jc w:val="center"/>
              <w:rPr>
                <w:rFonts w:hint="eastAsia" w:ascii="宋体" w:hAnsi="宋体" w:cs="宋体"/>
                <w:bCs/>
              </w:rPr>
            </w:pPr>
            <w:r>
              <w:rPr>
                <w:rFonts w:hint="eastAsia" w:ascii="宋体" w:hAnsi="宋体" w:cs="宋体"/>
                <w:bCs/>
              </w:rPr>
              <w:t>投标报价评分标准</w:t>
            </w:r>
          </w:p>
          <w:p w14:paraId="58DE30AD">
            <w:pPr>
              <w:jc w:val="center"/>
              <w:rPr>
                <w:rFonts w:hint="eastAsia" w:ascii="宋体" w:hAnsi="宋体" w:cs="宋体"/>
                <w:bCs/>
              </w:rPr>
            </w:pPr>
            <w:r>
              <w:rPr>
                <w:rFonts w:hint="eastAsia" w:ascii="宋体" w:hAnsi="宋体" w:cs="宋体"/>
                <w:bCs/>
              </w:rPr>
              <w:t>（50分）</w:t>
            </w:r>
          </w:p>
        </w:tc>
        <w:tc>
          <w:tcPr>
            <w:tcW w:w="1426" w:type="dxa"/>
            <w:vAlign w:val="center"/>
          </w:tcPr>
          <w:p w14:paraId="5EFE4ED0">
            <w:pPr>
              <w:jc w:val="center"/>
              <w:rPr>
                <w:rFonts w:hint="eastAsia" w:ascii="宋体" w:hAnsi="宋体" w:cs="宋体"/>
                <w:bCs/>
              </w:rPr>
            </w:pPr>
            <w:r>
              <w:rPr>
                <w:rFonts w:hint="eastAsia" w:ascii="宋体" w:hAnsi="宋体" w:cs="宋体"/>
                <w:bCs/>
              </w:rPr>
              <w:t>基本服务费（5分）</w:t>
            </w:r>
          </w:p>
        </w:tc>
        <w:tc>
          <w:tcPr>
            <w:tcW w:w="5396" w:type="dxa"/>
            <w:gridSpan w:val="2"/>
            <w:shd w:val="clear" w:color="auto" w:fill="auto"/>
            <w:vAlign w:val="center"/>
          </w:tcPr>
          <w:p w14:paraId="5D2265F7">
            <w:pPr>
              <w:pStyle w:val="8"/>
              <w:snapToGrid w:val="0"/>
              <w:jc w:val="left"/>
              <w:rPr>
                <w:rFonts w:hint="eastAsia" w:hAnsi="宋体" w:cs="宋体"/>
                <w:sz w:val="24"/>
                <w:szCs w:val="24"/>
              </w:rPr>
            </w:pPr>
            <w:r>
              <w:rPr>
                <w:rFonts w:hint="eastAsia" w:hAnsi="宋体" w:cs="宋体"/>
                <w:b/>
                <w:bCs/>
                <w:color w:val="000000"/>
                <w:sz w:val="24"/>
                <w:szCs w:val="24"/>
              </w:rPr>
              <w:t>基本服务费用</w:t>
            </w:r>
            <w:r>
              <w:rPr>
                <w:rFonts w:hint="eastAsia" w:hAnsi="宋体" w:cs="宋体"/>
                <w:sz w:val="24"/>
                <w:szCs w:val="24"/>
              </w:rPr>
              <w:t>评标价得分计算公式：</w:t>
            </w:r>
          </w:p>
          <w:p w14:paraId="0BAE9DDC">
            <w:pPr>
              <w:pStyle w:val="8"/>
              <w:snapToGrid w:val="0"/>
              <w:jc w:val="left"/>
              <w:rPr>
                <w:rFonts w:hint="eastAsia" w:hAnsi="宋体" w:cs="宋体"/>
                <w:sz w:val="24"/>
                <w:szCs w:val="24"/>
              </w:rPr>
            </w:pPr>
            <w:r>
              <w:rPr>
                <w:rFonts w:hint="eastAsia" w:hAnsi="宋体" w:cs="宋体"/>
                <w:sz w:val="24"/>
                <w:szCs w:val="24"/>
              </w:rPr>
              <w:t>（1）如果投标人的评标价＞评标基准价，则评标价得分=F-（投标人评标价-评标基准价）/评标基准价×100×E1；</w:t>
            </w:r>
          </w:p>
          <w:p w14:paraId="44EAAE54">
            <w:pPr>
              <w:pStyle w:val="8"/>
              <w:snapToGrid w:val="0"/>
              <w:jc w:val="left"/>
              <w:rPr>
                <w:rFonts w:hint="eastAsia" w:hAnsi="宋体" w:cs="宋体"/>
                <w:sz w:val="24"/>
                <w:szCs w:val="24"/>
              </w:rPr>
            </w:pPr>
            <w:r>
              <w:rPr>
                <w:rFonts w:hint="eastAsia" w:hAnsi="宋体" w:cs="宋体"/>
                <w:sz w:val="24"/>
                <w:szCs w:val="24"/>
              </w:rPr>
              <w:t>（2）如果投标人的评标价≤评标基准价，则评标价得分=F+（投标人评标价-评标基准价）/评标基准价×100×E2。</w:t>
            </w:r>
          </w:p>
          <w:p w14:paraId="7A2EA933">
            <w:pPr>
              <w:pStyle w:val="8"/>
              <w:snapToGrid w:val="0"/>
              <w:jc w:val="left"/>
              <w:rPr>
                <w:rFonts w:hint="eastAsia" w:hAnsi="宋体" w:cs="宋体"/>
                <w:sz w:val="24"/>
                <w:szCs w:val="24"/>
              </w:rPr>
            </w:pPr>
            <w:r>
              <w:rPr>
                <w:rFonts w:hint="eastAsia" w:hAnsi="宋体" w:cs="宋体"/>
                <w:sz w:val="24"/>
                <w:szCs w:val="24"/>
              </w:rPr>
              <w:t>其中，F=5；E1=0.2；E2=0.1；评标价最低得分为0分。</w:t>
            </w:r>
          </w:p>
          <w:p w14:paraId="6B1DFDD0">
            <w:pPr>
              <w:pStyle w:val="8"/>
              <w:snapToGrid w:val="0"/>
              <w:jc w:val="left"/>
              <w:rPr>
                <w:rFonts w:hint="eastAsia" w:hAnsi="宋体"/>
                <w:sz w:val="24"/>
                <w:szCs w:val="24"/>
              </w:rPr>
            </w:pPr>
            <w:r>
              <w:rPr>
                <w:rFonts w:hint="eastAsia" w:hAnsi="宋体" w:cs="宋体"/>
                <w:sz w:val="24"/>
                <w:szCs w:val="24"/>
              </w:rPr>
              <w:t>评标价得分保留两位小数，第三位四舍五入。</w:t>
            </w:r>
          </w:p>
        </w:tc>
      </w:tr>
      <w:tr w14:paraId="4DC2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vMerge w:val="continue"/>
            <w:vAlign w:val="center"/>
          </w:tcPr>
          <w:p w14:paraId="09627B29">
            <w:pPr>
              <w:jc w:val="center"/>
              <w:rPr>
                <w:rFonts w:hint="eastAsia" w:ascii="宋体" w:hAnsi="宋体" w:cs="宋体"/>
                <w:bCs/>
              </w:rPr>
            </w:pPr>
          </w:p>
        </w:tc>
        <w:tc>
          <w:tcPr>
            <w:tcW w:w="1426" w:type="dxa"/>
            <w:gridSpan w:val="2"/>
            <w:vMerge w:val="continue"/>
            <w:vAlign w:val="center"/>
          </w:tcPr>
          <w:p w14:paraId="221B93F6">
            <w:pPr>
              <w:jc w:val="center"/>
              <w:rPr>
                <w:rFonts w:hint="eastAsia" w:ascii="宋体" w:hAnsi="宋体" w:cs="宋体"/>
                <w:bCs/>
              </w:rPr>
            </w:pPr>
          </w:p>
        </w:tc>
        <w:tc>
          <w:tcPr>
            <w:tcW w:w="1426" w:type="dxa"/>
            <w:vAlign w:val="center"/>
          </w:tcPr>
          <w:p w14:paraId="17080376">
            <w:pPr>
              <w:jc w:val="center"/>
              <w:rPr>
                <w:rFonts w:hint="eastAsia" w:ascii="宋体" w:hAnsi="宋体" w:cs="宋体"/>
                <w:bCs/>
              </w:rPr>
            </w:pPr>
            <w:r>
              <w:rPr>
                <w:rFonts w:hint="eastAsia" w:ascii="宋体" w:hAnsi="宋体" w:cs="宋体"/>
                <w:bCs/>
              </w:rPr>
              <w:t>销售服务费（30分）</w:t>
            </w:r>
          </w:p>
        </w:tc>
        <w:tc>
          <w:tcPr>
            <w:tcW w:w="5396" w:type="dxa"/>
            <w:gridSpan w:val="2"/>
            <w:shd w:val="clear" w:color="auto" w:fill="auto"/>
            <w:vAlign w:val="center"/>
          </w:tcPr>
          <w:p w14:paraId="29797719">
            <w:pPr>
              <w:pStyle w:val="8"/>
              <w:snapToGrid w:val="0"/>
              <w:jc w:val="left"/>
              <w:rPr>
                <w:rFonts w:hint="eastAsia" w:hAnsi="宋体" w:cs="宋体"/>
                <w:sz w:val="24"/>
                <w:szCs w:val="24"/>
              </w:rPr>
            </w:pPr>
            <w:r>
              <w:rPr>
                <w:rFonts w:hint="eastAsia" w:hAnsi="宋体" w:cs="宋体"/>
                <w:b/>
                <w:bCs/>
                <w:sz w:val="24"/>
                <w:szCs w:val="24"/>
              </w:rPr>
              <w:t>销售服务费</w:t>
            </w:r>
            <w:r>
              <w:rPr>
                <w:rFonts w:hint="eastAsia" w:hAnsi="宋体" w:cs="宋体"/>
                <w:sz w:val="24"/>
                <w:szCs w:val="24"/>
              </w:rPr>
              <w:t>评标价得分计算公式：</w:t>
            </w:r>
          </w:p>
          <w:p w14:paraId="33DABA85">
            <w:pPr>
              <w:pStyle w:val="8"/>
              <w:snapToGrid w:val="0"/>
              <w:jc w:val="left"/>
              <w:rPr>
                <w:rFonts w:hint="eastAsia" w:hAnsi="宋体" w:cs="宋体"/>
                <w:sz w:val="24"/>
                <w:szCs w:val="24"/>
              </w:rPr>
            </w:pPr>
            <w:r>
              <w:rPr>
                <w:rFonts w:hint="eastAsia" w:hAnsi="宋体" w:cs="宋体"/>
                <w:sz w:val="24"/>
                <w:szCs w:val="24"/>
              </w:rPr>
              <w:t>（1）如果投标人的评标价＞评标基准价，则评标价得分=F-（投标人评标价-评标基准价）/评标基准价×100×E1；</w:t>
            </w:r>
          </w:p>
          <w:p w14:paraId="6932623F">
            <w:pPr>
              <w:pStyle w:val="8"/>
              <w:snapToGrid w:val="0"/>
              <w:jc w:val="left"/>
              <w:rPr>
                <w:rFonts w:hint="eastAsia" w:hAnsi="宋体" w:cs="宋体"/>
                <w:sz w:val="24"/>
                <w:szCs w:val="24"/>
              </w:rPr>
            </w:pPr>
            <w:r>
              <w:rPr>
                <w:rFonts w:hint="eastAsia" w:hAnsi="宋体" w:cs="宋体"/>
                <w:sz w:val="24"/>
                <w:szCs w:val="24"/>
              </w:rPr>
              <w:t>（2）如果投标人的评标价≤评标基准价，则评标价得分=F+（投标人评标价-评标基准价）/评标基准价×100×E2。</w:t>
            </w:r>
          </w:p>
          <w:p w14:paraId="4CEFF43C">
            <w:pPr>
              <w:pStyle w:val="8"/>
              <w:snapToGrid w:val="0"/>
              <w:jc w:val="left"/>
              <w:rPr>
                <w:rFonts w:hint="eastAsia" w:hAnsi="宋体" w:cs="宋体"/>
                <w:sz w:val="24"/>
                <w:szCs w:val="24"/>
              </w:rPr>
            </w:pPr>
            <w:r>
              <w:rPr>
                <w:rFonts w:hint="eastAsia" w:hAnsi="宋体" w:cs="宋体"/>
                <w:sz w:val="24"/>
                <w:szCs w:val="24"/>
              </w:rPr>
              <w:t>其中，F=30；E1=0.4；E2=0.2；评标价最低得分为0分。</w:t>
            </w:r>
          </w:p>
          <w:p w14:paraId="2C798A79">
            <w:pPr>
              <w:pStyle w:val="8"/>
              <w:snapToGrid w:val="0"/>
              <w:jc w:val="left"/>
              <w:rPr>
                <w:rFonts w:hint="eastAsia" w:hAnsi="宋体" w:cs="宋体"/>
              </w:rPr>
            </w:pPr>
            <w:r>
              <w:rPr>
                <w:rFonts w:hint="eastAsia" w:hAnsi="宋体" w:cs="宋体"/>
                <w:sz w:val="24"/>
                <w:szCs w:val="24"/>
              </w:rPr>
              <w:t>评标价得分保留两位小数，第三位四舍五入。</w:t>
            </w:r>
          </w:p>
        </w:tc>
      </w:tr>
      <w:tr w14:paraId="2A54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vMerge w:val="continue"/>
            <w:vAlign w:val="center"/>
          </w:tcPr>
          <w:p w14:paraId="2990DD35">
            <w:pPr>
              <w:jc w:val="center"/>
              <w:rPr>
                <w:rFonts w:hint="eastAsia" w:ascii="宋体" w:hAnsi="宋体" w:cs="宋体"/>
                <w:bCs/>
              </w:rPr>
            </w:pPr>
          </w:p>
        </w:tc>
        <w:tc>
          <w:tcPr>
            <w:tcW w:w="1426" w:type="dxa"/>
            <w:gridSpan w:val="2"/>
            <w:vMerge w:val="continue"/>
            <w:vAlign w:val="center"/>
          </w:tcPr>
          <w:p w14:paraId="358305EF">
            <w:pPr>
              <w:jc w:val="center"/>
              <w:rPr>
                <w:rFonts w:hint="eastAsia" w:ascii="宋体" w:hAnsi="宋体" w:cs="宋体"/>
                <w:bCs/>
              </w:rPr>
            </w:pPr>
          </w:p>
        </w:tc>
        <w:tc>
          <w:tcPr>
            <w:tcW w:w="1426" w:type="dxa"/>
            <w:vAlign w:val="center"/>
          </w:tcPr>
          <w:p w14:paraId="7E8766D4">
            <w:pPr>
              <w:jc w:val="center"/>
              <w:rPr>
                <w:rFonts w:hint="eastAsia" w:ascii="宋体" w:hAnsi="宋体" w:cs="宋体"/>
                <w:bCs/>
              </w:rPr>
            </w:pPr>
            <w:r>
              <w:rPr>
                <w:rFonts w:hint="eastAsia" w:ascii="宋体" w:hAnsi="宋体" w:cs="宋体"/>
                <w:bCs/>
              </w:rPr>
              <w:t>租赁服务费（15分）</w:t>
            </w:r>
          </w:p>
        </w:tc>
        <w:tc>
          <w:tcPr>
            <w:tcW w:w="5396" w:type="dxa"/>
            <w:gridSpan w:val="2"/>
            <w:shd w:val="clear" w:color="auto" w:fill="auto"/>
            <w:vAlign w:val="center"/>
          </w:tcPr>
          <w:p w14:paraId="2B80DE62">
            <w:pPr>
              <w:pStyle w:val="8"/>
              <w:snapToGrid w:val="0"/>
              <w:jc w:val="left"/>
              <w:rPr>
                <w:rFonts w:hint="eastAsia" w:hAnsi="宋体" w:cs="宋体"/>
                <w:sz w:val="24"/>
                <w:szCs w:val="24"/>
              </w:rPr>
            </w:pPr>
            <w:r>
              <w:rPr>
                <w:rFonts w:hint="eastAsia" w:hAnsi="宋体" w:cs="宋体"/>
                <w:b/>
                <w:bCs/>
                <w:sz w:val="24"/>
                <w:szCs w:val="24"/>
              </w:rPr>
              <w:t>租赁服务费</w:t>
            </w:r>
            <w:r>
              <w:rPr>
                <w:rFonts w:hint="eastAsia" w:hAnsi="宋体" w:cs="宋体"/>
                <w:sz w:val="24"/>
                <w:szCs w:val="24"/>
              </w:rPr>
              <w:t>评标价得分计算公式：</w:t>
            </w:r>
          </w:p>
          <w:p w14:paraId="09E029C0">
            <w:pPr>
              <w:pStyle w:val="8"/>
              <w:snapToGrid w:val="0"/>
              <w:jc w:val="left"/>
              <w:rPr>
                <w:rFonts w:hint="eastAsia" w:hAnsi="宋体" w:cs="宋体"/>
                <w:sz w:val="24"/>
                <w:szCs w:val="24"/>
              </w:rPr>
            </w:pPr>
            <w:r>
              <w:rPr>
                <w:rFonts w:hint="eastAsia" w:hAnsi="宋体" w:cs="宋体"/>
                <w:sz w:val="24"/>
                <w:szCs w:val="24"/>
              </w:rPr>
              <w:t>（1）如果投标人的评标价＞评标基准价，则评标价得分=F-（投标人评标价-评标基准价）/评标基准价×100×E1；</w:t>
            </w:r>
          </w:p>
          <w:p w14:paraId="77AE5D8C">
            <w:pPr>
              <w:pStyle w:val="8"/>
              <w:snapToGrid w:val="0"/>
              <w:jc w:val="left"/>
              <w:rPr>
                <w:rFonts w:hint="eastAsia" w:hAnsi="宋体" w:cs="宋体"/>
                <w:sz w:val="24"/>
                <w:szCs w:val="24"/>
              </w:rPr>
            </w:pPr>
            <w:r>
              <w:rPr>
                <w:rFonts w:hint="eastAsia" w:hAnsi="宋体" w:cs="宋体"/>
                <w:sz w:val="24"/>
                <w:szCs w:val="24"/>
              </w:rPr>
              <w:t>（2）如果投标人的评标价≤评标基准价，则评标价得分=F+（投标人评标价-评标基准价）/评标基准价×100×E2。</w:t>
            </w:r>
          </w:p>
          <w:p w14:paraId="7747C9E7">
            <w:pPr>
              <w:pStyle w:val="8"/>
              <w:snapToGrid w:val="0"/>
              <w:jc w:val="left"/>
              <w:rPr>
                <w:rFonts w:hint="eastAsia" w:hAnsi="宋体" w:cs="宋体"/>
                <w:sz w:val="24"/>
                <w:szCs w:val="24"/>
              </w:rPr>
            </w:pPr>
            <w:r>
              <w:rPr>
                <w:rFonts w:hint="eastAsia" w:hAnsi="宋体" w:cs="宋体"/>
                <w:sz w:val="24"/>
                <w:szCs w:val="24"/>
              </w:rPr>
              <w:t>其中，F=15；E1=0.2；E2=0.1；评标价最低得分为0分。</w:t>
            </w:r>
          </w:p>
          <w:p w14:paraId="1819A17A">
            <w:pPr>
              <w:pStyle w:val="8"/>
              <w:snapToGrid w:val="0"/>
              <w:jc w:val="left"/>
              <w:rPr>
                <w:rFonts w:hint="eastAsia" w:hAnsi="宋体" w:cs="宋体"/>
              </w:rPr>
            </w:pPr>
            <w:r>
              <w:rPr>
                <w:rFonts w:hint="eastAsia" w:hAnsi="宋体" w:cs="宋体"/>
                <w:sz w:val="24"/>
                <w:szCs w:val="24"/>
              </w:rPr>
              <w:t>评标价得分保留两位小数，第三位四舍五入。</w:t>
            </w:r>
          </w:p>
        </w:tc>
      </w:tr>
      <w:bookmarkEnd w:id="12"/>
    </w:tbl>
    <w:p w14:paraId="047A497E">
      <w:pPr>
        <w:pStyle w:val="8"/>
        <w:adjustRightInd w:val="0"/>
        <w:snapToGrid w:val="0"/>
        <w:spacing w:line="360" w:lineRule="auto"/>
        <w:jc w:val="left"/>
        <w:textAlignment w:val="baseline"/>
        <w:rPr>
          <w:rFonts w:hint="eastAsia" w:hAnsi="宋体"/>
          <w:snapToGrid w:val="0"/>
          <w:kern w:val="0"/>
          <w:sz w:val="24"/>
          <w:szCs w:val="24"/>
        </w:rPr>
      </w:pPr>
    </w:p>
    <w:p w14:paraId="626228A2">
      <w:pPr>
        <w:pStyle w:val="8"/>
        <w:adjustRightInd w:val="0"/>
        <w:snapToGrid w:val="0"/>
        <w:spacing w:line="360" w:lineRule="auto"/>
        <w:jc w:val="left"/>
        <w:textAlignment w:val="baseline"/>
        <w:rPr>
          <w:rFonts w:hint="eastAsia" w:hAnsi="宋体"/>
          <w:snapToGrid w:val="0"/>
          <w:kern w:val="0"/>
          <w:sz w:val="24"/>
          <w:szCs w:val="24"/>
        </w:rPr>
      </w:pPr>
      <w:r>
        <w:rPr>
          <w:rFonts w:hAnsi="宋体"/>
          <w:snapToGrid w:val="0"/>
          <w:kern w:val="0"/>
          <w:sz w:val="24"/>
          <w:szCs w:val="24"/>
        </w:rPr>
        <w:t>注：</w:t>
      </w:r>
    </w:p>
    <w:p w14:paraId="6ABDC217">
      <w:pPr>
        <w:pStyle w:val="8"/>
        <w:adjustRightInd w:val="0"/>
        <w:snapToGrid w:val="0"/>
        <w:spacing w:line="360" w:lineRule="auto"/>
        <w:jc w:val="left"/>
        <w:textAlignment w:val="baseline"/>
        <w:rPr>
          <w:rFonts w:hint="eastAsia" w:hAnsi="宋体"/>
          <w:snapToGrid w:val="0"/>
          <w:kern w:val="0"/>
          <w:sz w:val="24"/>
          <w:szCs w:val="24"/>
        </w:rPr>
      </w:pPr>
      <w:r>
        <w:rPr>
          <w:rFonts w:hint="eastAsia" w:hAnsi="宋体"/>
          <w:snapToGrid w:val="0"/>
          <w:kern w:val="0"/>
          <w:sz w:val="24"/>
          <w:szCs w:val="24"/>
        </w:rPr>
        <w:t>1、评委打分保留1位小数；</w:t>
      </w:r>
    </w:p>
    <w:p w14:paraId="0CCBD422">
      <w:pPr>
        <w:pStyle w:val="8"/>
        <w:adjustRightInd w:val="0"/>
        <w:snapToGrid w:val="0"/>
        <w:spacing w:line="360" w:lineRule="auto"/>
        <w:jc w:val="left"/>
        <w:textAlignment w:val="baseline"/>
        <w:rPr>
          <w:rFonts w:hint="eastAsia" w:hAnsi="宋体"/>
          <w:snapToGrid w:val="0"/>
          <w:kern w:val="0"/>
          <w:sz w:val="24"/>
          <w:szCs w:val="24"/>
        </w:rPr>
      </w:pPr>
      <w:r>
        <w:rPr>
          <w:rFonts w:hint="eastAsia" w:hAnsi="宋体"/>
          <w:snapToGrid w:val="0"/>
          <w:kern w:val="0"/>
          <w:sz w:val="24"/>
          <w:szCs w:val="24"/>
        </w:rPr>
        <w:t>2、各评分因素得分以评标委员会各成员的打分平均值确定，保留 2 位小数；</w:t>
      </w:r>
    </w:p>
    <w:p w14:paraId="0295E5C9">
      <w:pPr>
        <w:pStyle w:val="8"/>
        <w:adjustRightInd w:val="0"/>
        <w:snapToGrid w:val="0"/>
        <w:spacing w:line="360" w:lineRule="auto"/>
        <w:jc w:val="left"/>
        <w:textAlignment w:val="baseline"/>
        <w:rPr>
          <w:rFonts w:hint="eastAsia" w:hAnsi="宋体"/>
          <w:snapToGrid w:val="0"/>
          <w:kern w:val="0"/>
          <w:sz w:val="24"/>
          <w:szCs w:val="24"/>
        </w:rPr>
      </w:pPr>
      <w:r>
        <w:rPr>
          <w:rFonts w:hAnsi="宋体"/>
          <w:snapToGrid w:val="0"/>
          <w:kern w:val="0"/>
          <w:sz w:val="24"/>
          <w:szCs w:val="24"/>
        </w:rPr>
        <w:t>3</w:t>
      </w:r>
      <w:r>
        <w:rPr>
          <w:rFonts w:hint="eastAsia" w:hAnsi="宋体"/>
          <w:snapToGrid w:val="0"/>
          <w:kern w:val="0"/>
          <w:sz w:val="24"/>
          <w:szCs w:val="24"/>
        </w:rPr>
        <w:t>、服务方案各评分因素细分项缺项，则该项得 0 分。</w:t>
      </w:r>
    </w:p>
    <w:p w14:paraId="1F642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4"/>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35"/>
    <w:rsid w:val="00133AEC"/>
    <w:rsid w:val="0019615E"/>
    <w:rsid w:val="002C072B"/>
    <w:rsid w:val="002E0596"/>
    <w:rsid w:val="002F7244"/>
    <w:rsid w:val="004335CE"/>
    <w:rsid w:val="008470BD"/>
    <w:rsid w:val="00957699"/>
    <w:rsid w:val="00A91435"/>
    <w:rsid w:val="00AE1EDE"/>
    <w:rsid w:val="00B74B38"/>
    <w:rsid w:val="38BC4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annotation text"/>
    <w:basedOn w:val="1"/>
    <w:next w:val="2"/>
    <w:link w:val="17"/>
    <w:qFormat/>
    <w:uiPriority w:val="0"/>
    <w:pPr>
      <w:jc w:val="left"/>
    </w:pPr>
    <w:rPr>
      <w:kern w:val="2"/>
      <w:sz w:val="21"/>
      <w:szCs w:val="24"/>
    </w:rPr>
  </w:style>
  <w:style w:type="paragraph" w:styleId="4">
    <w:name w:val="Body Text"/>
    <w:basedOn w:val="1"/>
    <w:next w:val="1"/>
    <w:link w:val="14"/>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5">
    <w:name w:val="Body Text Indent"/>
    <w:basedOn w:val="1"/>
    <w:link w:val="19"/>
    <w:semiHidden/>
    <w:unhideWhenUsed/>
    <w:qFormat/>
    <w:uiPriority w:val="99"/>
    <w:pPr>
      <w:spacing w:after="120"/>
      <w:ind w:left="420" w:leftChars="200"/>
    </w:pPr>
  </w:style>
  <w:style w:type="paragraph" w:styleId="6">
    <w:name w:val="List Continue"/>
    <w:basedOn w:val="1"/>
    <w:next w:val="7"/>
    <w:qFormat/>
    <w:uiPriority w:val="0"/>
    <w:pPr>
      <w:spacing w:after="120"/>
      <w:ind w:left="420" w:firstLine="3584"/>
    </w:pPr>
    <w:rPr>
      <w:kern w:val="2"/>
      <w:sz w:val="21"/>
      <w:szCs w:val="24"/>
    </w:rPr>
  </w:style>
  <w:style w:type="paragraph" w:styleId="7">
    <w:name w:val="Body Text First Indent"/>
    <w:basedOn w:val="4"/>
    <w:link w:val="25"/>
    <w:semiHidden/>
    <w:unhideWhenUsed/>
    <w:qFormat/>
    <w:uiPriority w:val="99"/>
    <w:pPr>
      <w:widowControl w:val="0"/>
      <w:numPr>
        <w:numId w:val="0"/>
      </w:numPr>
      <w:overflowPunct/>
      <w:autoSpaceDE/>
      <w:autoSpaceDN/>
      <w:adjustRightInd/>
      <w:spacing w:after="120" w:line="240" w:lineRule="auto"/>
      <w:ind w:firstLine="420" w:firstLineChars="100"/>
      <w:jc w:val="both"/>
      <w:textAlignment w:val="auto"/>
      <w:outlineLvl w:val="9"/>
    </w:pPr>
  </w:style>
  <w:style w:type="paragraph" w:styleId="8">
    <w:name w:val="Plain Text"/>
    <w:basedOn w:val="1"/>
    <w:link w:val="18"/>
    <w:qFormat/>
    <w:uiPriority w:val="0"/>
    <w:rPr>
      <w:rFonts w:ascii="宋体" w:hAnsi="Courier New" w:cs="Courier New"/>
      <w:kern w:val="2"/>
      <w:sz w:val="21"/>
      <w:szCs w:val="21"/>
    </w:rPr>
  </w:style>
  <w:style w:type="paragraph" w:styleId="9">
    <w:name w:val="footer"/>
    <w:basedOn w:val="1"/>
    <w:link w:val="16"/>
    <w:unhideWhenUsed/>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tabs>
        <w:tab w:val="center" w:pos="4153"/>
        <w:tab w:val="right" w:pos="8306"/>
      </w:tabs>
      <w:snapToGrid w:val="0"/>
      <w:jc w:val="center"/>
    </w:pPr>
    <w:rPr>
      <w:sz w:val="18"/>
      <w:szCs w:val="18"/>
    </w:rPr>
  </w:style>
  <w:style w:type="paragraph" w:styleId="11">
    <w:name w:val="Body Text First Indent 2"/>
    <w:basedOn w:val="5"/>
    <w:next w:val="6"/>
    <w:link w:val="20"/>
    <w:qFormat/>
    <w:uiPriority w:val="99"/>
    <w:pPr>
      <w:spacing w:after="0" w:line="360" w:lineRule="auto"/>
      <w:ind w:left="0" w:leftChars="0" w:firstLine="420" w:firstLineChars="200"/>
    </w:pPr>
    <w:rPr>
      <w:rFonts w:ascii="宋体" w:hAnsi="宋体"/>
      <w:color w:val="000000"/>
      <w:kern w:val="2"/>
      <w:szCs w:val="24"/>
    </w:rPr>
  </w:style>
  <w:style w:type="character" w:customStyle="1" w:styleId="14">
    <w:name w:val="正文文本 字符"/>
    <w:basedOn w:val="13"/>
    <w:link w:val="4"/>
    <w:qFormat/>
    <w:uiPriority w:val="99"/>
  </w:style>
  <w:style w:type="character" w:customStyle="1" w:styleId="15">
    <w:name w:val="页眉 字符"/>
    <w:basedOn w:val="13"/>
    <w:link w:val="10"/>
    <w:qFormat/>
    <w:uiPriority w:val="99"/>
    <w:rPr>
      <w:rFonts w:cs="Times New Roman"/>
      <w:kern w:val="28"/>
      <w:sz w:val="18"/>
      <w:szCs w:val="18"/>
    </w:rPr>
  </w:style>
  <w:style w:type="character" w:customStyle="1" w:styleId="16">
    <w:name w:val="页脚 字符"/>
    <w:basedOn w:val="13"/>
    <w:link w:val="9"/>
    <w:uiPriority w:val="99"/>
    <w:rPr>
      <w:rFonts w:cs="Times New Roman"/>
      <w:kern w:val="28"/>
      <w:sz w:val="18"/>
      <w:szCs w:val="18"/>
    </w:rPr>
  </w:style>
  <w:style w:type="character" w:customStyle="1" w:styleId="17">
    <w:name w:val="批注文字 字符"/>
    <w:basedOn w:val="13"/>
    <w:link w:val="3"/>
    <w:qFormat/>
    <w:uiPriority w:val="0"/>
    <w:rPr>
      <w:rFonts w:cs="Times New Roman"/>
      <w:sz w:val="21"/>
      <w:szCs w:val="24"/>
    </w:rPr>
  </w:style>
  <w:style w:type="character" w:customStyle="1" w:styleId="18">
    <w:name w:val="纯文本 字符"/>
    <w:basedOn w:val="13"/>
    <w:link w:val="8"/>
    <w:qFormat/>
    <w:uiPriority w:val="0"/>
    <w:rPr>
      <w:rFonts w:ascii="宋体" w:hAnsi="Courier New" w:cs="Courier New"/>
      <w:sz w:val="21"/>
      <w:szCs w:val="21"/>
    </w:rPr>
  </w:style>
  <w:style w:type="character" w:customStyle="1" w:styleId="19">
    <w:name w:val="正文文本缩进 字符"/>
    <w:basedOn w:val="13"/>
    <w:link w:val="5"/>
    <w:semiHidden/>
    <w:qFormat/>
    <w:uiPriority w:val="99"/>
    <w:rPr>
      <w:rFonts w:cs="Times New Roman"/>
      <w:kern w:val="28"/>
      <w:szCs w:val="20"/>
    </w:rPr>
  </w:style>
  <w:style w:type="character" w:customStyle="1" w:styleId="20">
    <w:name w:val="正文文本首行缩进 2 字符"/>
    <w:basedOn w:val="19"/>
    <w:link w:val="11"/>
    <w:qFormat/>
    <w:uiPriority w:val="99"/>
    <w:rPr>
      <w:rFonts w:ascii="宋体" w:hAnsi="宋体" w:cs="Times New Roman"/>
      <w:color w:val="000000"/>
      <w:kern w:val="28"/>
      <w:szCs w:val="24"/>
    </w:rPr>
  </w:style>
  <w:style w:type="character" w:customStyle="1" w:styleId="21">
    <w:name w:val="目录4 Char"/>
    <w:qFormat/>
    <w:uiPriority w:val="0"/>
    <w:rPr>
      <w:rFonts w:ascii="黑体" w:eastAsia="黑体"/>
      <w:kern w:val="2"/>
      <w:sz w:val="24"/>
      <w:szCs w:val="24"/>
      <w:lang w:val="en-US" w:eastAsia="zh-CN" w:bidi="ar-SA"/>
    </w:rPr>
  </w:style>
  <w:style w:type="character" w:customStyle="1" w:styleId="22">
    <w:name w:val="目录4 Char Char"/>
    <w:qFormat/>
    <w:uiPriority w:val="0"/>
    <w:rPr>
      <w:rFonts w:ascii="黑体" w:eastAsia="黑体"/>
      <w:kern w:val="2"/>
      <w:sz w:val="24"/>
      <w:szCs w:val="24"/>
      <w:lang w:val="en-US" w:eastAsia="zh-CN" w:bidi="ar-SA"/>
    </w:rPr>
  </w:style>
  <w:style w:type="paragraph" w:customStyle="1" w:styleId="23">
    <w:name w:val="目录3"/>
    <w:basedOn w:val="1"/>
    <w:qFormat/>
    <w:uiPriority w:val="0"/>
    <w:pPr>
      <w:spacing w:before="156" w:beforeLines="50" w:after="156" w:afterLines="50" w:line="400" w:lineRule="exact"/>
    </w:pPr>
    <w:rPr>
      <w:rFonts w:ascii="黑体" w:eastAsia="黑体"/>
      <w:kern w:val="2"/>
      <w:szCs w:val="24"/>
    </w:rPr>
  </w:style>
  <w:style w:type="paragraph" w:styleId="24">
    <w:name w:val="No Spacing"/>
    <w:qFormat/>
    <w:uiPriority w:val="0"/>
    <w:pPr>
      <w:widowControl w:val="0"/>
      <w:jc w:val="both"/>
    </w:pPr>
    <w:rPr>
      <w:rFonts w:ascii="宋体" w:hAnsi="宋体" w:eastAsia="宋体" w:cs="Times New Roman"/>
      <w:kern w:val="2"/>
      <w:sz w:val="24"/>
      <w:szCs w:val="24"/>
      <w:lang w:val="en-US" w:eastAsia="zh-CN" w:bidi="ar-SA"/>
    </w:rPr>
  </w:style>
  <w:style w:type="character" w:customStyle="1" w:styleId="25">
    <w:name w:val="正文文本首行缩进 字符"/>
    <w:basedOn w:val="14"/>
    <w:link w:val="7"/>
    <w:semiHidden/>
    <w:qFormat/>
    <w:uiPriority w:val="99"/>
    <w:rPr>
      <w:rFonts w:cs="Times New Roman"/>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6546</Words>
  <Characters>7101</Characters>
  <Lines>53</Lines>
  <Paragraphs>14</Paragraphs>
  <TotalTime>1</TotalTime>
  <ScaleCrop>false</ScaleCrop>
  <LinksUpToDate>false</LinksUpToDate>
  <CharactersWithSpaces>7181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2024-12-09T01:48:00Z</dcterms:created>
  <dc:creator>nan hao</dc:creator>
  <cp:lastModifiedBy>李娜</cp:lastModifiedBy>
  <dcterms:modified xsi:type="dcterms:W3CDTF">2024-12-09T02:10:59Z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5E4F80D2F2314C45BB75E10FDE998B3D_12</vt:lpwstr>
  </property>
</Properties>
</file>