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河北高速恒质公路建设集团有限公司</w:t>
      </w:r>
      <w:r>
        <w:rPr>
          <w:rFonts w:hint="eastAsia" w:ascii="方正小标宋_GBK" w:hAnsi="方正小标宋_GBK" w:eastAsia="方正小标宋_GBK" w:cs="方正小标宋_GBK"/>
          <w:b w:val="0"/>
          <w:bCs w:val="0"/>
          <w:sz w:val="44"/>
          <w:szCs w:val="44"/>
        </w:rPr>
        <w:br w:type="textWrapping"/>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年社会</w:t>
      </w:r>
      <w:r>
        <w:rPr>
          <w:rFonts w:hint="eastAsia" w:ascii="方正小标宋_GBK" w:hAnsi="方正小标宋_GBK" w:eastAsia="方正小标宋_GBK" w:cs="方正小标宋_GBK"/>
          <w:b w:val="0"/>
          <w:bCs w:val="0"/>
          <w:sz w:val="44"/>
          <w:szCs w:val="44"/>
          <w:highlight w:val="none"/>
        </w:rPr>
        <w:t>招</w:t>
      </w:r>
      <w:r>
        <w:rPr>
          <w:rFonts w:hint="eastAsia" w:ascii="方正小标宋_GBK" w:hAnsi="方正小标宋_GBK" w:eastAsia="方正小标宋_GBK" w:cs="方正小标宋_GBK"/>
          <w:b w:val="0"/>
          <w:bCs w:val="0"/>
          <w:sz w:val="44"/>
          <w:szCs w:val="44"/>
        </w:rPr>
        <w:t>聘公告</w:t>
      </w:r>
    </w:p>
    <w:p>
      <w:pPr>
        <w:pStyle w:val="9"/>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根据公司经营发展和岗位需要，河北高速恒质公路建设集团有限公司（以下简称“恒质集团”）面向社会公开招聘优秀人才，具体招聘公告如下：</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恒质集团注册成立于2024年7月，前身为邯郸市恒质公路建设集团有限公司，现为河北高速公路集团有限公司控股二级子公司，现有职工500余人，下辖</w:t>
      </w:r>
      <w:r>
        <w:rPr>
          <w:rFonts w:hint="eastAsia" w:ascii="仿宋_GB2312" w:hAnsi="仿宋_GB2312" w:eastAsia="仿宋_GB2312" w:cs="仿宋_GB2312"/>
          <w:kern w:val="2"/>
          <w:sz w:val="32"/>
          <w:szCs w:val="32"/>
          <w:highlight w:val="none"/>
          <w:lang w:val="en-US" w:eastAsia="zh-CN" w:bidi="ar-SA"/>
        </w:rPr>
        <w:t>13家子公司、12家分公司、</w:t>
      </w:r>
      <w:r>
        <w:rPr>
          <w:rFonts w:hint="eastAsia" w:ascii="仿宋_GB2312" w:hAnsi="仿宋_GB2312" w:eastAsia="仿宋_GB2312" w:cs="仿宋_GB2312"/>
          <w:kern w:val="2"/>
          <w:sz w:val="32"/>
          <w:szCs w:val="32"/>
          <w:lang w:val="en-US" w:eastAsia="zh-CN" w:bidi="ar-SA"/>
        </w:rPr>
        <w:t>3家参股公司，注册资本7亿元。恒质集团是一家集公路工程施工、路用材料研发生产、试验检测、沥青贸易、公铁物流于一体的多元化、综合性公司，国家级高新技术企业，河北省专精特新中小企业，河北省首家沥青拌合环保引领性企业。</w:t>
      </w:r>
    </w:p>
    <w:p>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一、招聘岗位及人数</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ascii="仿宋_GB2312" w:hAnsi="Times New Roman" w:eastAsia="仿宋_GB2312"/>
          <w:color w:val="000000" w:themeColor="text1"/>
          <w:sz w:val="32"/>
          <w:szCs w:val="32"/>
          <w14:textFill>
            <w14:solidFill>
              <w14:schemeClr w14:val="tx1"/>
            </w14:solidFill>
          </w14:textFill>
        </w:rPr>
        <w:t>招聘</w:t>
      </w:r>
      <w:r>
        <w:rPr>
          <w:rFonts w:hint="eastAsia" w:ascii="仿宋_GB2312" w:hAnsi="Times New Roman" w:eastAsia="仿宋_GB2312"/>
          <w:color w:val="000000" w:themeColor="text1"/>
          <w:sz w:val="32"/>
          <w:szCs w:val="32"/>
          <w:lang w:val="en-US" w:eastAsia="zh-CN"/>
          <w14:textFill>
            <w14:solidFill>
              <w14:schemeClr w14:val="tx1"/>
            </w14:solidFill>
          </w14:textFill>
        </w:rPr>
        <w:t>各类</w:t>
      </w:r>
      <w:r>
        <w:rPr>
          <w:rFonts w:ascii="仿宋_GB2312" w:hAnsi="Times New Roman" w:eastAsia="仿宋_GB2312"/>
          <w:color w:val="000000" w:themeColor="text1"/>
          <w:sz w:val="32"/>
          <w:szCs w:val="32"/>
          <w14:textFill>
            <w14:solidFill>
              <w14:schemeClr w14:val="tx1"/>
            </w14:solidFill>
          </w14:textFill>
        </w:rPr>
        <w:t>人才</w:t>
      </w:r>
      <w:r>
        <w:rPr>
          <w:rFonts w:hint="eastAsia" w:ascii="仿宋_GB2312" w:hAnsi="Times New Roman" w:eastAsia="仿宋_GB2312"/>
          <w:color w:val="000000" w:themeColor="text1"/>
          <w:sz w:val="32"/>
          <w:szCs w:val="32"/>
          <w:lang w:val="en-US" w:eastAsia="zh-CN"/>
          <w14:textFill>
            <w14:solidFill>
              <w14:schemeClr w14:val="tx1"/>
            </w14:solidFill>
          </w14:textFill>
        </w:rPr>
        <w:t>86</w:t>
      </w:r>
      <w:r>
        <w:rPr>
          <w:rFonts w:ascii="仿宋_GB2312" w:hAnsi="Times New Roman" w:eastAsia="仿宋_GB2312"/>
          <w:color w:val="000000" w:themeColor="text1"/>
          <w:sz w:val="32"/>
          <w:szCs w:val="32"/>
          <w14:textFill>
            <w14:solidFill>
              <w14:schemeClr w14:val="tx1"/>
            </w14:solidFill>
          </w14:textFill>
        </w:rPr>
        <w:t>名，其中</w:t>
      </w:r>
      <w:r>
        <w:rPr>
          <w:rFonts w:hint="eastAsia" w:ascii="仿宋_GB2312" w:hAnsi="Times New Roman" w:eastAsia="仿宋_GB2312"/>
          <w:color w:val="000000" w:themeColor="text1"/>
          <w:sz w:val="32"/>
          <w:szCs w:val="32"/>
          <w:lang w:val="en-US" w:eastAsia="zh-CN"/>
          <w14:textFill>
            <w14:solidFill>
              <w14:schemeClr w14:val="tx1"/>
            </w14:solidFill>
          </w14:textFill>
        </w:rPr>
        <w:t>项目经理岗8名、商务经理岗2名、</w:t>
      </w:r>
      <w:r>
        <w:rPr>
          <w:rFonts w:hint="eastAsia" w:ascii="仿宋_GB2312" w:hAnsi="Times New Roman" w:eastAsia="仿宋_GB2312"/>
          <w:color w:val="000000" w:themeColor="text1"/>
          <w:sz w:val="32"/>
          <w:szCs w:val="32"/>
          <w14:textFill>
            <w14:solidFill>
              <w14:schemeClr w14:val="tx1"/>
            </w14:solidFill>
          </w14:textFill>
        </w:rPr>
        <w:t>工程造价</w:t>
      </w:r>
      <w:r>
        <w:rPr>
          <w:rFonts w:hint="eastAsia" w:ascii="仿宋_GB2312" w:eastAsia="仿宋_GB2312"/>
          <w:sz w:val="32"/>
          <w:szCs w:val="32"/>
          <w:highlight w:val="none"/>
          <w:lang w:val="en-US" w:eastAsia="zh-CN"/>
        </w:rPr>
        <w:t>岗3名、</w:t>
      </w:r>
      <w:r>
        <w:rPr>
          <w:rFonts w:hint="eastAsia" w:ascii="仿宋_GB2312" w:hAnsi="Times New Roman" w:eastAsia="仿宋_GB2312"/>
          <w:color w:val="000000" w:themeColor="text1"/>
          <w:sz w:val="32"/>
          <w:szCs w:val="32"/>
          <w:lang w:eastAsia="zh-CN"/>
          <w14:textFill>
            <w14:solidFill>
              <w14:schemeClr w14:val="tx1"/>
            </w14:solidFill>
          </w14:textFill>
        </w:rPr>
        <w:t>法务岗</w:t>
      </w:r>
      <w:r>
        <w:rPr>
          <w:rFonts w:hint="eastAsia" w:ascii="仿宋_GB2312" w:hAnsi="Times New Roman" w:eastAsia="仿宋_GB2312"/>
          <w:color w:val="000000" w:themeColor="text1"/>
          <w:sz w:val="32"/>
          <w:szCs w:val="32"/>
          <w:lang w:val="en-US" w:eastAsia="zh-CN"/>
          <w14:textFill>
            <w14:solidFill>
              <w14:schemeClr w14:val="tx1"/>
            </w14:solidFill>
          </w14:textFill>
        </w:rPr>
        <w:t>2名、</w:t>
      </w:r>
      <w:r>
        <w:rPr>
          <w:rFonts w:hint="eastAsia" w:ascii="仿宋_GB2312" w:hAnsi="Times New Roman" w:eastAsia="仿宋_GB2312"/>
          <w:color w:val="000000" w:themeColor="text1"/>
          <w:sz w:val="32"/>
          <w:szCs w:val="32"/>
          <w14:textFill>
            <w14:solidFill>
              <w14:schemeClr w14:val="tx1"/>
            </w14:solidFill>
          </w14:textFill>
        </w:rPr>
        <w:t>工程技术岗</w:t>
      </w:r>
      <w:r>
        <w:rPr>
          <w:rFonts w:hint="eastAsia" w:ascii="仿宋_GB2312" w:hAnsi="Times New Roman" w:eastAsia="仿宋_GB2312"/>
          <w:color w:val="000000" w:themeColor="text1"/>
          <w:sz w:val="32"/>
          <w:szCs w:val="32"/>
          <w:lang w:val="en-US" w:eastAsia="zh-CN"/>
          <w14:textFill>
            <w14:solidFill>
              <w14:schemeClr w14:val="tx1"/>
            </w14:solidFill>
          </w14:textFill>
        </w:rPr>
        <w:t>24</w:t>
      </w:r>
      <w:r>
        <w:rPr>
          <w:rFonts w:hint="eastAsia" w:ascii="仿宋_GB2312" w:hAnsi="Times New Roman" w:eastAsia="仿宋_GB2312"/>
          <w:color w:val="000000" w:themeColor="text1"/>
          <w:sz w:val="32"/>
          <w:szCs w:val="32"/>
          <w14:textFill>
            <w14:solidFill>
              <w14:schemeClr w14:val="tx1"/>
            </w14:solidFill>
          </w14:textFill>
        </w:rPr>
        <w:t>名</w:t>
      </w:r>
      <w:r>
        <w:rPr>
          <w:rFonts w:hint="eastAsia" w:ascii="仿宋_GB2312" w:hAnsi="Times New Roman" w:eastAsia="仿宋_GB2312"/>
          <w:color w:val="000000" w:themeColor="text1"/>
          <w:sz w:val="32"/>
          <w:szCs w:val="32"/>
          <w:lang w:eastAsia="zh-CN"/>
          <w14:textFill>
            <w14:solidFill>
              <w14:schemeClr w14:val="tx1"/>
            </w14:solidFill>
          </w14:textFill>
        </w:rPr>
        <w:t>、公路工程技术岗</w:t>
      </w:r>
      <w:r>
        <w:rPr>
          <w:rFonts w:hint="eastAsia" w:ascii="仿宋_GB2312" w:hAnsi="Times New Roman" w:eastAsia="仿宋_GB2312"/>
          <w:color w:val="000000" w:themeColor="text1"/>
          <w:sz w:val="32"/>
          <w:szCs w:val="32"/>
          <w:lang w:val="en-US" w:eastAsia="zh-CN"/>
          <w14:textFill>
            <w14:solidFill>
              <w14:schemeClr w14:val="tx1"/>
            </w14:solidFill>
          </w14:textFill>
        </w:rPr>
        <w:t>33名、房建工程技术岗2名、</w:t>
      </w:r>
      <w:r>
        <w:rPr>
          <w:rFonts w:hint="eastAsia" w:ascii="仿宋_GB2312" w:hAnsi="仿宋_GB2312" w:eastAsia="仿宋_GB2312" w:cs="仿宋_GB2312"/>
          <w:color w:val="auto"/>
          <w:sz w:val="32"/>
          <w:szCs w:val="32"/>
          <w:highlight w:val="none"/>
          <w:lang w:val="en-US" w:eastAsia="zh-CN"/>
        </w:rPr>
        <w:t>桥梁隧道试验检测工程师A岗5名、桥梁隧道试验检测工程师B岗2名、交通工程试验检测工程师A岗1名、交通工程试验检测工程师B岗1名、道路工程试验检测工程师岗3名。</w:t>
      </w:r>
      <w:r>
        <w:rPr>
          <w:rFonts w:hint="eastAsia" w:ascii="仿宋_GB2312" w:hAnsi="仿宋_GB2312" w:eastAsia="仿宋_GB2312" w:cs="仿宋_GB2312"/>
          <w:b w:val="0"/>
          <w:bCs w:val="0"/>
          <w:kern w:val="2"/>
          <w:sz w:val="32"/>
          <w:szCs w:val="32"/>
          <w:lang w:val="en-US" w:eastAsia="zh-CN" w:bidi="ar-SA"/>
        </w:rPr>
        <w:t>具体资格条件详见《河北高速恒质公路建设集团有限公司2024</w:t>
      </w:r>
      <w:r>
        <w:rPr>
          <w:rFonts w:hint="eastAsia" w:ascii="仿宋_GB2312" w:hAnsi="仿宋_GB2312" w:eastAsia="仿宋_GB2312" w:cs="仿宋_GB2312"/>
          <w:b w:val="0"/>
          <w:bCs w:val="0"/>
          <w:kern w:val="2"/>
          <w:sz w:val="32"/>
          <w:szCs w:val="32"/>
          <w:highlight w:val="none"/>
          <w:lang w:val="en-US" w:eastAsia="zh-CN" w:bidi="ar-SA"/>
        </w:rPr>
        <w:t>年</w:t>
      </w:r>
      <w:r>
        <w:rPr>
          <w:rFonts w:hint="eastAsia" w:ascii="仿宋_GB2312" w:hAnsi="仿宋_GB2312" w:eastAsia="仿宋_GB2312" w:cs="仿宋_GB2312"/>
          <w:b w:val="0"/>
          <w:bCs w:val="0"/>
          <w:kern w:val="2"/>
          <w:sz w:val="32"/>
          <w:szCs w:val="32"/>
          <w:lang w:val="en-US" w:eastAsia="zh-CN" w:bidi="ar-SA"/>
        </w:rPr>
        <w:t>社会招聘需求信息表》（附件1)。</w:t>
      </w:r>
    </w:p>
    <w:p>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二、招聘条件</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（一）具有中华人民共和国国籍，遵纪守法，品行端正。</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（二）拥护中国共产党的领导，认真贯彻党的理论路线方针政策，思想政治素质好，具有良好的道德品质和职业操守，无违法犯罪、失信记录。</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（三）具有与招聘岗位要求相适应的年龄、学历、专业背景和工作技能等条件。</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（四）身体健康，具有正常履行岗位职责的身体条件，体检按《公务员录用体检通用标准（试行）》掌握和执行。</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（五）认同并自觉遵守河北高速集团及恒质集团企业文化和人才理念，具有较强的事业心、较高的创业热情、较强的团队协作精神和沟通协调能力。</w:t>
      </w:r>
    </w:p>
    <w:p>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三、招聘程序</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（一）发布公告</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14:textFill>
            <w14:solidFill>
              <w14:schemeClr w14:val="tx1"/>
            </w14:solidFill>
          </w14:textFill>
        </w:rPr>
        <w:t>公告</w:t>
      </w:r>
      <w:r>
        <w:rPr>
          <w:rFonts w:ascii="仿宋_GB2312" w:hAnsi="Times New Roman" w:eastAsia="仿宋_GB2312"/>
          <w:color w:val="000000" w:themeColor="text1"/>
          <w:sz w:val="32"/>
          <w:szCs w:val="32"/>
          <w:highlight w:val="none"/>
          <w14:textFill>
            <w14:solidFill>
              <w14:schemeClr w14:val="tx1"/>
            </w14:solidFill>
          </w14:textFill>
        </w:rPr>
        <w:t>时间</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auto"/>
          <w:sz w:val="32"/>
          <w:szCs w:val="32"/>
          <w:highlight w:val="none"/>
        </w:rPr>
        <w:t>202</w:t>
      </w:r>
      <w:r>
        <w:rPr>
          <w:rFonts w:hint="eastAsia" w:ascii="仿宋_GB2312" w:hAnsi="Times New Roman" w:eastAsia="仿宋_GB2312"/>
          <w:color w:val="auto"/>
          <w:sz w:val="32"/>
          <w:szCs w:val="32"/>
          <w:highlight w:val="none"/>
          <w:lang w:val="en-US" w:eastAsia="zh-CN"/>
        </w:rPr>
        <w:t>4</w:t>
      </w:r>
      <w:r>
        <w:rPr>
          <w:rFonts w:ascii="仿宋_GB2312" w:hAnsi="Times New Roman" w:eastAsia="仿宋_GB2312"/>
          <w:color w:val="auto"/>
          <w:sz w:val="32"/>
          <w:szCs w:val="32"/>
          <w:highlight w:val="none"/>
        </w:rPr>
        <w:t>年</w:t>
      </w:r>
      <w:r>
        <w:rPr>
          <w:rFonts w:hint="eastAsia" w:ascii="仿宋_GB2312" w:hAnsi="Times New Roman" w:eastAsia="仿宋_GB2312"/>
          <w:color w:val="auto"/>
          <w:sz w:val="32"/>
          <w:szCs w:val="32"/>
          <w:highlight w:val="none"/>
          <w:lang w:val="en-US" w:eastAsia="zh-CN"/>
        </w:rPr>
        <w:t>11</w:t>
      </w:r>
      <w:r>
        <w:rPr>
          <w:rFonts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28</w:t>
      </w:r>
      <w:r>
        <w:rPr>
          <w:rFonts w:ascii="仿宋_GB2312" w:hAnsi="Times New Roman" w:eastAsia="仿宋_GB2312"/>
          <w:color w:val="auto"/>
          <w:sz w:val="32"/>
          <w:szCs w:val="32"/>
          <w:highlight w:val="none"/>
        </w:rPr>
        <w:t>日至</w:t>
      </w:r>
      <w:r>
        <w:rPr>
          <w:rFonts w:hint="eastAsia" w:ascii="仿宋_GB2312" w:hAnsi="Times New Roman" w:eastAsia="仿宋_GB2312"/>
          <w:color w:val="auto"/>
          <w:sz w:val="32"/>
          <w:szCs w:val="32"/>
          <w:highlight w:val="none"/>
          <w:lang w:val="en-US" w:eastAsia="zh-CN"/>
        </w:rPr>
        <w:t>12月12</w:t>
      </w:r>
      <w:r>
        <w:rPr>
          <w:rFonts w:ascii="仿宋_GB2312" w:hAnsi="Times New Roman" w:eastAsia="仿宋_GB2312"/>
          <w:color w:val="auto"/>
          <w:sz w:val="32"/>
          <w:szCs w:val="32"/>
          <w:highlight w:val="none"/>
        </w:rPr>
        <w:t>日。</w:t>
      </w:r>
      <w:r>
        <w:rPr>
          <w:rFonts w:ascii="仿宋_GB2312" w:hAnsi="Times New Roman" w:eastAsia="仿宋_GB2312"/>
          <w:color w:val="000000" w:themeColor="text1"/>
          <w:sz w:val="32"/>
          <w:szCs w:val="32"/>
          <w:highlight w:val="none"/>
          <w14:textFill>
            <w14:solidFill>
              <w14:schemeClr w14:val="tx1"/>
            </w14:solidFill>
          </w14:textFill>
        </w:rPr>
        <w:t>公告在河北高速集团官网、官微发布，并在</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智联招聘</w:t>
      </w:r>
      <w:r>
        <w:rPr>
          <w:rFonts w:ascii="仿宋_GB2312" w:hAnsi="Times New Roman" w:eastAsia="仿宋_GB2312"/>
          <w:color w:val="000000" w:themeColor="text1"/>
          <w:sz w:val="32"/>
          <w:szCs w:val="32"/>
          <w:highlight w:val="none"/>
          <w14:textFill>
            <w14:solidFill>
              <w14:schemeClr w14:val="tx1"/>
            </w14:solidFill>
          </w14:textFill>
        </w:rPr>
        <w:t>等招聘网站进行社会发布。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（二）网上报名和资格审查</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000000" w:themeColor="text1"/>
          <w:sz w:val="32"/>
          <w:szCs w:val="32"/>
          <w:highlight w:val="none"/>
          <w14:textFill>
            <w14:solidFill>
              <w14:schemeClr w14:val="tx1"/>
            </w14:solidFill>
          </w14:textFill>
        </w:rPr>
        <w:t>报名及</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资格审查</w:t>
      </w:r>
      <w:r>
        <w:rPr>
          <w:rFonts w:hint="eastAsia" w:ascii="仿宋_GB2312" w:hAnsi="Times New Roman" w:eastAsia="仿宋_GB2312"/>
          <w:color w:val="000000" w:themeColor="text1"/>
          <w:sz w:val="32"/>
          <w:szCs w:val="32"/>
          <w:highlight w:val="none"/>
          <w14:textFill>
            <w14:solidFill>
              <w14:schemeClr w14:val="tx1"/>
            </w14:solidFill>
          </w14:textFill>
        </w:rPr>
        <w:t>时间</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olor w:val="auto"/>
          <w:sz w:val="32"/>
          <w:szCs w:val="32"/>
          <w:highlight w:val="none"/>
        </w:rPr>
        <w:t>202</w:t>
      </w:r>
      <w:r>
        <w:rPr>
          <w:rFonts w:hint="eastAsia" w:ascii="仿宋_GB2312" w:hAnsi="Times New Roman" w:eastAsia="仿宋_GB2312"/>
          <w:color w:val="auto"/>
          <w:sz w:val="32"/>
          <w:szCs w:val="32"/>
          <w:highlight w:val="none"/>
          <w:lang w:val="en-US" w:eastAsia="zh-CN"/>
        </w:rPr>
        <w:t>4</w:t>
      </w:r>
      <w:r>
        <w:rPr>
          <w:rFonts w:hint="eastAsia" w:ascii="仿宋_GB2312" w:hAnsi="Times New Roman" w:eastAsia="仿宋_GB2312"/>
          <w:color w:val="auto"/>
          <w:sz w:val="32"/>
          <w:szCs w:val="32"/>
          <w:highlight w:val="none"/>
        </w:rPr>
        <w:t>年</w:t>
      </w:r>
      <w:r>
        <w:rPr>
          <w:rFonts w:hint="eastAsia" w:ascii="仿宋_GB2312" w:hAnsi="Times New Roman" w:eastAsia="仿宋_GB2312"/>
          <w:color w:val="auto"/>
          <w:sz w:val="32"/>
          <w:szCs w:val="32"/>
          <w:highlight w:val="none"/>
          <w:lang w:val="en-US" w:eastAsia="zh-CN"/>
        </w:rPr>
        <w:t>11</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28</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val="en-US" w:eastAsia="zh-CN"/>
        </w:rPr>
        <w:t>12:00</w:t>
      </w:r>
      <w:r>
        <w:rPr>
          <w:rFonts w:hint="eastAsia" w:ascii="仿宋_GB2312" w:hAnsi="Times New Roman" w:eastAsia="仿宋_GB2312"/>
          <w:color w:val="auto"/>
          <w:sz w:val="32"/>
          <w:szCs w:val="32"/>
          <w:highlight w:val="none"/>
        </w:rPr>
        <w:t>至</w:t>
      </w:r>
      <w:r>
        <w:rPr>
          <w:rFonts w:hint="eastAsia" w:ascii="仿宋_GB2312" w:hAnsi="Times New Roman" w:eastAsia="仿宋_GB2312"/>
          <w:color w:val="auto"/>
          <w:sz w:val="32"/>
          <w:szCs w:val="32"/>
          <w:highlight w:val="none"/>
          <w:lang w:val="en-US" w:eastAsia="zh-CN"/>
        </w:rPr>
        <w:t>12</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12</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val="en-US" w:eastAsia="zh-CN"/>
        </w:rPr>
        <w:t>17:30</w:t>
      </w:r>
      <w:r>
        <w:rPr>
          <w:rFonts w:hint="eastAsia" w:ascii="仿宋_GB2312" w:hAnsi="Times New Roman" w:eastAsia="仿宋_GB2312"/>
          <w:color w:val="auto"/>
          <w:sz w:val="32"/>
          <w:szCs w:val="32"/>
          <w:highlight w:val="none"/>
        </w:rPr>
        <w:t>，逾期不再受理。</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1.应聘人员须于报名期间在以下网址登录报名：</w:t>
      </w:r>
      <w:r>
        <w:rPr>
          <w:rFonts w:hint="eastAsia" w:ascii="仿宋_GB2312" w:eastAsia="仿宋_GB2312" w:cs="仿宋_GB2312" w:hAnsiTheme="minorHAnsi"/>
          <w:kern w:val="0"/>
          <w:sz w:val="32"/>
          <w:szCs w:val="32"/>
          <w:highlight w:val="yellow"/>
          <w:lang w:val="en-US" w:eastAsia="zh-CN" w:bidi="ar"/>
        </w:rPr>
        <w:t>hbgsjt2024.zhaopin.com，</w:t>
      </w:r>
      <w:r>
        <w:rPr>
          <w:rFonts w:hint="eastAsia" w:ascii="仿宋_GB2312" w:hAnsi="仿宋_GB2312" w:eastAsia="仿宋_GB2312" w:cs="仿宋_GB2312"/>
          <w:b w:val="0"/>
          <w:bCs w:val="0"/>
          <w:kern w:val="2"/>
          <w:sz w:val="32"/>
          <w:szCs w:val="32"/>
          <w:lang w:val="en-US" w:eastAsia="zh-CN" w:bidi="ar-SA"/>
        </w:rPr>
        <w:t>按照报名要求进行注册、选择应聘岗位、填写信息并上传相关资料。</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Times New Roman" w:eastAsia="仿宋_GB2312"/>
          <w:color w:val="000000" w:themeColor="text1"/>
          <w:sz w:val="32"/>
          <w:szCs w:val="32"/>
          <w14:textFill>
            <w14:solidFill>
              <w14:schemeClr w14:val="tx1"/>
            </w14:solidFill>
          </w14:textFill>
        </w:rPr>
        <w:t>2.上传资料包括但不限于：本人近期免冠电子证件照，有效期内二代身份证正反两面扫描件，毕业证，学位证，学信网《教育部学籍（学历）在线验证报告》（留学回国人员需上传教育部留学服务中心国外学历学位认证书），</w:t>
      </w:r>
      <w:r>
        <w:rPr>
          <w:rFonts w:hint="eastAsia" w:ascii="仿宋_GB2312" w:hAnsi="仿宋_GB2312" w:eastAsia="仿宋_GB2312" w:cs="仿宋_GB2312"/>
          <w:kern w:val="0"/>
          <w:sz w:val="32"/>
          <w:szCs w:val="32"/>
          <w:lang w:val="en-US" w:eastAsia="zh-CN" w:bidi="ar"/>
        </w:rPr>
        <w:t>相关资质证书以及</w:t>
      </w:r>
      <w:r>
        <w:rPr>
          <w:rFonts w:hint="eastAsia" w:ascii="仿宋_GB2312" w:hAnsi="仿宋_GB2312" w:eastAsia="仿宋_GB2312" w:cs="仿宋_GB2312"/>
          <w:b w:val="0"/>
          <w:bCs w:val="0"/>
          <w:kern w:val="2"/>
          <w:sz w:val="32"/>
          <w:szCs w:val="32"/>
          <w:lang w:val="en-US" w:eastAsia="zh-CN" w:bidi="ar-SA"/>
        </w:rPr>
        <w:t>其他需要上传的证明材料等</w:t>
      </w:r>
      <w:r>
        <w:rPr>
          <w:rFonts w:hint="eastAsia" w:ascii="仿宋_GB2312" w:hAnsi="仿宋_GB2312" w:eastAsia="仿宋_GB2312" w:cs="仿宋_GB2312"/>
          <w:kern w:val="0"/>
          <w:sz w:val="32"/>
          <w:szCs w:val="32"/>
          <w:lang w:val="en-US" w:eastAsia="zh-CN" w:bidi="ar"/>
        </w:rPr>
        <w:t>。</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3.报名时应当仔细阅读《诚信应聘承诺书》（附件2），下载《诚信应聘承诺书》签名后拍照上传至报名系统。</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4.应聘人员只能选择一个岗位报名，请慎重选择。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val="en-US" w:eastAsia="zh-CN" w:bidi="ar"/>
        </w:rPr>
        <w:t>5.应聘人员所填报、提交的所有信息应当真实、准确、完整、有效，不符合应聘条件的请勿报名。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6.根据应聘条件对应聘者进行资格审查，资格审查合格的进入笔试或面试环节。未按要求上传材料、提交信息不完整、不真实、不符合招聘岗位资格条件以及不符合回避要求的均视为不合格。</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b w:val="0"/>
          <w:bCs w:val="0"/>
          <w:kern w:val="2"/>
          <w:sz w:val="32"/>
          <w:szCs w:val="32"/>
          <w:highlight w:val="yellow"/>
          <w:lang w:val="en-US" w:eastAsia="zh-CN" w:bidi="ar-SA"/>
        </w:rPr>
        <w:t>7.根据招聘岗位计划数不同，分别设置笔试开考比例，工程技术岗和公路工程技术岗招聘计划人数与资格审查合格人数比例高于1:5时，增加笔试环节，根据笔试成绩，由高到低排序，按照1:5的比例确定面试人选，比例内末位笔试成绩并列者均进入面试；比例不高于1:5的，不进行笔试，全部进入面试。其他招聘岗位按照1:10的比例，按照上述原则确定是否组织笔试以及进入面试人选。</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b w:val="0"/>
          <w:bCs w:val="0"/>
          <w:kern w:val="2"/>
          <w:sz w:val="32"/>
          <w:szCs w:val="32"/>
          <w:highlight w:val="none"/>
          <w:lang w:val="en-US" w:eastAsia="zh-CN" w:bidi="ar-SA"/>
        </w:rPr>
        <w:t>8.笔试采取闭卷方式进行，考试时间共90分钟，满分为100分，笔试内容为公共基础知识、专业技术知识等。笔试成绩仅作为各岗位进入下一环节的资格条件，不计入最终成绩。笔试具体地点、考试时间和有关要求将以手机短信方式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1"/>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面</w:t>
      </w:r>
      <w:r>
        <w:rPr>
          <w:rFonts w:hint="eastAsia" w:ascii="楷体_GB2312" w:hAnsi="楷体_GB2312" w:eastAsia="楷体_GB2312" w:cs="楷体_GB2312"/>
          <w:sz w:val="32"/>
          <w:szCs w:val="32"/>
          <w:highlight w:val="none"/>
          <w:lang w:eastAsia="zh-CN"/>
        </w:rPr>
        <w:t>试</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面试时间、地点、方式和</w:t>
      </w:r>
      <w:r>
        <w:rPr>
          <w:rFonts w:hint="eastAsia" w:ascii="仿宋_GB2312" w:hAnsi="仿宋_GB2312" w:eastAsia="仿宋_GB2312" w:cs="仿宋_GB2312"/>
          <w:color w:val="000000"/>
          <w:sz w:val="32"/>
          <w:szCs w:val="32"/>
          <w:highlight w:val="none"/>
        </w:rPr>
        <w:t>具体安排将以手机短信</w:t>
      </w:r>
      <w:r>
        <w:rPr>
          <w:rFonts w:hint="eastAsia" w:ascii="仿宋_GB2312" w:hAnsi="仿宋_GB2312" w:eastAsia="仿宋_GB2312" w:cs="仿宋_GB2312"/>
          <w:color w:val="000000"/>
          <w:sz w:val="32"/>
          <w:szCs w:val="32"/>
          <w:highlight w:val="none"/>
          <w:lang w:val="en-US" w:eastAsia="zh-CN"/>
        </w:rPr>
        <w:t>方式</w:t>
      </w:r>
      <w:r>
        <w:rPr>
          <w:rFonts w:hint="eastAsia" w:ascii="仿宋_GB2312" w:hAnsi="仿宋_GB2312" w:eastAsia="仿宋_GB2312" w:cs="仿宋_GB2312"/>
          <w:color w:val="000000"/>
          <w:sz w:val="32"/>
          <w:szCs w:val="32"/>
          <w:highlight w:val="none"/>
        </w:rPr>
        <w:t>通知进入</w:t>
      </w:r>
      <w:r>
        <w:rPr>
          <w:rFonts w:hint="eastAsia" w:ascii="仿宋_GB2312" w:hAnsi="仿宋_GB2312" w:eastAsia="仿宋_GB2312" w:cs="仿宋_GB2312"/>
          <w:color w:val="000000"/>
          <w:sz w:val="32"/>
          <w:szCs w:val="32"/>
          <w:highlight w:val="none"/>
          <w:lang w:val="en-US" w:eastAsia="zh-CN"/>
        </w:rPr>
        <w:t>面试的人选</w:t>
      </w:r>
      <w:r>
        <w:rPr>
          <w:rFonts w:hint="eastAsia" w:ascii="仿宋_GB2312" w:hAnsi="仿宋_GB2312" w:eastAsia="仿宋_GB2312" w:cs="仿宋_GB2312"/>
          <w:color w:val="000000"/>
          <w:sz w:val="32"/>
          <w:szCs w:val="32"/>
          <w:highlight w:val="none"/>
          <w:lang w:eastAsia="zh-CN"/>
        </w:rPr>
        <w:t>。</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1.面试为线下面试，应聘者务必于面试前30分钟凭身份证（或临时身份证）入场。迟到者不得进入考场。</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2.面试采取半结构化面试方式进行，满分100分，时间30分钟。</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面试</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成绩分岗位从高到低顺序排列，按</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招聘岗位计划人数1:1</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比例确定</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进入体检环节</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人选。</w:t>
      </w:r>
      <w:r>
        <w:rPr>
          <w:rFonts w:hint="default" w:ascii="仿宋_GB2312" w:hAnsi="仿宋_GB2312" w:eastAsia="仿宋_GB2312" w:cs="仿宋_GB2312"/>
          <w:b w:val="0"/>
          <w:bCs w:val="0"/>
          <w:kern w:val="2"/>
          <w:sz w:val="32"/>
          <w:szCs w:val="32"/>
          <w:highlight w:val="none"/>
          <w:lang w:val="en-US" w:eastAsia="zh-CN" w:bidi="ar-SA"/>
        </w:rPr>
        <w:t>比例内末位</w:t>
      </w:r>
      <w:r>
        <w:rPr>
          <w:rFonts w:hint="eastAsia" w:ascii="仿宋_GB2312" w:hAnsi="仿宋_GB2312" w:eastAsia="仿宋_GB2312" w:cs="仿宋_GB2312"/>
          <w:b w:val="0"/>
          <w:bCs w:val="0"/>
          <w:kern w:val="2"/>
          <w:sz w:val="32"/>
          <w:szCs w:val="32"/>
          <w:highlight w:val="none"/>
          <w:lang w:val="en-US" w:eastAsia="zh-CN" w:bidi="ar-SA"/>
        </w:rPr>
        <w:t>面试</w:t>
      </w:r>
      <w:r>
        <w:rPr>
          <w:rFonts w:hint="default" w:ascii="仿宋_GB2312" w:hAnsi="仿宋_GB2312" w:eastAsia="仿宋_GB2312" w:cs="仿宋_GB2312"/>
          <w:b w:val="0"/>
          <w:bCs w:val="0"/>
          <w:kern w:val="2"/>
          <w:sz w:val="32"/>
          <w:szCs w:val="32"/>
          <w:highlight w:val="none"/>
          <w:lang w:val="en-US" w:eastAsia="zh-CN" w:bidi="ar-SA"/>
        </w:rPr>
        <w:t>成绩并列</w:t>
      </w:r>
      <w:r>
        <w:rPr>
          <w:rFonts w:hint="eastAsia" w:ascii="仿宋_GB2312" w:hAnsi="仿宋_GB2312" w:eastAsia="仿宋_GB2312" w:cs="仿宋_GB2312"/>
          <w:b w:val="0"/>
          <w:bCs w:val="0"/>
          <w:kern w:val="2"/>
          <w:sz w:val="32"/>
          <w:szCs w:val="32"/>
          <w:highlight w:val="none"/>
          <w:lang w:val="en-US" w:eastAsia="zh-CN" w:bidi="ar-SA"/>
        </w:rPr>
        <w:t>者</w:t>
      </w:r>
      <w:r>
        <w:rPr>
          <w:rFonts w:hint="default" w:ascii="仿宋_GB2312" w:hAnsi="仿宋_GB2312" w:eastAsia="仿宋_GB2312" w:cs="仿宋_GB2312"/>
          <w:b w:val="0"/>
          <w:bCs w:val="0"/>
          <w:kern w:val="2"/>
          <w:sz w:val="32"/>
          <w:szCs w:val="32"/>
          <w:highlight w:val="none"/>
          <w:lang w:val="en-US" w:eastAsia="zh-CN" w:bidi="ar-SA"/>
        </w:rPr>
        <w:t>，按以下顺序确定</w:t>
      </w:r>
      <w:r>
        <w:rPr>
          <w:rFonts w:hint="eastAsia" w:ascii="仿宋_GB2312" w:hAnsi="仿宋_GB2312" w:eastAsia="仿宋_GB2312" w:cs="仿宋_GB2312"/>
          <w:b w:val="0"/>
          <w:bCs w:val="0"/>
          <w:kern w:val="2"/>
          <w:sz w:val="32"/>
          <w:szCs w:val="32"/>
          <w:highlight w:val="none"/>
          <w:lang w:val="en-US" w:eastAsia="zh-CN" w:bidi="ar-SA"/>
        </w:rPr>
        <w:t>体检</w:t>
      </w:r>
      <w:r>
        <w:rPr>
          <w:rFonts w:hint="default" w:ascii="仿宋_GB2312" w:hAnsi="仿宋_GB2312" w:eastAsia="仿宋_GB2312" w:cs="仿宋_GB2312"/>
          <w:b w:val="0"/>
          <w:bCs w:val="0"/>
          <w:kern w:val="2"/>
          <w:sz w:val="32"/>
          <w:szCs w:val="32"/>
          <w:highlight w:val="none"/>
          <w:lang w:val="en-US" w:eastAsia="zh-CN" w:bidi="ar-SA"/>
        </w:rPr>
        <w:t>人选：具有相关工作经历或经验较长者，学历（学位）较高者。</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3.如有应聘人员在面试前放弃参加则不再进行递补。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4.面试成绩低于70分不得进入下一环节。</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（四）体检</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体检安排以手机短信或电话方式通知本人。体检不符合的不得进入背景调查环节。应聘者对体检结果有疑问的，可以按照规定提出复检。体检结果以复检结论为准。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（五）背景调查</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背景调查内容包括但不限于身份信息、学历信息、家庭情况、工作经历、工作业绩、奖惩情况、违纪违法和犯罪记录等。</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1"/>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（六）公示</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拟聘用人员将在河北高速公路集团有限公司官网进行公示，公示期为7个工作日。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lang w:val="en-US" w:eastAsia="zh-CN"/>
        </w:rPr>
        <w:t>聘用</w:t>
      </w:r>
      <w:r>
        <w:rPr>
          <w:rFonts w:hint="eastAsia" w:ascii="楷体_GB2312" w:hAnsi="楷体_GB2312" w:eastAsia="楷体_GB2312" w:cs="楷体_GB2312"/>
          <w:sz w:val="32"/>
          <w:szCs w:val="32"/>
          <w:highlight w:val="none"/>
          <w:lang w:eastAsia="zh-CN"/>
        </w:rPr>
        <w:t>方式及薪酬待遇</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公示期满无异议或反映问题不影响聘用的，将依法</w:t>
      </w:r>
      <w:r>
        <w:rPr>
          <w:rFonts w:hint="eastAsia" w:ascii="仿宋_GB2312" w:hAnsi="仿宋_GB2312" w:eastAsia="仿宋_GB2312" w:cs="仿宋_GB2312"/>
          <w:b w:val="0"/>
          <w:bCs w:val="0"/>
          <w:kern w:val="2"/>
          <w:sz w:val="32"/>
          <w:szCs w:val="32"/>
          <w:lang w:val="en-US" w:eastAsia="zh-CN" w:bidi="ar-SA"/>
        </w:rPr>
        <w:t>签订劳动合同，约定试用期。薪酬待遇按恒质集团薪酬管理办法执行，按照国家规定缴纳社会保险，发放福利待遇。</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lang w:val="en-US" w:eastAsia="zh-CN"/>
        </w:rPr>
        <w:t>四、</w:t>
      </w:r>
      <w:r>
        <w:rPr>
          <w:rFonts w:hint="eastAsia" w:ascii="黑体" w:hAnsi="黑体" w:eastAsia="黑体" w:cs="仿宋_GB2312"/>
          <w:color w:val="000000"/>
          <w:sz w:val="32"/>
          <w:szCs w:val="32"/>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（一）资格审查贯穿招聘全过程。应聘人员有下列情形之一的，取消应聘资格和</w:t>
      </w:r>
      <w:r>
        <w:rPr>
          <w:rFonts w:hint="eastAsia" w:ascii="仿宋_GB2312" w:hAnsi="仿宋_GB2312" w:eastAsia="仿宋_GB2312" w:cs="仿宋_GB2312"/>
          <w:i w:val="0"/>
          <w:iCs w:val="0"/>
          <w:sz w:val="32"/>
          <w:szCs w:val="32"/>
          <w:highlight w:val="none"/>
          <w:u w:val="none"/>
          <w:lang w:val="en-US" w:eastAsia="zh-CN"/>
        </w:rPr>
        <w:t>聘</w:t>
      </w:r>
      <w:r>
        <w:rPr>
          <w:rFonts w:hint="default" w:ascii="仿宋_GB2312" w:hAnsi="仿宋_GB2312" w:eastAsia="仿宋_GB2312" w:cs="仿宋_GB2312"/>
          <w:i w:val="0"/>
          <w:iCs w:val="0"/>
          <w:sz w:val="32"/>
          <w:szCs w:val="32"/>
          <w:highlight w:val="none"/>
          <w:u w:val="none"/>
          <w:lang w:val="en-US" w:eastAsia="zh-CN"/>
        </w:rPr>
        <w:t>用资格，并由个人承担一切责任：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1.提供的应聘资料存在弄虚作假的</w:t>
      </w:r>
      <w:r>
        <w:rPr>
          <w:rFonts w:hint="eastAsia" w:ascii="仿宋_GB2312" w:hAnsi="仿宋_GB2312" w:eastAsia="仿宋_GB2312" w:cs="仿宋_GB2312"/>
          <w:i w:val="0"/>
          <w:iCs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2.笔试、面试过程中存在作弊行为的</w:t>
      </w:r>
      <w:r>
        <w:rPr>
          <w:rFonts w:hint="eastAsia" w:ascii="仿宋_GB2312" w:hAnsi="仿宋_GB2312" w:eastAsia="仿宋_GB2312" w:cs="仿宋_GB2312"/>
          <w:i w:val="0"/>
          <w:iCs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3.经核实不符合报考资格条件、不符合岗位要求</w:t>
      </w:r>
      <w:r>
        <w:rPr>
          <w:rFonts w:hint="eastAsia" w:ascii="仿宋_GB2312" w:hAnsi="仿宋_GB2312" w:eastAsia="仿宋_GB2312" w:cs="仿宋_GB2312"/>
          <w:i w:val="0"/>
          <w:iCs w:val="0"/>
          <w:sz w:val="32"/>
          <w:szCs w:val="32"/>
          <w:highlight w:val="none"/>
          <w:u w:val="none"/>
          <w:lang w:val="en-US" w:eastAsia="zh-CN"/>
        </w:rPr>
        <w:t>或</w:t>
      </w:r>
      <w:r>
        <w:rPr>
          <w:rFonts w:hint="default" w:ascii="仿宋_GB2312" w:hAnsi="仿宋_GB2312" w:eastAsia="仿宋_GB2312" w:cs="仿宋_GB2312"/>
          <w:i w:val="0"/>
          <w:iCs w:val="0"/>
          <w:sz w:val="32"/>
          <w:szCs w:val="32"/>
          <w:highlight w:val="none"/>
          <w:u w:val="none"/>
          <w:lang w:val="en-US" w:eastAsia="zh-CN"/>
        </w:rPr>
        <w:t>不符合回避要求的</w:t>
      </w:r>
      <w:r>
        <w:rPr>
          <w:rFonts w:hint="eastAsia" w:ascii="仿宋_GB2312" w:hAnsi="仿宋_GB2312" w:eastAsia="仿宋_GB2312" w:cs="仿宋_GB2312"/>
          <w:i w:val="0"/>
          <w:iCs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lang w:val="en-US" w:eastAsia="zh-CN"/>
        </w:rPr>
      </w:pPr>
      <w:r>
        <w:rPr>
          <w:rFonts w:hint="default" w:ascii="仿宋_GB2312" w:hAnsi="仿宋_GB2312" w:eastAsia="仿宋_GB2312" w:cs="仿宋_GB2312"/>
          <w:i w:val="0"/>
          <w:iCs w:val="0"/>
          <w:sz w:val="32"/>
          <w:szCs w:val="32"/>
          <w:highlight w:val="none"/>
          <w:u w:val="none"/>
          <w:lang w:val="en-US" w:eastAsia="zh-CN"/>
        </w:rPr>
        <w:t>4.无法提供</w:t>
      </w:r>
      <w:r>
        <w:rPr>
          <w:rFonts w:hint="eastAsia" w:ascii="仿宋_GB2312" w:hAnsi="仿宋_GB2312" w:eastAsia="仿宋_GB2312" w:cs="仿宋_GB2312"/>
          <w:i w:val="0"/>
          <w:iCs w:val="0"/>
          <w:sz w:val="32"/>
          <w:szCs w:val="32"/>
          <w:highlight w:val="none"/>
          <w:u w:val="none"/>
          <w:lang w:val="en-US" w:eastAsia="zh-CN"/>
        </w:rPr>
        <w:t>学历</w:t>
      </w:r>
      <w:r>
        <w:rPr>
          <w:rFonts w:hint="default" w:ascii="仿宋_GB2312" w:hAnsi="仿宋_GB2312" w:eastAsia="仿宋_GB2312" w:cs="仿宋_GB2312"/>
          <w:i w:val="0"/>
          <w:iCs w:val="0"/>
          <w:sz w:val="32"/>
          <w:szCs w:val="32"/>
          <w:highlight w:val="none"/>
          <w:u w:val="none"/>
          <w:lang w:val="en-US" w:eastAsia="zh-CN"/>
        </w:rPr>
        <w:t>、学位</w:t>
      </w:r>
      <w:r>
        <w:rPr>
          <w:rFonts w:hint="eastAsia" w:ascii="仿宋_GB2312" w:hAnsi="仿宋_GB2312" w:eastAsia="仿宋_GB2312" w:cs="仿宋_GB2312"/>
          <w:i w:val="0"/>
          <w:iCs w:val="0"/>
          <w:sz w:val="32"/>
          <w:szCs w:val="32"/>
          <w:highlight w:val="none"/>
          <w:u w:val="none"/>
          <w:lang w:val="en-US" w:eastAsia="zh-CN"/>
        </w:rPr>
        <w:t>证书、资历或资格证件的；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sz w:val="32"/>
          <w:szCs w:val="32"/>
          <w:highlight w:val="none"/>
          <w:u w:val="none"/>
          <w:lang w:val="en-US" w:eastAsia="zh-CN"/>
        </w:rPr>
      </w:pPr>
      <w:r>
        <w:rPr>
          <w:rFonts w:hint="eastAsia" w:ascii="仿宋_GB2312" w:hAnsi="仿宋_GB2312" w:eastAsia="仿宋_GB2312" w:cs="仿宋_GB2312"/>
          <w:i w:val="0"/>
          <w:iCs w:val="0"/>
          <w:sz w:val="32"/>
          <w:szCs w:val="32"/>
          <w:highlight w:val="none"/>
          <w:u w:val="none"/>
          <w:lang w:val="en-US" w:eastAsia="zh-CN"/>
        </w:rPr>
        <w:t>5.不服从招聘安排，未按有关要求履行招聘程序的；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lang w:val="en-US" w:eastAsia="zh-CN"/>
        </w:rPr>
      </w:pPr>
      <w:r>
        <w:rPr>
          <w:rFonts w:hint="eastAsia" w:ascii="仿宋_GB2312" w:hAnsi="仿宋_GB2312" w:eastAsia="仿宋_GB2312" w:cs="仿宋_GB2312"/>
          <w:i w:val="0"/>
          <w:iCs w:val="0"/>
          <w:sz w:val="32"/>
          <w:szCs w:val="32"/>
          <w:highlight w:val="none"/>
          <w:u w:val="none"/>
          <w:lang w:val="en-US" w:eastAsia="zh-CN"/>
        </w:rPr>
        <w:t>6</w:t>
      </w:r>
      <w:r>
        <w:rPr>
          <w:rFonts w:hint="default" w:ascii="仿宋_GB2312" w:hAnsi="仿宋_GB2312" w:eastAsia="仿宋_GB2312" w:cs="仿宋_GB2312"/>
          <w:i w:val="0"/>
          <w:iCs w:val="0"/>
          <w:sz w:val="32"/>
          <w:szCs w:val="32"/>
          <w:highlight w:val="none"/>
          <w:u w:val="none"/>
          <w:lang w:val="en-US" w:eastAsia="zh-CN"/>
        </w:rPr>
        <w:t>.在招聘过程中存在其他影响招聘工作行为的</w:t>
      </w:r>
      <w:r>
        <w:rPr>
          <w:rFonts w:hint="eastAsia" w:ascii="仿宋_GB2312" w:hAnsi="仿宋_GB2312" w:eastAsia="仿宋_GB2312" w:cs="仿宋_GB2312"/>
          <w:i w:val="0"/>
          <w:iCs w:val="0"/>
          <w:sz w:val="32"/>
          <w:szCs w:val="32"/>
          <w:highlight w:val="none"/>
          <w:u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（二）本次招聘不收取任何费用，不指定任何辅导资料，不委托任何机构举办考试辅导培训班，谨防上当受骗。</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color w:val="000000"/>
          <w:sz w:val="32"/>
          <w:szCs w:val="32"/>
          <w:lang w:val="en-US" w:eastAsia="zh-CN"/>
        </w:rPr>
        <w:t>恒质集团</w:t>
      </w:r>
      <w:r>
        <w:rPr>
          <w:rFonts w:hint="eastAsia" w:ascii="仿宋_GB2312" w:hAnsi="Times New Roman" w:eastAsia="仿宋_GB2312"/>
          <w:color w:val="000000" w:themeColor="text1"/>
          <w:sz w:val="32"/>
          <w:szCs w:val="32"/>
          <w14:textFill>
            <w14:solidFill>
              <w14:schemeClr w14:val="tx1"/>
            </w14:solidFill>
          </w14:textFill>
        </w:rPr>
        <w:t>有权根据岗位需求变化及报名情况等因素，调整、取消或终止个别岗位的招</w:t>
      </w:r>
      <w:bookmarkStart w:id="0" w:name="_GoBack"/>
      <w:bookmarkEnd w:id="0"/>
      <w:r>
        <w:rPr>
          <w:rFonts w:hint="eastAsia" w:ascii="仿宋_GB2312" w:hAnsi="Times New Roman" w:eastAsia="仿宋_GB2312"/>
          <w:color w:val="000000" w:themeColor="text1"/>
          <w:sz w:val="32"/>
          <w:szCs w:val="32"/>
          <w14:textFill>
            <w14:solidFill>
              <w14:schemeClr w14:val="tx1"/>
            </w14:solidFill>
          </w14:textFill>
        </w:rPr>
        <w:t>聘工作，并对本次招聘享有最终解释权。</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五</w:t>
      </w:r>
      <w:r>
        <w:rPr>
          <w:rFonts w:hint="eastAsia" w:ascii="仿宋_GB2312" w:hAnsi="Times New Roman" w:eastAsia="仿宋_GB2312"/>
          <w:color w:val="000000" w:themeColor="text1"/>
          <w:sz w:val="32"/>
          <w:szCs w:val="32"/>
          <w14:textFill>
            <w14:solidFill>
              <w14:schemeClr w14:val="tx1"/>
            </w14:solidFill>
          </w14:textFill>
        </w:rPr>
        <w:t>）咨询电话：</w:t>
      </w:r>
      <w:r>
        <w:rPr>
          <w:rFonts w:hint="eastAsia" w:ascii="仿宋_GB2312" w:hAnsi="Times New Roman" w:eastAsia="仿宋_GB2312"/>
          <w:color w:val="000000" w:themeColor="text1"/>
          <w:sz w:val="32"/>
          <w:szCs w:val="32"/>
          <w:highlight w:val="none"/>
          <w14:textFill>
            <w14:solidFill>
              <w14:schemeClr w14:val="tx1"/>
            </w14:solidFill>
          </w14:textFill>
        </w:rPr>
        <w:t>031</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0</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5800189</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咨询时间：工作日8:30-17:30。报名系统技术支持电话：</w:t>
      </w:r>
      <w:r>
        <w:rPr>
          <w:rFonts w:hint="eastAsia" w:ascii="仿宋_GB2312" w:hAnsi="仿宋_GB2312" w:eastAsia="仿宋_GB2312" w:cs="仿宋_GB2312"/>
          <w:i w:val="0"/>
          <w:iCs w:val="0"/>
          <w:sz w:val="32"/>
          <w:szCs w:val="32"/>
          <w:highlight w:val="yellow"/>
          <w:u w:val="none"/>
          <w:lang w:val="en-US" w:eastAsia="zh-CN"/>
        </w:rPr>
        <w:t>18533082158</w:t>
      </w:r>
      <w:r>
        <w:rPr>
          <w:rFonts w:hint="eastAsia" w:ascii="仿宋_GB2312" w:hAnsi="仿宋_GB2312" w:eastAsia="仿宋_GB2312" w:cs="仿宋_GB2312"/>
          <w:b w:val="0"/>
          <w:bCs w:val="0"/>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spacing w:beforeAutospacing="0" w:afterAutospacing="0" w:line="580" w:lineRule="exact"/>
        <w:ind w:left="2238" w:leftChars="304" w:hanging="1600" w:hangingChars="500"/>
        <w:jc w:val="both"/>
        <w:textAlignment w:val="auto"/>
        <w:rPr>
          <w:rFonts w:hint="eastAsia" w:ascii="仿宋_GB2312" w:hAnsi="仿宋" w:eastAsia="仿宋_GB2312" w:cs="仿宋"/>
          <w:kern w:val="0"/>
          <w:sz w:val="32"/>
          <w:szCs w:val="32"/>
        </w:rPr>
      </w:pPr>
    </w:p>
    <w:p>
      <w:pPr>
        <w:pStyle w:val="9"/>
        <w:keepNext w:val="0"/>
        <w:keepLines w:val="0"/>
        <w:pageBreakBefore w:val="0"/>
        <w:widowControl w:val="0"/>
        <w:kinsoku/>
        <w:wordWrap/>
        <w:overflowPunct/>
        <w:topLinePunct w:val="0"/>
        <w:autoSpaceDE/>
        <w:autoSpaceDN/>
        <w:bidi w:val="0"/>
        <w:spacing w:beforeAutospacing="0" w:afterAutospacing="0" w:line="600" w:lineRule="exact"/>
        <w:ind w:left="2238" w:leftChars="304" w:hanging="1600" w:hangingChars="5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 w:eastAsia="仿宋_GB2312" w:cs="仿宋"/>
          <w:kern w:val="0"/>
          <w:sz w:val="32"/>
          <w:szCs w:val="32"/>
        </w:rPr>
        <w:t>附件：</w:t>
      </w:r>
      <w:r>
        <w:rPr>
          <w:rFonts w:hint="eastAsia" w:ascii="仿宋_GB2312" w:hAnsi="仿宋_GB2312" w:eastAsia="仿宋_GB2312" w:cs="仿宋_GB2312"/>
          <w:b w:val="0"/>
          <w:bCs w:val="0"/>
          <w:color w:val="auto"/>
          <w:kern w:val="2"/>
          <w:sz w:val="32"/>
          <w:szCs w:val="32"/>
          <w:u w:val="none"/>
          <w:lang w:val="en-US" w:eastAsia="zh-CN" w:bidi="ar-SA"/>
        </w:rPr>
        <w:t>1.河北高速恒质公路建设集团有限公司2024年</w:t>
      </w:r>
    </w:p>
    <w:p>
      <w:pPr>
        <w:pStyle w:val="9"/>
        <w:keepNext w:val="0"/>
        <w:keepLines w:val="0"/>
        <w:pageBreakBefore w:val="0"/>
        <w:widowControl w:val="0"/>
        <w:kinsoku/>
        <w:wordWrap/>
        <w:overflowPunct/>
        <w:topLinePunct w:val="0"/>
        <w:autoSpaceDE/>
        <w:autoSpaceDN/>
        <w:bidi w:val="0"/>
        <w:spacing w:beforeAutospacing="0" w:afterAutospacing="0" w:line="600" w:lineRule="exact"/>
        <w:ind w:left="2235" w:leftChars="912" w:hanging="320" w:hangingChars="1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社会招聘需求信息表</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"http://oss.nuoyoukao.com/deb725a6452e44d7aeeb646421f90122.xlsx"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ind w:firstLine="1600" w:firstLineChars="500"/>
        <w:textAlignment w:val="auto"/>
        <w:rPr>
          <w:rFonts w:hint="eastAsia" w:ascii="仿宋_GB2312" w:hAnsi="仿宋" w:eastAsia="仿宋_GB2312" w:cs="仿宋"/>
          <w:kern w:val="0"/>
          <w:sz w:val="32"/>
          <w:szCs w:val="32"/>
        </w:rPr>
      </w:pPr>
      <w:r>
        <w:rPr>
          <w:rFonts w:hint="eastAsia" w:ascii="仿宋_GB2312" w:hAnsi="仿宋" w:eastAsia="仿宋_GB2312" w:cs="仿宋"/>
          <w:color w:val="auto"/>
          <w:kern w:val="0"/>
          <w:sz w:val="32"/>
          <w:szCs w:val="32"/>
          <w:u w:val="none"/>
        </w:rPr>
        <w:t>2.诚信应聘承诺书</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80" w:lineRule="exact"/>
        <w:ind w:left="1569" w:leftChars="0"/>
        <w:textAlignment w:val="auto"/>
        <w:rPr>
          <w:sz w:val="32"/>
          <w:szCs w:val="32"/>
        </w:rPr>
      </w:pP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80" w:lineRule="exact"/>
        <w:ind w:left="1569" w:leftChars="0"/>
        <w:textAlignment w:val="auto"/>
        <w:rPr>
          <w:rFonts w:ascii="仿宋_GB2312" w:hAnsi="仿宋" w:eastAsia="仿宋_GB2312" w:cs="仿宋"/>
          <w:kern w:val="0"/>
          <w:sz w:val="32"/>
          <w:szCs w:val="32"/>
        </w:rPr>
      </w:pPr>
      <w:r>
        <w:rPr>
          <w:sz w:val="32"/>
          <w:szCs w:val="32"/>
        </w:rPr>
        <w:fldChar w:fldCharType="begin"/>
      </w:r>
      <w:r>
        <w:rPr>
          <w:sz w:val="32"/>
          <w:szCs w:val="32"/>
        </w:rPr>
        <w:instrText xml:space="preserve"> HYPERLINK "http://oss.nuoyoukao.com/a93a20a623284369818cafac6b248105.docx" </w:instrText>
      </w:r>
      <w:r>
        <w:rPr>
          <w:sz w:val="32"/>
          <w:szCs w:val="32"/>
        </w:rPr>
        <w:fldChar w:fldCharType="separate"/>
      </w:r>
      <w:r>
        <w:rPr>
          <w:sz w:val="32"/>
          <w:szCs w:val="32"/>
        </w:rPr>
        <w:fldChar w:fldCharType="end"/>
      </w:r>
      <w:r>
        <w:rPr>
          <w:sz w:val="32"/>
          <w:szCs w:val="32"/>
        </w:rPr>
        <w:fldChar w:fldCharType="begin"/>
      </w:r>
      <w:r>
        <w:rPr>
          <w:sz w:val="32"/>
          <w:szCs w:val="32"/>
        </w:rPr>
        <w:instrText xml:space="preserve"> HYPERLINK "http://oss.nuoyoukao.com/a93a20a623284369818cafac6b248105.docx" </w:instrText>
      </w:r>
      <w:r>
        <w:rPr>
          <w:sz w:val="32"/>
          <w:szCs w:val="32"/>
        </w:rPr>
        <w:fldChar w:fldCharType="separate"/>
      </w:r>
      <w:r>
        <w:rPr>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河北高速恒质公路建设集团有限公司</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color w:val="000000" w:themeColor="text1"/>
          <w:sz w:val="32"/>
          <w:szCs w:val="32"/>
          <w14:textFill>
            <w14:solidFill>
              <w14:schemeClr w14:val="tx1"/>
            </w14:solidFill>
          </w14:textFill>
        </w:rPr>
      </w:pP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202</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4</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年</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11</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月</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28</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40183-909D-4B92-842C-EFF4E4F69A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E0A86C-B741-4457-BB4A-4C69BF8F2F85}"/>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6980A516-B469-4BE2-AE75-936255494045}"/>
  </w:font>
  <w:font w:name="方正小标宋_GBK">
    <w:panose1 w:val="03000509000000000000"/>
    <w:charset w:val="86"/>
    <w:family w:val="script"/>
    <w:pitch w:val="default"/>
    <w:sig w:usb0="00000001" w:usb1="080E0000" w:usb2="00000000" w:usb3="00000000" w:csb0="00040000" w:csb1="00000000"/>
    <w:embedRegular r:id="rId4" w:fontKey="{2CF9011D-B81A-42B3-9090-25E15DD04BD9}"/>
  </w:font>
  <w:font w:name="楷体_GB2312">
    <w:panose1 w:val="02010609030101010101"/>
    <w:charset w:val="86"/>
    <w:family w:val="auto"/>
    <w:pitch w:val="default"/>
    <w:sig w:usb0="00000001" w:usb1="080E0000" w:usb2="00000000" w:usb3="00000000" w:csb0="00040000" w:csb1="00000000"/>
    <w:embedRegular r:id="rId5" w:fontKey="{17A9AF54-0C16-434C-B9B7-E23B90F1B3D7}"/>
  </w:font>
  <w:font w:name="Helvetica">
    <w:altName w:val="Arial"/>
    <w:panose1 w:val="020B0504020202030204"/>
    <w:charset w:val="00"/>
    <w:family w:val="swiss"/>
    <w:pitch w:val="default"/>
    <w:sig w:usb0="00000000" w:usb1="00000000" w:usb2="00000000" w:usb3="00000000" w:csb0="00000093" w:csb1="00000000"/>
    <w:embedRegular r:id="rId6" w:fontKey="{A21A416C-6F2F-49A0-B8D2-470BBDE55822}"/>
  </w:font>
  <w:font w:name="仿宋">
    <w:panose1 w:val="02010609060101010101"/>
    <w:charset w:val="86"/>
    <w:family w:val="modern"/>
    <w:pitch w:val="default"/>
    <w:sig w:usb0="800002BF" w:usb1="38CF7CFA" w:usb2="00000016" w:usb3="00000000" w:csb0="00040001" w:csb1="00000000"/>
    <w:embedRegular r:id="rId7" w:fontKey="{DC6EA6B7-A6ED-442D-9737-18F4562BA7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ZWMxYTEyNTNlMzMxOWY5NDM5M2RkZmM2Yzc5NWEifQ=="/>
  </w:docVars>
  <w:rsids>
    <w:rsidRoot w:val="006B649E"/>
    <w:rsid w:val="00194C03"/>
    <w:rsid w:val="00226081"/>
    <w:rsid w:val="00382B7F"/>
    <w:rsid w:val="006B649E"/>
    <w:rsid w:val="006B7303"/>
    <w:rsid w:val="0077763F"/>
    <w:rsid w:val="008D5A37"/>
    <w:rsid w:val="008D6BD9"/>
    <w:rsid w:val="009D0EDD"/>
    <w:rsid w:val="00A920E3"/>
    <w:rsid w:val="00B13F4B"/>
    <w:rsid w:val="00B5722C"/>
    <w:rsid w:val="00B94F56"/>
    <w:rsid w:val="01703F0F"/>
    <w:rsid w:val="022168D6"/>
    <w:rsid w:val="02E14AF2"/>
    <w:rsid w:val="04A70542"/>
    <w:rsid w:val="07181283"/>
    <w:rsid w:val="07487065"/>
    <w:rsid w:val="09CF6571"/>
    <w:rsid w:val="0B73220A"/>
    <w:rsid w:val="0D352DDE"/>
    <w:rsid w:val="0D731909"/>
    <w:rsid w:val="0F7855AD"/>
    <w:rsid w:val="0FA65C0D"/>
    <w:rsid w:val="0FCF68E2"/>
    <w:rsid w:val="101254E9"/>
    <w:rsid w:val="1186357B"/>
    <w:rsid w:val="126815D8"/>
    <w:rsid w:val="13173C1E"/>
    <w:rsid w:val="13DE48E9"/>
    <w:rsid w:val="14930823"/>
    <w:rsid w:val="149A777C"/>
    <w:rsid w:val="16465E0D"/>
    <w:rsid w:val="165D4F05"/>
    <w:rsid w:val="17145778"/>
    <w:rsid w:val="17723CF5"/>
    <w:rsid w:val="17735209"/>
    <w:rsid w:val="181B3AF2"/>
    <w:rsid w:val="185A794E"/>
    <w:rsid w:val="18A2395E"/>
    <w:rsid w:val="19024851"/>
    <w:rsid w:val="1AB23A71"/>
    <w:rsid w:val="1C901646"/>
    <w:rsid w:val="1CA70C88"/>
    <w:rsid w:val="1F706DF6"/>
    <w:rsid w:val="1FB35FC6"/>
    <w:rsid w:val="227E06DD"/>
    <w:rsid w:val="22C75C89"/>
    <w:rsid w:val="2322375E"/>
    <w:rsid w:val="25C143F7"/>
    <w:rsid w:val="268A39F8"/>
    <w:rsid w:val="27003572"/>
    <w:rsid w:val="276E51C4"/>
    <w:rsid w:val="280A3CF5"/>
    <w:rsid w:val="28124174"/>
    <w:rsid w:val="2AA44A58"/>
    <w:rsid w:val="2C163734"/>
    <w:rsid w:val="2C415BEC"/>
    <w:rsid w:val="2CC65A28"/>
    <w:rsid w:val="2E2256E2"/>
    <w:rsid w:val="3049057C"/>
    <w:rsid w:val="304E094E"/>
    <w:rsid w:val="34EE129A"/>
    <w:rsid w:val="36DB1ADA"/>
    <w:rsid w:val="36F31241"/>
    <w:rsid w:val="37313B18"/>
    <w:rsid w:val="37661A13"/>
    <w:rsid w:val="37A26C91"/>
    <w:rsid w:val="3B3C7576"/>
    <w:rsid w:val="3ED7281D"/>
    <w:rsid w:val="402919A7"/>
    <w:rsid w:val="420B0BC1"/>
    <w:rsid w:val="421B164C"/>
    <w:rsid w:val="42431DCD"/>
    <w:rsid w:val="43195117"/>
    <w:rsid w:val="45916B5F"/>
    <w:rsid w:val="46FC1A4C"/>
    <w:rsid w:val="4C013661"/>
    <w:rsid w:val="4C44297E"/>
    <w:rsid w:val="4D1928EF"/>
    <w:rsid w:val="4D853737"/>
    <w:rsid w:val="4EAC647C"/>
    <w:rsid w:val="51257DF2"/>
    <w:rsid w:val="51A02ABE"/>
    <w:rsid w:val="52E00474"/>
    <w:rsid w:val="53CE4770"/>
    <w:rsid w:val="541027EC"/>
    <w:rsid w:val="58441A68"/>
    <w:rsid w:val="584F4884"/>
    <w:rsid w:val="598B2FE4"/>
    <w:rsid w:val="5BA30291"/>
    <w:rsid w:val="5BF165AD"/>
    <w:rsid w:val="5E7761A3"/>
    <w:rsid w:val="61DB4A89"/>
    <w:rsid w:val="63A40BA6"/>
    <w:rsid w:val="64F36C57"/>
    <w:rsid w:val="6545060B"/>
    <w:rsid w:val="65DE7D9A"/>
    <w:rsid w:val="66FA2E43"/>
    <w:rsid w:val="672C7CD4"/>
    <w:rsid w:val="6931162B"/>
    <w:rsid w:val="69826DE6"/>
    <w:rsid w:val="6AD83CAD"/>
    <w:rsid w:val="6B443C4F"/>
    <w:rsid w:val="6C486CEE"/>
    <w:rsid w:val="6D8D0DA1"/>
    <w:rsid w:val="6DEC1F6B"/>
    <w:rsid w:val="6E313E22"/>
    <w:rsid w:val="6EA97E5C"/>
    <w:rsid w:val="6FA55958"/>
    <w:rsid w:val="6FC84312"/>
    <w:rsid w:val="6FD01F15"/>
    <w:rsid w:val="708A48C4"/>
    <w:rsid w:val="709160AB"/>
    <w:rsid w:val="741E09A4"/>
    <w:rsid w:val="76D4359C"/>
    <w:rsid w:val="76DB5449"/>
    <w:rsid w:val="779748E5"/>
    <w:rsid w:val="78D837D5"/>
    <w:rsid w:val="7A0643B5"/>
    <w:rsid w:val="7A240F93"/>
    <w:rsid w:val="7A5F44F0"/>
    <w:rsid w:val="7CF34C01"/>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adjustRightInd w:val="0"/>
      <w:snapToGrid w:val="0"/>
      <w:spacing w:after="200"/>
      <w:ind w:firstLine="420" w:firstLineChars="200"/>
      <w:jc w:val="left"/>
    </w:pPr>
    <w:rPr>
      <w:rFonts w:ascii="Tahoma" w:hAnsi="Tahoma" w:eastAsia="宋体" w:cs="Times New Roman"/>
      <w:kern w:val="0"/>
      <w:sz w:val="22"/>
      <w:szCs w:val="22"/>
    </w:rPr>
  </w:style>
  <w:style w:type="paragraph" w:styleId="4">
    <w:name w:val="Body Text"/>
    <w:basedOn w:val="1"/>
    <w:next w:val="1"/>
    <w:autoRedefine/>
    <w:qFormat/>
    <w:uiPriority w:val="0"/>
    <w:pPr>
      <w:spacing w:after="120"/>
    </w:pPr>
  </w:style>
  <w:style w:type="paragraph" w:styleId="5">
    <w:name w:val="Body Text Indent"/>
    <w:basedOn w:val="1"/>
    <w:autoRedefine/>
    <w:unhideWhenUsed/>
    <w:qFormat/>
    <w:uiPriority w:val="99"/>
    <w:pPr>
      <w:spacing w:after="120"/>
      <w:ind w:left="420" w:leftChars="200"/>
    </w:pPr>
    <w:rPr>
      <w:kern w:val="0"/>
      <w:sz w:val="20"/>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4"/>
    <w:autoRedefine/>
    <w:qFormat/>
    <w:uiPriority w:val="0"/>
    <w:pPr>
      <w:spacing w:before="2" w:after="0" w:line="360" w:lineRule="auto"/>
      <w:ind w:left="119" w:firstLine="309" w:firstLineChars="100"/>
      <w:outlineLvl w:val="0"/>
    </w:pPr>
    <w:rPr>
      <w:rFonts w:ascii="仿宋_GB2312" w:hAnsi="仿宋_GB2312" w:eastAsia="仿宋_GB2312" w:cs="仿宋_GB2312"/>
      <w:bCs/>
      <w:color w:val="000000"/>
      <w:kern w:val="28"/>
      <w:sz w:val="32"/>
      <w:szCs w:val="21"/>
      <w:lang w:val="zh-CN" w:bidi="zh-CN"/>
    </w:rPr>
  </w:style>
  <w:style w:type="paragraph" w:styleId="11">
    <w:name w:val="Body Text First Indent 2"/>
    <w:basedOn w:val="5"/>
    <w:autoRedefine/>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14">
    <w:name w:val="Hyperlink"/>
    <w:basedOn w:val="13"/>
    <w:autoRedefine/>
    <w:qFormat/>
    <w:uiPriority w:val="0"/>
    <w:rPr>
      <w:color w:val="0000FF"/>
      <w:u w:val="single"/>
    </w:rPr>
  </w:style>
  <w:style w:type="character" w:customStyle="1" w:styleId="15">
    <w:name w:val="页眉 字符"/>
    <w:basedOn w:val="13"/>
    <w:link w:val="7"/>
    <w:autoRedefine/>
    <w:qFormat/>
    <w:uiPriority w:val="0"/>
    <w:rPr>
      <w:rFonts w:asciiTheme="minorHAnsi" w:hAnsiTheme="minorHAnsi" w:eastAsiaTheme="minorEastAsia" w:cstheme="minorBidi"/>
      <w:kern w:val="2"/>
      <w:sz w:val="18"/>
      <w:szCs w:val="18"/>
    </w:rPr>
  </w:style>
  <w:style w:type="character" w:customStyle="1" w:styleId="16">
    <w:name w:val="页脚 字符"/>
    <w:basedOn w:val="13"/>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2327</Words>
  <Characters>2475</Characters>
  <Lines>25</Lines>
  <Paragraphs>7</Paragraphs>
  <TotalTime>0</TotalTime>
  <ScaleCrop>false</ScaleCrop>
  <LinksUpToDate>false</LinksUpToDate>
  <CharactersWithSpaces>2494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2023-04-18T12:24:00Z</dcterms:created>
  <dc:creator>君君</dc:creator>
  <cp:lastModifiedBy>秦蒙</cp:lastModifiedBy>
  <dcterms:modified xsi:type="dcterms:W3CDTF">2024-11-27T09:20:09Z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EB5CAE4C79884D8F83A31F859EF4F5BA_13</vt:lpwstr>
  </property>
</Properties>
</file>