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360" w:lineRule="auto"/>
        <w:rPr>
          <w:rFonts w:hint="eastAsia" w:ascii="宋体" w:hAnsi="宋体" w:eastAsia="宋体" w:cs="宋体"/>
          <w:b w:val="0"/>
          <w:sz w:val="24"/>
          <w:highlight w:val="none"/>
        </w:rPr>
      </w:pPr>
      <w:r>
        <w:rPr>
          <w:rFonts w:hint="eastAsia" w:ascii="宋体" w:hAnsi="宋体" w:eastAsia="宋体" w:cs="宋体"/>
          <w:sz w:val="28"/>
          <w:szCs w:val="28"/>
          <w:highlight w:val="none"/>
        </w:rPr>
        <w:t>附件1：资格审查条件</w:t>
      </w:r>
    </w:p>
    <w:p>
      <w:pPr>
        <w:adjustRightInd w:val="0"/>
        <w:snapToGrid w:val="0"/>
        <w:spacing w:line="360" w:lineRule="auto"/>
        <w:jc w:val="center"/>
        <w:rPr>
          <w:rFonts w:hint="eastAsia" w:ascii="宋体" w:hAnsi="宋体" w:eastAsia="宋体" w:cs="宋体"/>
          <w:b/>
          <w:bCs/>
          <w:snapToGrid w:val="0"/>
          <w:kern w:val="0"/>
          <w:sz w:val="24"/>
          <w:szCs w:val="24"/>
          <w:highlight w:val="none"/>
        </w:rPr>
      </w:pPr>
    </w:p>
    <w:p>
      <w:pPr>
        <w:adjustRightInd w:val="0"/>
        <w:snapToGrid w:val="0"/>
        <w:spacing w:line="360" w:lineRule="auto"/>
        <w:jc w:val="center"/>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附录1 资格审查条件（资质最低要求）</w:t>
      </w:r>
    </w:p>
    <w:tbl>
      <w:tblPr>
        <w:tblStyle w:val="6"/>
        <w:tblW w:w="949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950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napToGrid w:val="0"/>
              <w:spacing w:line="0" w:lineRule="atLeas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jc w:val="center"/>
        </w:trPr>
        <w:tc>
          <w:tcPr>
            <w:tcW w:w="9500" w:type="dxa"/>
            <w:tcBorders>
              <w:top w:val="single" w:color="000000" w:sz="2" w:space="0"/>
              <w:left w:val="single" w:color="000000" w:sz="2" w:space="0"/>
              <w:bottom w:val="single" w:color="000000" w:sz="2" w:space="0"/>
              <w:right w:val="single" w:color="000000" w:sz="2" w:space="0"/>
            </w:tcBorders>
            <w:vAlign w:val="center"/>
          </w:tcPr>
          <w:p>
            <w:pPr>
              <w:widowControl/>
              <w:autoSpaceDE w:val="0"/>
              <w:autoSpaceDN w:val="0"/>
              <w:adjustRightInd w:val="0"/>
              <w:snapToGrid w:val="0"/>
              <w:spacing w:line="0" w:lineRule="atLeas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（1）具有独立企业法人资格，持有有效的企业营业执照；</w:t>
            </w:r>
          </w:p>
          <w:p>
            <w:pPr>
              <w:widowControl/>
              <w:autoSpaceDE w:val="0"/>
              <w:autoSpaceDN w:val="0"/>
              <w:adjustRightInd w:val="0"/>
              <w:snapToGrid w:val="0"/>
              <w:spacing w:line="0" w:lineRule="atLeast"/>
              <w:textAlignment w:val="baseline"/>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rPr>
              <w:t>（2）具备住房和城乡建设主管部门颁发的建筑工程施工总承包</w:t>
            </w:r>
            <w:r>
              <w:rPr>
                <w:rFonts w:hint="eastAsia" w:ascii="宋体" w:hAnsi="宋体" w:cs="宋体"/>
                <w:snapToGrid w:val="0"/>
                <w:kern w:val="0"/>
                <w:sz w:val="24"/>
                <w:szCs w:val="24"/>
                <w:highlight w:val="none"/>
                <w:lang w:val="en-US" w:eastAsia="zh-CN"/>
              </w:rPr>
              <w:t>三</w:t>
            </w:r>
            <w:r>
              <w:rPr>
                <w:rFonts w:hint="eastAsia" w:ascii="宋体" w:hAnsi="宋体" w:eastAsia="宋体" w:cs="宋体"/>
                <w:snapToGrid w:val="0"/>
                <w:kern w:val="0"/>
                <w:sz w:val="24"/>
                <w:szCs w:val="24"/>
                <w:highlight w:val="none"/>
              </w:rPr>
              <w:t>级及以上资质；</w:t>
            </w:r>
          </w:p>
          <w:p>
            <w:pPr>
              <w:widowControl/>
              <w:autoSpaceDE w:val="0"/>
              <w:autoSpaceDN w:val="0"/>
              <w:adjustRightInd w:val="0"/>
              <w:snapToGrid w:val="0"/>
              <w:spacing w:line="0" w:lineRule="atLeas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（3）具有有效的安全生产许可证。</w:t>
            </w:r>
          </w:p>
        </w:tc>
      </w:tr>
    </w:tbl>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附录2 资格审查条件(财务最低要求)</w:t>
      </w:r>
    </w:p>
    <w:tbl>
      <w:tblPr>
        <w:tblStyle w:val="6"/>
        <w:tblW w:w="942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4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atLeast"/>
          <w:jc w:val="center"/>
        </w:trPr>
        <w:tc>
          <w:tcPr>
            <w:tcW w:w="9423"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napToGrid w:val="0"/>
              <w:spacing w:line="0" w:lineRule="atLeas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财务要求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61" w:hRule="atLeast"/>
          <w:jc w:val="center"/>
        </w:trPr>
        <w:tc>
          <w:tcPr>
            <w:tcW w:w="9423" w:type="dxa"/>
            <w:tcBorders>
              <w:top w:val="single" w:color="auto" w:sz="2" w:space="0"/>
              <w:left w:val="single" w:color="auto" w:sz="2" w:space="0"/>
              <w:bottom w:val="single" w:color="auto" w:sz="2" w:space="0"/>
              <w:right w:val="single" w:color="auto" w:sz="2" w:space="0"/>
            </w:tcBorders>
            <w:vAlign w:val="center"/>
          </w:tcPr>
          <w:p>
            <w:pPr>
              <w:widowControl/>
              <w:autoSpaceDE w:val="0"/>
              <w:autoSpaceDN w:val="0"/>
              <w:adjustRightInd w:val="0"/>
              <w:snapToGrid w:val="0"/>
              <w:spacing w:line="0" w:lineRule="atLeas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承诺为本合同所提供的营运资金(以经会计事务所或审计机构审计的财务报表2023年度中：营运资金＝流动资产－流动负债，以年末数计算)以及为本项目而专门开具的银行信贷证明总和不得少于500万元。</w:t>
            </w:r>
          </w:p>
        </w:tc>
      </w:tr>
    </w:tbl>
    <w:p>
      <w:pPr>
        <w:pStyle w:val="2"/>
        <w:rPr>
          <w:rFonts w:hint="eastAsia" w:ascii="宋体" w:hAnsi="宋体" w:eastAsia="宋体" w:cs="宋体"/>
          <w:sz w:val="24"/>
          <w:highlight w:val="none"/>
        </w:rPr>
      </w:pPr>
    </w:p>
    <w:p>
      <w:pPr>
        <w:adjustRightInd w:val="0"/>
        <w:snapToGrid w:val="0"/>
        <w:spacing w:line="360" w:lineRule="auto"/>
        <w:jc w:val="center"/>
        <w:rPr>
          <w:rFonts w:hint="eastAsia" w:ascii="宋体" w:hAnsi="宋体" w:eastAsia="宋体" w:cs="宋体"/>
          <w:b/>
          <w:bCs/>
          <w:snapToGrid w:val="0"/>
          <w:kern w:val="0"/>
          <w:sz w:val="24"/>
          <w:szCs w:val="24"/>
          <w:highlight w:val="none"/>
        </w:rPr>
      </w:pPr>
    </w:p>
    <w:p>
      <w:pPr>
        <w:adjustRightInd w:val="0"/>
        <w:snapToGrid w:val="0"/>
        <w:spacing w:line="360" w:lineRule="auto"/>
        <w:jc w:val="center"/>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附录3 资格审查条件（业绩最低要求）</w:t>
      </w:r>
    </w:p>
    <w:tbl>
      <w:tblPr>
        <w:tblStyle w:val="6"/>
        <w:tblW w:w="93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939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napToGrid w:val="0"/>
              <w:spacing w:line="0" w:lineRule="atLeas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业绩要求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jc w:val="center"/>
        </w:trPr>
        <w:tc>
          <w:tcPr>
            <w:tcW w:w="9390" w:type="dxa"/>
            <w:tcBorders>
              <w:top w:val="single" w:color="000000" w:sz="2" w:space="0"/>
              <w:left w:val="single" w:color="000000" w:sz="2" w:space="0"/>
              <w:bottom w:val="single" w:color="000000" w:sz="2" w:space="0"/>
              <w:right w:val="single" w:color="000000" w:sz="2" w:space="0"/>
            </w:tcBorders>
            <w:vAlign w:val="center"/>
          </w:tcPr>
          <w:p>
            <w:pPr>
              <w:widowControl/>
              <w:autoSpaceDE w:val="0"/>
              <w:autoSpaceDN w:val="0"/>
              <w:adjustRightInd w:val="0"/>
              <w:snapToGrid w:val="0"/>
              <w:spacing w:line="0" w:lineRule="atLeas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近5年内（2019年1</w:t>
            </w:r>
            <w:r>
              <w:rPr>
                <w:rFonts w:hint="eastAsia" w:ascii="宋体" w:hAnsi="宋体" w:cs="宋体"/>
                <w:snapToGrid w:val="0"/>
                <w:kern w:val="0"/>
                <w:sz w:val="24"/>
                <w:szCs w:val="24"/>
                <w:highlight w:val="none"/>
                <w:lang w:val="en-US" w:eastAsia="zh-CN"/>
              </w:rPr>
              <w:t>1</w:t>
            </w:r>
            <w:r>
              <w:rPr>
                <w:rFonts w:hint="eastAsia" w:ascii="宋体" w:hAnsi="宋体" w:eastAsia="宋体" w:cs="宋体"/>
                <w:snapToGrid w:val="0"/>
                <w:kern w:val="0"/>
                <w:sz w:val="24"/>
                <w:szCs w:val="24"/>
                <w:highlight w:val="none"/>
              </w:rPr>
              <w:t>月1日至</w:t>
            </w:r>
            <w:r>
              <w:rPr>
                <w:rFonts w:hint="eastAsia" w:ascii="宋体" w:hAnsi="宋体" w:cs="宋体"/>
                <w:snapToGrid w:val="0"/>
                <w:kern w:val="0"/>
                <w:sz w:val="24"/>
                <w:szCs w:val="24"/>
                <w:highlight w:val="none"/>
                <w:lang w:val="en-US" w:eastAsia="zh-CN"/>
              </w:rPr>
              <w:t>投标截止时间</w:t>
            </w:r>
            <w:r>
              <w:rPr>
                <w:rFonts w:hint="eastAsia" w:ascii="宋体" w:hAnsi="宋体" w:eastAsia="宋体" w:cs="宋体"/>
                <w:snapToGrid w:val="0"/>
                <w:kern w:val="0"/>
                <w:sz w:val="24"/>
                <w:szCs w:val="24"/>
                <w:highlight w:val="none"/>
              </w:rPr>
              <w:t>，以</w:t>
            </w:r>
            <w:r>
              <w:rPr>
                <w:rFonts w:hint="eastAsia" w:ascii="宋体" w:hAnsi="宋体" w:cs="宋体"/>
                <w:snapToGrid w:val="0"/>
                <w:kern w:val="0"/>
                <w:sz w:val="24"/>
                <w:szCs w:val="24"/>
                <w:highlight w:val="none"/>
                <w:lang w:eastAsia="zh-CN"/>
              </w:rPr>
              <w:t>竣（交）工</w:t>
            </w:r>
            <w:r>
              <w:rPr>
                <w:rFonts w:hint="eastAsia" w:ascii="宋体" w:hAnsi="宋体" w:eastAsia="宋体" w:cs="宋体"/>
                <w:snapToGrid w:val="0"/>
                <w:kern w:val="0"/>
                <w:sz w:val="24"/>
                <w:szCs w:val="24"/>
                <w:highlight w:val="none"/>
              </w:rPr>
              <w:t>日期为准），至少完成过1</w:t>
            </w:r>
            <w:r>
              <w:rPr>
                <w:rFonts w:hint="eastAsia" w:ascii="宋体" w:hAnsi="宋体" w:cs="宋体"/>
                <w:snapToGrid w:val="0"/>
                <w:kern w:val="0"/>
                <w:sz w:val="24"/>
                <w:szCs w:val="24"/>
                <w:highlight w:val="none"/>
                <w:lang w:val="en-US" w:eastAsia="zh-CN"/>
              </w:rPr>
              <w:t>项</w:t>
            </w:r>
            <w:r>
              <w:rPr>
                <w:rFonts w:hint="eastAsia" w:ascii="宋体" w:hAnsi="宋体" w:eastAsia="宋体" w:cs="宋体"/>
                <w:snapToGrid w:val="0"/>
                <w:kern w:val="0"/>
                <w:sz w:val="24"/>
                <w:szCs w:val="24"/>
                <w:highlight w:val="none"/>
              </w:rPr>
              <w:t>合同额不少于</w:t>
            </w:r>
            <w:r>
              <w:rPr>
                <w:rFonts w:hint="eastAsia" w:ascii="宋体" w:hAnsi="宋体" w:cs="宋体"/>
                <w:snapToGrid w:val="0"/>
                <w:kern w:val="0"/>
                <w:sz w:val="24"/>
                <w:szCs w:val="24"/>
                <w:highlight w:val="none"/>
                <w:lang w:val="en-US" w:eastAsia="zh-CN"/>
              </w:rPr>
              <w:t>2</w:t>
            </w:r>
            <w:r>
              <w:rPr>
                <w:rFonts w:hint="eastAsia" w:ascii="宋体" w:hAnsi="宋体" w:eastAsia="宋体" w:cs="宋体"/>
                <w:snapToGrid w:val="0"/>
                <w:kern w:val="0"/>
                <w:sz w:val="24"/>
                <w:szCs w:val="24"/>
                <w:highlight w:val="none"/>
              </w:rPr>
              <w:t>000万元的公共建筑工程施工项目。</w:t>
            </w:r>
          </w:p>
        </w:tc>
      </w:tr>
    </w:tbl>
    <w:p>
      <w:pPr>
        <w:adjustRightInd w:val="0"/>
        <w:snapToGrid w:val="0"/>
        <w:spacing w:line="360" w:lineRule="auto"/>
        <w:jc w:val="center"/>
        <w:rPr>
          <w:rFonts w:hint="eastAsia" w:ascii="宋体" w:hAnsi="宋体" w:eastAsia="宋体" w:cs="宋体"/>
          <w:b/>
          <w:bCs/>
          <w:snapToGrid w:val="0"/>
          <w:kern w:val="0"/>
          <w:sz w:val="24"/>
          <w:szCs w:val="24"/>
          <w:highlight w:val="none"/>
        </w:rPr>
      </w:pPr>
    </w:p>
    <w:p>
      <w:pPr>
        <w:adjustRightInd w:val="0"/>
        <w:snapToGrid w:val="0"/>
        <w:spacing w:line="360" w:lineRule="auto"/>
        <w:jc w:val="center"/>
        <w:rPr>
          <w:rFonts w:hint="eastAsia" w:ascii="宋体" w:hAnsi="宋体" w:eastAsia="宋体" w:cs="宋体"/>
          <w:b/>
          <w:bCs/>
          <w:snapToGrid w:val="0"/>
          <w:kern w:val="0"/>
          <w:sz w:val="24"/>
          <w:szCs w:val="24"/>
          <w:highlight w:val="none"/>
        </w:rPr>
      </w:pPr>
    </w:p>
    <w:p>
      <w:pPr>
        <w:adjustRightInd w:val="0"/>
        <w:snapToGrid w:val="0"/>
        <w:spacing w:line="360" w:lineRule="auto"/>
        <w:jc w:val="center"/>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附录4 资格审查条件（信誉最低要求）</w:t>
      </w:r>
    </w:p>
    <w:tbl>
      <w:tblPr>
        <w:tblStyle w:val="6"/>
        <w:tblW w:w="92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92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napToGrid w:val="0"/>
              <w:spacing w:line="0" w:lineRule="atLeas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信誉要求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9260" w:type="dxa"/>
            <w:tcBorders>
              <w:top w:val="single" w:color="000000" w:sz="2" w:space="0"/>
              <w:left w:val="single" w:color="000000" w:sz="2" w:space="0"/>
              <w:bottom w:val="single" w:color="000000" w:sz="2" w:space="0"/>
              <w:right w:val="single" w:color="000000" w:sz="2" w:space="0"/>
            </w:tcBorders>
            <w:vAlign w:val="center"/>
          </w:tcPr>
          <w:p>
            <w:pPr>
              <w:widowControl/>
              <w:autoSpaceDE w:val="0"/>
              <w:autoSpaceDN w:val="0"/>
              <w:adjustRightInd w:val="0"/>
              <w:snapToGrid w:val="0"/>
              <w:spacing w:line="0" w:lineRule="atLeas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投标人在近1年内（2023年1</w:t>
            </w:r>
            <w:r>
              <w:rPr>
                <w:rFonts w:hint="eastAsia" w:ascii="宋体" w:hAnsi="宋体" w:cs="宋体"/>
                <w:snapToGrid w:val="0"/>
                <w:kern w:val="0"/>
                <w:sz w:val="24"/>
                <w:szCs w:val="24"/>
                <w:highlight w:val="none"/>
                <w:lang w:val="en-US" w:eastAsia="zh-CN"/>
              </w:rPr>
              <w:t>1</w:t>
            </w:r>
            <w:r>
              <w:rPr>
                <w:rFonts w:hint="eastAsia" w:ascii="宋体" w:hAnsi="宋体" w:eastAsia="宋体" w:cs="宋体"/>
                <w:snapToGrid w:val="0"/>
                <w:kern w:val="0"/>
                <w:sz w:val="24"/>
                <w:szCs w:val="24"/>
                <w:highlight w:val="none"/>
              </w:rPr>
              <w:t>月1日至</w:t>
            </w:r>
            <w:r>
              <w:rPr>
                <w:rFonts w:hint="eastAsia" w:ascii="宋体" w:hAnsi="宋体" w:cs="宋体"/>
                <w:snapToGrid w:val="0"/>
                <w:kern w:val="0"/>
                <w:sz w:val="24"/>
                <w:szCs w:val="24"/>
                <w:highlight w:val="none"/>
                <w:lang w:val="en-US" w:eastAsia="zh-CN"/>
              </w:rPr>
              <w:t>投标截止时间</w:t>
            </w:r>
            <w:r>
              <w:rPr>
                <w:rFonts w:hint="eastAsia" w:ascii="宋体" w:hAnsi="宋体" w:eastAsia="宋体" w:cs="宋体"/>
                <w:snapToGrid w:val="0"/>
                <w:kern w:val="0"/>
                <w:sz w:val="24"/>
                <w:szCs w:val="24"/>
                <w:highlight w:val="none"/>
              </w:rPr>
              <w:t>）不曾在</w:t>
            </w:r>
            <w:r>
              <w:rPr>
                <w:rFonts w:hint="eastAsia" w:ascii="宋体" w:hAnsi="宋体" w:cs="宋体"/>
                <w:snapToGrid w:val="0"/>
                <w:kern w:val="0"/>
                <w:sz w:val="24"/>
                <w:szCs w:val="24"/>
                <w:highlight w:val="none"/>
                <w:lang w:val="en-US" w:eastAsia="zh-CN"/>
              </w:rPr>
              <w:t>公共</w:t>
            </w:r>
            <w:r>
              <w:rPr>
                <w:rFonts w:hint="eastAsia" w:ascii="宋体" w:hAnsi="宋体" w:eastAsia="宋体" w:cs="宋体"/>
                <w:snapToGrid w:val="0"/>
                <w:kern w:val="0"/>
                <w:sz w:val="24"/>
                <w:szCs w:val="24"/>
                <w:highlight w:val="none"/>
              </w:rPr>
              <w:t>建筑工程项目中违约而被驱逐或因投标人自身的原因而使在</w:t>
            </w:r>
            <w:r>
              <w:rPr>
                <w:rFonts w:hint="eastAsia" w:ascii="宋体" w:hAnsi="宋体" w:cs="宋体"/>
                <w:snapToGrid w:val="0"/>
                <w:kern w:val="0"/>
                <w:sz w:val="24"/>
                <w:szCs w:val="24"/>
                <w:highlight w:val="none"/>
                <w:lang w:val="en-US" w:eastAsia="zh-CN"/>
              </w:rPr>
              <w:t>公共建筑</w:t>
            </w:r>
            <w:r>
              <w:rPr>
                <w:rFonts w:hint="eastAsia" w:ascii="宋体" w:hAnsi="宋体" w:eastAsia="宋体" w:cs="宋体"/>
                <w:snapToGrid w:val="0"/>
                <w:kern w:val="0"/>
                <w:sz w:val="24"/>
                <w:szCs w:val="24"/>
                <w:highlight w:val="none"/>
              </w:rPr>
              <w:t>建筑工程项目合同被解除。</w:t>
            </w:r>
          </w:p>
        </w:tc>
      </w:tr>
    </w:tbl>
    <w:p>
      <w:pPr>
        <w:adjustRightInd w:val="0"/>
        <w:snapToGrid w:val="0"/>
        <w:spacing w:line="360" w:lineRule="auto"/>
        <w:jc w:val="center"/>
        <w:rPr>
          <w:rFonts w:hint="eastAsia" w:ascii="宋体" w:hAnsi="宋体" w:eastAsia="宋体" w:cs="宋体"/>
          <w:b/>
          <w:bCs/>
          <w:snapToGrid w:val="0"/>
          <w:kern w:val="0"/>
          <w:sz w:val="24"/>
          <w:szCs w:val="24"/>
          <w:highlight w:val="none"/>
        </w:rPr>
      </w:pPr>
    </w:p>
    <w:p>
      <w:pPr>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br w:type="page"/>
      </w:r>
    </w:p>
    <w:p>
      <w:pPr>
        <w:adjustRightInd w:val="0"/>
        <w:snapToGrid w:val="0"/>
        <w:spacing w:line="360" w:lineRule="auto"/>
        <w:jc w:val="center"/>
        <w:rPr>
          <w:rFonts w:hint="eastAsia" w:ascii="宋体" w:hAnsi="宋体" w:eastAsia="宋体" w:cs="宋体"/>
          <w:b/>
          <w:bCs/>
          <w:snapToGrid w:val="0"/>
          <w:kern w:val="0"/>
          <w:sz w:val="24"/>
          <w:szCs w:val="24"/>
          <w:highlight w:val="none"/>
        </w:rPr>
      </w:pPr>
    </w:p>
    <w:p>
      <w:pPr>
        <w:adjustRightInd w:val="0"/>
        <w:snapToGrid w:val="0"/>
        <w:spacing w:line="360" w:lineRule="auto"/>
        <w:jc w:val="center"/>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附录5 资格审查条件（项目经理和项目总工最低要求）</w:t>
      </w:r>
    </w:p>
    <w:tbl>
      <w:tblPr>
        <w:tblStyle w:val="6"/>
        <w:tblW w:w="907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
      <w:tblGrid>
        <w:gridCol w:w="1134"/>
        <w:gridCol w:w="567"/>
        <w:gridCol w:w="5957"/>
        <w:gridCol w:w="14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567" w:hRule="atLeast"/>
          <w:jc w:val="center"/>
        </w:trPr>
        <w:tc>
          <w:tcPr>
            <w:tcW w:w="1134" w:type="dxa"/>
            <w:tcBorders>
              <w:top w:val="single" w:color="000000" w:sz="2" w:space="0"/>
              <w:left w:val="single" w:color="000000" w:sz="2" w:space="0"/>
              <w:bottom w:val="single" w:color="000000" w:sz="2" w:space="0"/>
              <w:right w:val="single" w:color="000000" w:sz="4" w:space="0"/>
            </w:tcBorders>
            <w:vAlign w:val="center"/>
          </w:tcPr>
          <w:p>
            <w:pPr>
              <w:autoSpaceDE w:val="0"/>
              <w:autoSpaceDN w:val="0"/>
              <w:adjustRightInd w:val="0"/>
              <w:snapToGrid w:val="0"/>
              <w:spacing w:line="0" w:lineRule="atLeas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岗位</w:t>
            </w:r>
          </w:p>
        </w:tc>
        <w:tc>
          <w:tcPr>
            <w:tcW w:w="567" w:type="dxa"/>
            <w:tcBorders>
              <w:top w:val="single" w:color="000000" w:sz="2" w:space="0"/>
              <w:left w:val="single" w:color="000000" w:sz="4" w:space="0"/>
              <w:bottom w:val="single" w:color="000000" w:sz="2" w:space="0"/>
              <w:right w:val="single" w:color="000000" w:sz="4" w:space="0"/>
            </w:tcBorders>
            <w:vAlign w:val="center"/>
          </w:tcPr>
          <w:p>
            <w:pPr>
              <w:autoSpaceDE w:val="0"/>
              <w:autoSpaceDN w:val="0"/>
              <w:adjustRightInd w:val="0"/>
              <w:snapToGrid w:val="0"/>
              <w:spacing w:line="0" w:lineRule="atLeas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数量</w:t>
            </w:r>
          </w:p>
        </w:tc>
        <w:tc>
          <w:tcPr>
            <w:tcW w:w="5954" w:type="dxa"/>
            <w:tcBorders>
              <w:top w:val="single" w:color="000000" w:sz="2" w:space="0"/>
              <w:left w:val="single" w:color="000000" w:sz="4" w:space="0"/>
              <w:bottom w:val="single" w:color="000000" w:sz="2" w:space="0"/>
              <w:right w:val="single" w:color="000000" w:sz="4" w:space="0"/>
            </w:tcBorders>
            <w:vAlign w:val="center"/>
          </w:tcPr>
          <w:p>
            <w:pPr>
              <w:autoSpaceDE w:val="0"/>
              <w:autoSpaceDN w:val="0"/>
              <w:adjustRightInd w:val="0"/>
              <w:snapToGrid w:val="0"/>
              <w:spacing w:line="0" w:lineRule="atLeas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资格标准</w:t>
            </w:r>
          </w:p>
        </w:tc>
        <w:tc>
          <w:tcPr>
            <w:tcW w:w="1416" w:type="dxa"/>
            <w:tcBorders>
              <w:top w:val="single" w:color="000000" w:sz="2" w:space="0"/>
              <w:left w:val="single" w:color="000000" w:sz="4" w:space="0"/>
              <w:bottom w:val="single" w:color="000000" w:sz="2" w:space="0"/>
              <w:right w:val="single" w:color="000000" w:sz="2" w:space="0"/>
            </w:tcBorders>
            <w:vAlign w:val="center"/>
          </w:tcPr>
          <w:p>
            <w:pPr>
              <w:autoSpaceDE w:val="0"/>
              <w:autoSpaceDN w:val="0"/>
              <w:adjustRightInd w:val="0"/>
              <w:snapToGrid w:val="0"/>
              <w:spacing w:line="0" w:lineRule="atLeas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在岗要求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3460" w:hRule="atLeast"/>
          <w:jc w:val="center"/>
        </w:trPr>
        <w:tc>
          <w:tcPr>
            <w:tcW w:w="1134" w:type="dxa"/>
            <w:tcBorders>
              <w:top w:val="single" w:color="000000" w:sz="2" w:space="0"/>
              <w:left w:val="single" w:color="000000" w:sz="2" w:space="0"/>
              <w:bottom w:val="single" w:color="000000" w:sz="2" w:space="0"/>
              <w:right w:val="single" w:color="000000" w:sz="4" w:space="0"/>
            </w:tcBorders>
            <w:vAlign w:val="center"/>
          </w:tcPr>
          <w:p>
            <w:pPr>
              <w:autoSpaceDE w:val="0"/>
              <w:autoSpaceDN w:val="0"/>
              <w:adjustRightInd w:val="0"/>
              <w:snapToGrid w:val="0"/>
              <w:spacing w:line="0" w:lineRule="atLeas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项目经理</w:t>
            </w:r>
          </w:p>
        </w:tc>
        <w:tc>
          <w:tcPr>
            <w:tcW w:w="567" w:type="dxa"/>
            <w:tcBorders>
              <w:top w:val="single" w:color="000000" w:sz="2" w:space="0"/>
              <w:left w:val="single" w:color="000000" w:sz="4" w:space="0"/>
              <w:bottom w:val="single" w:color="000000" w:sz="2" w:space="0"/>
              <w:right w:val="single" w:color="000000" w:sz="4" w:space="0"/>
            </w:tcBorders>
            <w:vAlign w:val="center"/>
          </w:tcPr>
          <w:p>
            <w:pPr>
              <w:autoSpaceDE w:val="0"/>
              <w:autoSpaceDN w:val="0"/>
              <w:adjustRightInd w:val="0"/>
              <w:snapToGrid w:val="0"/>
              <w:spacing w:line="0" w:lineRule="atLeas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w:t>
            </w:r>
          </w:p>
        </w:tc>
        <w:tc>
          <w:tcPr>
            <w:tcW w:w="5954" w:type="dxa"/>
            <w:tcBorders>
              <w:top w:val="single" w:color="000000" w:sz="2" w:space="0"/>
              <w:left w:val="single" w:color="000000" w:sz="4" w:space="0"/>
              <w:bottom w:val="single" w:color="000000" w:sz="2" w:space="0"/>
              <w:right w:val="single" w:color="000000" w:sz="4" w:space="0"/>
            </w:tcBorders>
            <w:vAlign w:val="center"/>
          </w:tcPr>
          <w:p>
            <w:pPr>
              <w:autoSpaceDE w:val="0"/>
              <w:autoSpaceDN w:val="0"/>
              <w:adjustRightInd w:val="0"/>
              <w:snapToGrid w:val="0"/>
              <w:spacing w:line="0" w:lineRule="atLeas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工程师或以上职称；</w:t>
            </w:r>
          </w:p>
          <w:p>
            <w:pPr>
              <w:autoSpaceDE w:val="0"/>
              <w:autoSpaceDN w:val="0"/>
              <w:adjustRightInd w:val="0"/>
              <w:snapToGrid w:val="0"/>
              <w:spacing w:line="0" w:lineRule="atLeas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具有“建筑工程”专业的二级或以上建造师注册证书，建造师</w:t>
            </w:r>
            <w:r>
              <w:rPr>
                <w:rFonts w:hint="eastAsia" w:ascii="宋体" w:hAnsi="宋体" w:cs="宋体"/>
                <w:snapToGrid w:val="0"/>
                <w:kern w:val="0"/>
                <w:sz w:val="24"/>
                <w:szCs w:val="24"/>
                <w:highlight w:val="none"/>
                <w:lang w:eastAsia="zh-CN"/>
              </w:rPr>
              <w:t>注册证书</w:t>
            </w:r>
            <w:r>
              <w:rPr>
                <w:rFonts w:hint="eastAsia" w:ascii="宋体" w:hAnsi="宋体" w:eastAsia="宋体" w:cs="宋体"/>
                <w:snapToGrid w:val="0"/>
                <w:kern w:val="0"/>
                <w:sz w:val="24"/>
                <w:szCs w:val="24"/>
                <w:highlight w:val="none"/>
              </w:rPr>
              <w:t>的注册单位须与投标人单位名称一致；具有住房和城乡建设行政主管部门颁发的《安全生产考核合格证书》B类，安全生产考核合格证书的登记单位须与投标人单位名称一致。</w:t>
            </w:r>
          </w:p>
          <w:p>
            <w:pPr>
              <w:autoSpaceDE w:val="0"/>
              <w:autoSpaceDN w:val="0"/>
              <w:adjustRightInd w:val="0"/>
              <w:snapToGrid w:val="0"/>
              <w:spacing w:line="0" w:lineRule="atLeast"/>
              <w:rPr>
                <w:rFonts w:hint="eastAsia" w:ascii="宋体" w:hAnsi="宋体" w:eastAsia="宋体" w:cs="宋体"/>
                <w:sz w:val="24"/>
                <w:highlight w:val="none"/>
              </w:rPr>
            </w:pPr>
            <w:r>
              <w:rPr>
                <w:rFonts w:hint="eastAsia" w:ascii="宋体" w:hAnsi="宋体" w:eastAsia="宋体" w:cs="宋体"/>
                <w:snapToGrid w:val="0"/>
                <w:kern w:val="0"/>
                <w:sz w:val="24"/>
                <w:szCs w:val="24"/>
                <w:highlight w:val="none"/>
              </w:rPr>
              <w:t>近5年内（2019年1</w:t>
            </w:r>
            <w:r>
              <w:rPr>
                <w:rFonts w:hint="eastAsia" w:ascii="宋体" w:hAnsi="宋体" w:cs="宋体"/>
                <w:snapToGrid w:val="0"/>
                <w:kern w:val="0"/>
                <w:sz w:val="24"/>
                <w:szCs w:val="24"/>
                <w:highlight w:val="none"/>
                <w:lang w:val="en-US" w:eastAsia="zh-CN"/>
              </w:rPr>
              <w:t>1</w:t>
            </w:r>
            <w:r>
              <w:rPr>
                <w:rFonts w:hint="eastAsia" w:ascii="宋体" w:hAnsi="宋体" w:eastAsia="宋体" w:cs="宋体"/>
                <w:snapToGrid w:val="0"/>
                <w:kern w:val="0"/>
                <w:sz w:val="24"/>
                <w:szCs w:val="24"/>
                <w:highlight w:val="none"/>
              </w:rPr>
              <w:t>月1日至</w:t>
            </w:r>
            <w:r>
              <w:rPr>
                <w:rFonts w:hint="eastAsia" w:ascii="宋体" w:hAnsi="宋体" w:cs="宋体"/>
                <w:snapToGrid w:val="0"/>
                <w:kern w:val="0"/>
                <w:sz w:val="24"/>
                <w:szCs w:val="24"/>
                <w:highlight w:val="none"/>
                <w:lang w:val="en-US" w:eastAsia="zh-CN"/>
              </w:rPr>
              <w:t>投标截止时间</w:t>
            </w:r>
            <w:r>
              <w:rPr>
                <w:rFonts w:hint="eastAsia" w:ascii="宋体" w:hAnsi="宋体" w:eastAsia="宋体" w:cs="宋体"/>
                <w:snapToGrid w:val="0"/>
                <w:kern w:val="0"/>
                <w:sz w:val="24"/>
                <w:szCs w:val="24"/>
                <w:highlight w:val="none"/>
              </w:rPr>
              <w:t>，以</w:t>
            </w:r>
            <w:r>
              <w:rPr>
                <w:rFonts w:hint="eastAsia" w:ascii="宋体" w:hAnsi="宋体" w:cs="宋体"/>
                <w:snapToGrid w:val="0"/>
                <w:kern w:val="0"/>
                <w:sz w:val="24"/>
                <w:szCs w:val="24"/>
                <w:highlight w:val="none"/>
                <w:lang w:eastAsia="zh-CN"/>
              </w:rPr>
              <w:t>竣（交）工</w:t>
            </w:r>
            <w:r>
              <w:rPr>
                <w:rFonts w:hint="eastAsia" w:ascii="宋体" w:hAnsi="宋体" w:cs="宋体"/>
                <w:snapToGrid w:val="0"/>
                <w:kern w:val="0"/>
                <w:sz w:val="24"/>
                <w:szCs w:val="24"/>
                <w:highlight w:val="none"/>
                <w:lang w:val="en-US" w:eastAsia="zh-CN"/>
              </w:rPr>
              <w:t>日期</w:t>
            </w:r>
            <w:r>
              <w:rPr>
                <w:rFonts w:hint="eastAsia" w:ascii="宋体" w:hAnsi="宋体" w:eastAsia="宋体" w:cs="宋体"/>
                <w:snapToGrid w:val="0"/>
                <w:kern w:val="0"/>
                <w:sz w:val="24"/>
                <w:szCs w:val="24"/>
                <w:highlight w:val="none"/>
              </w:rPr>
              <w:t>为准），至少担任过1项合同金额不少于</w:t>
            </w:r>
            <w:r>
              <w:rPr>
                <w:rFonts w:hint="eastAsia" w:ascii="宋体" w:hAnsi="宋体" w:cs="宋体"/>
                <w:snapToGrid w:val="0"/>
                <w:kern w:val="0"/>
                <w:sz w:val="24"/>
                <w:szCs w:val="24"/>
                <w:highlight w:val="none"/>
                <w:lang w:val="en-US" w:eastAsia="zh-CN"/>
              </w:rPr>
              <w:t>2</w:t>
            </w:r>
            <w:r>
              <w:rPr>
                <w:rFonts w:hint="eastAsia" w:ascii="宋体" w:hAnsi="宋体" w:eastAsia="宋体" w:cs="宋体"/>
                <w:snapToGrid w:val="0"/>
                <w:kern w:val="0"/>
                <w:sz w:val="24"/>
                <w:szCs w:val="24"/>
                <w:highlight w:val="none"/>
              </w:rPr>
              <w:t>000万元的公共建筑工程施工项目的项目经理或项目副经理或项目总工。</w:t>
            </w:r>
          </w:p>
        </w:tc>
        <w:tc>
          <w:tcPr>
            <w:tcW w:w="1416" w:type="dxa"/>
            <w:tcBorders>
              <w:top w:val="single" w:color="000000" w:sz="2" w:space="0"/>
              <w:left w:val="single" w:color="000000" w:sz="4" w:space="0"/>
              <w:bottom w:val="single" w:color="000000" w:sz="2" w:space="0"/>
              <w:right w:val="single" w:color="000000" w:sz="2" w:space="0"/>
            </w:tcBorders>
            <w:vAlign w:val="center"/>
          </w:tcPr>
          <w:p>
            <w:pPr>
              <w:autoSpaceDE w:val="0"/>
              <w:autoSpaceDN w:val="0"/>
              <w:adjustRightInd w:val="0"/>
              <w:snapToGrid w:val="0"/>
              <w:spacing w:line="0" w:lineRule="atLeas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目前未在其他项目上任职，或虽在其他项目上任职但能够从其他项目撤离并能在本项目履约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2569" w:hRule="atLeast"/>
          <w:jc w:val="center"/>
        </w:trPr>
        <w:tc>
          <w:tcPr>
            <w:tcW w:w="1134" w:type="dxa"/>
            <w:tcBorders>
              <w:top w:val="single" w:color="000000" w:sz="2" w:space="0"/>
              <w:left w:val="single" w:color="000000" w:sz="2" w:space="0"/>
              <w:bottom w:val="single" w:color="000000" w:sz="2" w:space="0"/>
              <w:right w:val="single" w:color="000000" w:sz="4" w:space="0"/>
            </w:tcBorders>
            <w:vAlign w:val="center"/>
          </w:tcPr>
          <w:p>
            <w:pPr>
              <w:autoSpaceDE w:val="0"/>
              <w:autoSpaceDN w:val="0"/>
              <w:adjustRightInd w:val="0"/>
              <w:snapToGrid w:val="0"/>
              <w:spacing w:line="0" w:lineRule="atLeas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项目总工</w:t>
            </w:r>
          </w:p>
        </w:tc>
        <w:tc>
          <w:tcPr>
            <w:tcW w:w="567" w:type="dxa"/>
            <w:tcBorders>
              <w:top w:val="single" w:color="000000" w:sz="2" w:space="0"/>
              <w:left w:val="single" w:color="000000" w:sz="4" w:space="0"/>
              <w:bottom w:val="single" w:color="000000" w:sz="2" w:space="0"/>
              <w:right w:val="single" w:color="000000" w:sz="4" w:space="0"/>
            </w:tcBorders>
            <w:vAlign w:val="center"/>
          </w:tcPr>
          <w:p>
            <w:pPr>
              <w:autoSpaceDE w:val="0"/>
              <w:autoSpaceDN w:val="0"/>
              <w:adjustRightInd w:val="0"/>
              <w:snapToGrid w:val="0"/>
              <w:spacing w:line="0" w:lineRule="atLeas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w:t>
            </w:r>
          </w:p>
        </w:tc>
        <w:tc>
          <w:tcPr>
            <w:tcW w:w="5954" w:type="dxa"/>
            <w:tcBorders>
              <w:top w:val="single" w:color="000000" w:sz="2" w:space="0"/>
              <w:left w:val="single" w:color="000000" w:sz="4" w:space="0"/>
              <w:bottom w:val="single" w:color="000000" w:sz="2" w:space="0"/>
              <w:right w:val="single" w:color="000000" w:sz="4" w:space="0"/>
            </w:tcBorders>
            <w:vAlign w:val="center"/>
          </w:tcPr>
          <w:p>
            <w:pPr>
              <w:autoSpaceDE w:val="0"/>
              <w:autoSpaceDN w:val="0"/>
              <w:adjustRightInd w:val="0"/>
              <w:snapToGrid w:val="0"/>
              <w:spacing w:line="0" w:lineRule="atLeas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高级工程师或以上职称；</w:t>
            </w:r>
          </w:p>
          <w:p>
            <w:pPr>
              <w:autoSpaceDE w:val="0"/>
              <w:autoSpaceDN w:val="0"/>
              <w:adjustRightInd w:val="0"/>
              <w:snapToGrid w:val="0"/>
              <w:spacing w:line="0" w:lineRule="atLeas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 xml:space="preserve">具有住房和城乡建设行政主管部门颁发的《安全生产考核合格证书》B类，安全生产考核合格证书的登记单位须与投标人单位名称一致。 </w:t>
            </w:r>
          </w:p>
          <w:p>
            <w:pPr>
              <w:autoSpaceDE w:val="0"/>
              <w:autoSpaceDN w:val="0"/>
              <w:adjustRightInd w:val="0"/>
              <w:snapToGrid w:val="0"/>
              <w:spacing w:line="0" w:lineRule="atLeas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近5年内（2019年1</w:t>
            </w:r>
            <w:r>
              <w:rPr>
                <w:rFonts w:hint="eastAsia" w:ascii="宋体" w:hAnsi="宋体" w:cs="宋体"/>
                <w:snapToGrid w:val="0"/>
                <w:kern w:val="0"/>
                <w:sz w:val="24"/>
                <w:szCs w:val="24"/>
                <w:highlight w:val="none"/>
                <w:lang w:val="en-US" w:eastAsia="zh-CN"/>
              </w:rPr>
              <w:t>1</w:t>
            </w:r>
            <w:r>
              <w:rPr>
                <w:rFonts w:hint="eastAsia" w:ascii="宋体" w:hAnsi="宋体" w:eastAsia="宋体" w:cs="宋体"/>
                <w:snapToGrid w:val="0"/>
                <w:kern w:val="0"/>
                <w:sz w:val="24"/>
                <w:szCs w:val="24"/>
                <w:highlight w:val="none"/>
              </w:rPr>
              <w:t>月1日至</w:t>
            </w:r>
            <w:r>
              <w:rPr>
                <w:rFonts w:hint="eastAsia" w:ascii="宋体" w:hAnsi="宋体" w:cs="宋体"/>
                <w:snapToGrid w:val="0"/>
                <w:kern w:val="0"/>
                <w:sz w:val="24"/>
                <w:szCs w:val="24"/>
                <w:highlight w:val="none"/>
                <w:lang w:val="en-US" w:eastAsia="zh-CN"/>
              </w:rPr>
              <w:t>投标截止时间</w:t>
            </w:r>
            <w:r>
              <w:rPr>
                <w:rFonts w:hint="eastAsia" w:ascii="宋体" w:hAnsi="宋体" w:eastAsia="宋体" w:cs="宋体"/>
                <w:snapToGrid w:val="0"/>
                <w:kern w:val="0"/>
                <w:sz w:val="24"/>
                <w:szCs w:val="24"/>
                <w:highlight w:val="none"/>
              </w:rPr>
              <w:t>，以</w:t>
            </w:r>
            <w:r>
              <w:rPr>
                <w:rFonts w:hint="eastAsia" w:ascii="宋体" w:hAnsi="宋体" w:cs="宋体"/>
                <w:snapToGrid w:val="0"/>
                <w:kern w:val="0"/>
                <w:sz w:val="24"/>
                <w:szCs w:val="24"/>
                <w:highlight w:val="none"/>
                <w:lang w:eastAsia="zh-CN"/>
              </w:rPr>
              <w:t>竣（交）工</w:t>
            </w:r>
            <w:r>
              <w:rPr>
                <w:rFonts w:hint="eastAsia" w:ascii="宋体" w:hAnsi="宋体" w:cs="宋体"/>
                <w:snapToGrid w:val="0"/>
                <w:kern w:val="0"/>
                <w:sz w:val="24"/>
                <w:szCs w:val="24"/>
                <w:highlight w:val="none"/>
                <w:lang w:val="en-US" w:eastAsia="zh-CN"/>
              </w:rPr>
              <w:t>日期</w:t>
            </w:r>
            <w:r>
              <w:rPr>
                <w:rFonts w:hint="eastAsia" w:ascii="宋体" w:hAnsi="宋体" w:eastAsia="宋体" w:cs="宋体"/>
                <w:snapToGrid w:val="0"/>
                <w:kern w:val="0"/>
                <w:sz w:val="24"/>
                <w:szCs w:val="24"/>
                <w:highlight w:val="none"/>
              </w:rPr>
              <w:t>为准），至少担任过1项合同金额不少于</w:t>
            </w:r>
            <w:r>
              <w:rPr>
                <w:rFonts w:hint="eastAsia" w:ascii="宋体" w:hAnsi="宋体" w:cs="宋体"/>
                <w:snapToGrid w:val="0"/>
                <w:kern w:val="0"/>
                <w:sz w:val="24"/>
                <w:szCs w:val="24"/>
                <w:highlight w:val="none"/>
                <w:lang w:val="en-US" w:eastAsia="zh-CN"/>
              </w:rPr>
              <w:t>2</w:t>
            </w:r>
            <w:r>
              <w:rPr>
                <w:rFonts w:hint="eastAsia" w:ascii="宋体" w:hAnsi="宋体" w:eastAsia="宋体" w:cs="宋体"/>
                <w:snapToGrid w:val="0"/>
                <w:kern w:val="0"/>
                <w:sz w:val="24"/>
                <w:szCs w:val="24"/>
                <w:highlight w:val="none"/>
              </w:rPr>
              <w:t>000万元的公共建筑工程施工项目的项目总工或项目副总工。</w:t>
            </w:r>
          </w:p>
        </w:tc>
        <w:tc>
          <w:tcPr>
            <w:tcW w:w="1416" w:type="dxa"/>
            <w:tcBorders>
              <w:top w:val="single" w:color="000000" w:sz="2" w:space="0"/>
              <w:left w:val="single" w:color="000000" w:sz="4" w:space="0"/>
              <w:bottom w:val="single" w:color="000000" w:sz="2" w:space="0"/>
              <w:right w:val="single" w:color="000000" w:sz="2" w:space="0"/>
            </w:tcBorders>
            <w:vAlign w:val="center"/>
          </w:tcPr>
          <w:p>
            <w:pPr>
              <w:autoSpaceDE w:val="0"/>
              <w:autoSpaceDN w:val="0"/>
              <w:adjustRightInd w:val="0"/>
              <w:snapToGrid w:val="0"/>
              <w:spacing w:line="0" w:lineRule="atLeas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目前未在其他项目上任职，或虽在其他项目上任职但能够从其他项目撤离并能在本项目履约</w:t>
            </w:r>
          </w:p>
        </w:tc>
      </w:tr>
    </w:tbl>
    <w:p>
      <w:pPr>
        <w:pStyle w:val="4"/>
        <w:spacing w:before="0" w:after="0" w:line="360" w:lineRule="auto"/>
        <w:rPr>
          <w:rFonts w:hint="eastAsia" w:ascii="宋体" w:hAnsi="宋体" w:eastAsia="宋体" w:cs="宋体"/>
          <w:sz w:val="28"/>
          <w:szCs w:val="28"/>
          <w:highlight w:val="none"/>
        </w:rPr>
      </w:pPr>
      <w:r>
        <w:rPr>
          <w:rFonts w:hint="eastAsia" w:ascii="宋体" w:hAnsi="宋体" w:eastAsia="宋体" w:cs="宋体"/>
          <w:b w:val="0"/>
          <w:highlight w:val="none"/>
        </w:rPr>
        <w:br w:type="page"/>
      </w:r>
      <w:bookmarkStart w:id="0" w:name="_Toc134792340"/>
      <w:r>
        <w:rPr>
          <w:rFonts w:hint="eastAsia" w:ascii="宋体" w:hAnsi="宋体" w:eastAsia="宋体" w:cs="宋体"/>
          <w:sz w:val="28"/>
          <w:szCs w:val="28"/>
          <w:highlight w:val="none"/>
        </w:rPr>
        <w:t>附件2：随机确定评标基准价计算方法的规则与程序</w:t>
      </w:r>
    </w:p>
    <w:p>
      <w:pPr>
        <w:adjustRightInd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一、随机抽取确定评标基准价计算方法规则</w:t>
      </w:r>
    </w:p>
    <w:p>
      <w:pPr>
        <w:adjustRightIn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参与随机确定评标基准价计算方法的各方当事人（以下简称“各方”）应当严格遵守以下规则：</w:t>
      </w:r>
    </w:p>
    <w:p>
      <w:pPr>
        <w:adjustRightIn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（一）各方必须严格遵守公开、公平、公正和诚实信用原则；</w:t>
      </w:r>
    </w:p>
    <w:p>
      <w:pPr>
        <w:adjustRightIn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（二）随机抽取活动在招标人的主持下进行，招标人做好影像记录，并存档备查；</w:t>
      </w:r>
    </w:p>
    <w:p>
      <w:pPr>
        <w:adjustRightIn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（三）用于随机抽取的器具由招标人提供；</w:t>
      </w:r>
    </w:p>
    <w:p>
      <w:pPr>
        <w:adjustRightIn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（四）各方必须严格遵守现场纪律，确保随机抽取活动有序进行；</w:t>
      </w:r>
    </w:p>
    <w:p>
      <w:pPr>
        <w:adjustRightIn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（五）投标人对随机抽取过程有异议的，在</w:t>
      </w:r>
      <w:r>
        <w:rPr>
          <w:rFonts w:hint="eastAsia" w:ascii="宋体" w:hAnsi="宋体" w:eastAsia="宋体" w:cs="宋体"/>
          <w:kern w:val="0"/>
          <w:sz w:val="24"/>
          <w:highlight w:val="none"/>
        </w:rPr>
        <w:t>“电子招标投标交易平台”</w:t>
      </w:r>
      <w:r>
        <w:rPr>
          <w:rFonts w:hint="eastAsia" w:ascii="宋体" w:hAnsi="宋体" w:eastAsia="宋体" w:cs="宋体"/>
          <w:bCs/>
          <w:sz w:val="24"/>
          <w:szCs w:val="24"/>
          <w:highlight w:val="none"/>
        </w:rPr>
        <w:t>的开标大厅点异议按钮在线提出异议，招标人当场作出答复，并作好记录。</w:t>
      </w:r>
    </w:p>
    <w:p>
      <w:pPr>
        <w:adjustRightInd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二、随机抽取确定评标基准价计算方法的程序</w:t>
      </w:r>
    </w:p>
    <w:p>
      <w:pPr>
        <w:adjustRightIn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（一）确定随机抽取代码球</w:t>
      </w:r>
    </w:p>
    <w:p>
      <w:pPr>
        <w:adjustRightIn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用抽取器具随机确定抽取代码球一套，作为本次随机抽取确定评标基准价计算方法的代码球。</w:t>
      </w:r>
    </w:p>
    <w:p>
      <w:pPr>
        <w:adjustRightIn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（二）本次招标共设置三种评标基准价计算方法（详见评标办法）。</w:t>
      </w:r>
    </w:p>
    <w:p>
      <w:pPr>
        <w:adjustRightIn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确定评标基准价计算方法的编号及代码球，1号球代表评标基准价计算方法一；2号球代表评标基准价计算方法二；3号球代表评标基准价计算方法三。</w:t>
      </w:r>
    </w:p>
    <w:p>
      <w:pPr>
        <w:adjustRightIn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（三）在投标文件第一信封（商务及技术文件）开标现场，将编号1、2、3代码球全部放入随机抽取器具中，由抽取器具随机抽取产生本次招标评标基准价计算方法。</w:t>
      </w:r>
    </w:p>
    <w:p>
      <w:pPr>
        <w:adjustRightIn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（四）确定评标基准价计算方法需要的系数（如有）。</w:t>
      </w:r>
    </w:p>
    <w:p>
      <w:pPr>
        <w:adjustRightIn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如果确定的评标基准价计算方法为方法二，需要再抽取评标基准价系数K。K值取值范围为</w:t>
      </w:r>
      <w:r>
        <w:rPr>
          <w:rFonts w:hint="eastAsia" w:ascii="宋体" w:hAnsi="宋体" w:cs="宋体"/>
          <w:bCs/>
          <w:sz w:val="24"/>
          <w:szCs w:val="24"/>
          <w:highlight w:val="none"/>
          <w:lang w:val="en-US" w:eastAsia="zh-CN"/>
        </w:rPr>
        <w:t>0.975、</w:t>
      </w:r>
      <w:r>
        <w:rPr>
          <w:rFonts w:hint="eastAsia" w:ascii="宋体" w:hAnsi="宋体" w:eastAsia="宋体" w:cs="宋体"/>
          <w:bCs/>
          <w:sz w:val="24"/>
          <w:szCs w:val="24"/>
          <w:highlight w:val="none"/>
        </w:rPr>
        <w:t>0.980、0.985、0.990、0.995共</w:t>
      </w: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rPr>
        <w:t>个数值。1号球代表K值为0.9</w:t>
      </w:r>
      <w:r>
        <w:rPr>
          <w:rFonts w:hint="eastAsia" w:ascii="宋体" w:hAnsi="宋体" w:cs="宋体"/>
          <w:bCs/>
          <w:sz w:val="24"/>
          <w:szCs w:val="24"/>
          <w:highlight w:val="none"/>
          <w:lang w:val="en-US" w:eastAsia="zh-CN"/>
        </w:rPr>
        <w:t>75</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2</w:t>
      </w:r>
      <w:r>
        <w:rPr>
          <w:rFonts w:hint="eastAsia" w:ascii="宋体" w:hAnsi="宋体" w:eastAsia="宋体" w:cs="宋体"/>
          <w:bCs/>
          <w:sz w:val="24"/>
          <w:szCs w:val="24"/>
          <w:highlight w:val="none"/>
        </w:rPr>
        <w:t>号球代表K值为0.980；</w:t>
      </w: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rPr>
        <w:t>号球代表K值为0.985；</w:t>
      </w: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rPr>
        <w:t>号球代表K值为0.990；</w:t>
      </w: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rPr>
        <w:t>号球代表K值为0.995。在开标现场通过随机抽取方式确定一个评标基准价系数K，并当场公布。</w:t>
      </w:r>
    </w:p>
    <w:p>
      <w:pPr>
        <w:adjustRightIn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五）如果遇到抽取器具发生故障，导致随机确定评标基准价计算方法过程中断时，招标人应及时宣布发生故障之前的随机确定评标基准价计算方法结果有效。宣布前任何人不得随意处理抽取器具，并请招标人对故障发生情况进行书面确认。故障排除或更换抽取器具后，招标人应宣布继续后续的抽取程序。</w:t>
      </w:r>
    </w:p>
    <w:p>
      <w:pPr>
        <w:adjustRightInd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三、随机抽取结果的确认</w:t>
      </w:r>
    </w:p>
    <w:p>
      <w:pPr>
        <w:adjustRightIn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随机抽取结束后，招标人当场宣布随机抽取结果，抽取结果由招标人代表和监督人员签字确认。投标人代表在开标记录表上用河北CA数字证书进行确认，若投标人未及时在开标记录表上确认，视为该投标人默认抽取结果。</w:t>
      </w:r>
    </w:p>
    <w:p>
      <w:pPr>
        <w:widowControl/>
        <w:jc w:val="left"/>
        <w:rPr>
          <w:rFonts w:hint="eastAsia" w:ascii="宋体" w:hAnsi="宋体" w:eastAsia="宋体" w:cs="宋体"/>
          <w:bCs/>
          <w:sz w:val="32"/>
          <w:szCs w:val="32"/>
          <w:highlight w:val="none"/>
        </w:rPr>
      </w:pPr>
      <w:r>
        <w:rPr>
          <w:rFonts w:hint="eastAsia" w:ascii="宋体" w:hAnsi="宋体" w:eastAsia="宋体" w:cs="宋体"/>
          <w:b/>
          <w:highlight w:val="none"/>
        </w:rPr>
        <w:br w:type="page"/>
      </w:r>
    </w:p>
    <w:p>
      <w:pPr>
        <w:pStyle w:val="4"/>
        <w:spacing w:before="0" w:after="0"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附件</w:t>
      </w: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rPr>
        <w:t>：评标办法</w:t>
      </w:r>
      <w:bookmarkEnd w:id="0"/>
    </w:p>
    <w:p>
      <w:pPr>
        <w:tabs>
          <w:tab w:val="left" w:pos="0"/>
        </w:tabs>
        <w:spacing w:line="360" w:lineRule="auto"/>
        <w:jc w:val="center"/>
        <w:rPr>
          <w:rFonts w:hint="eastAsia" w:ascii="宋体" w:hAnsi="宋体" w:eastAsia="宋体" w:cs="宋体"/>
          <w:b/>
          <w:bCs/>
          <w:color w:val="000000"/>
          <w:sz w:val="24"/>
          <w:szCs w:val="24"/>
          <w:highlight w:val="none"/>
        </w:rPr>
      </w:pPr>
      <w:bookmarkStart w:id="1" w:name="_Toc134792893"/>
      <w:bookmarkStart w:id="2" w:name="_Toc445222503"/>
      <w:bookmarkStart w:id="3" w:name="_Toc444088432"/>
      <w:bookmarkStart w:id="4" w:name="_Toc134892623"/>
      <w:bookmarkStart w:id="5" w:name="_Toc134792342"/>
      <w:bookmarkStart w:id="6" w:name="_Toc134896400"/>
      <w:bookmarkStart w:id="7" w:name="_Toc134899107"/>
      <w:bookmarkStart w:id="8" w:name="_Toc134792410"/>
      <w:bookmarkStart w:id="9" w:name="_Toc444271617"/>
      <w:bookmarkStart w:id="10" w:name="_Toc531949858"/>
      <w:bookmarkStart w:id="11" w:name="_Toc445382083"/>
      <w:bookmarkStart w:id="12" w:name="_Toc134878969"/>
      <w:r>
        <w:rPr>
          <w:rFonts w:hint="eastAsia" w:ascii="宋体" w:hAnsi="宋体" w:eastAsia="宋体" w:cs="宋体"/>
          <w:b/>
          <w:bCs/>
          <w:color w:val="000000"/>
          <w:sz w:val="24"/>
          <w:szCs w:val="24"/>
          <w:highlight w:val="none"/>
        </w:rPr>
        <w:t>评标办法前附表</w:t>
      </w:r>
      <w:bookmarkEnd w:id="1"/>
      <w:bookmarkEnd w:id="2"/>
      <w:bookmarkEnd w:id="3"/>
      <w:bookmarkEnd w:id="4"/>
      <w:bookmarkEnd w:id="5"/>
      <w:bookmarkEnd w:id="6"/>
      <w:bookmarkEnd w:id="7"/>
      <w:bookmarkEnd w:id="8"/>
      <w:bookmarkEnd w:id="9"/>
      <w:bookmarkEnd w:id="10"/>
      <w:bookmarkEnd w:id="11"/>
      <w:bookmarkEnd w:id="12"/>
    </w:p>
    <w:tbl>
      <w:tblPr>
        <w:tblStyle w:val="6"/>
        <w:tblW w:w="5005" w:type="pct"/>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13"/>
        <w:gridCol w:w="440"/>
        <w:gridCol w:w="442"/>
        <w:gridCol w:w="271"/>
        <w:gridCol w:w="1891"/>
        <w:gridCol w:w="4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09" w:type="pct"/>
            <w:gridSpan w:val="4"/>
            <w:vAlign w:val="center"/>
          </w:tcPr>
          <w:p>
            <w:pPr>
              <w:snapToGrid w:val="0"/>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3991" w:type="pct"/>
            <w:gridSpan w:val="3"/>
            <w:vAlign w:val="center"/>
          </w:tcPr>
          <w:p>
            <w:pPr>
              <w:snapToGrid w:val="0"/>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Align w:val="center"/>
          </w:tcPr>
          <w:p>
            <w:pPr>
              <w:snapToGrid w:val="0"/>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92" w:type="pct"/>
            <w:gridSpan w:val="3"/>
            <w:vAlign w:val="center"/>
          </w:tcPr>
          <w:p>
            <w:pPr>
              <w:snapToGrid w:val="0"/>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评标方法</w:t>
            </w:r>
          </w:p>
        </w:tc>
        <w:tc>
          <w:tcPr>
            <w:tcW w:w="3991" w:type="pct"/>
            <w:gridSpan w:val="3"/>
            <w:vAlign w:val="center"/>
          </w:tcPr>
          <w:p>
            <w:pPr>
              <w:snapToGrid w:val="0"/>
              <w:spacing w:line="320" w:lineRule="exact"/>
              <w:ind w:firstLine="315" w:firstLineChars="15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本次评标采用合理低价法，双信封形式。</w:t>
            </w:r>
          </w:p>
          <w:p>
            <w:pPr>
              <w:snapToGrid w:val="0"/>
              <w:spacing w:line="320" w:lineRule="exact"/>
              <w:ind w:firstLine="315" w:firstLineChars="15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评标委员会对满足招标文件实质性要求的投标文件，按照本章第2.2款规定的评分标准进行打分，并按得分由高到低顺序推荐</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3名中标候选人。评标价得分相等时，以投标报价低的优先；投标报价也相等的，以所附企业业绩（需符合资格审查业绩要求）单项合同金额较大的优先。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Align w:val="center"/>
          </w:tcPr>
          <w:p>
            <w:pPr>
              <w:snapToGrid w:val="0"/>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2.1.1</w:t>
            </w:r>
          </w:p>
          <w:p>
            <w:pPr>
              <w:snapToGrid w:val="0"/>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2.1.3</w:t>
            </w:r>
          </w:p>
        </w:tc>
        <w:tc>
          <w:tcPr>
            <w:tcW w:w="592" w:type="pct"/>
            <w:gridSpan w:val="3"/>
            <w:vAlign w:val="center"/>
          </w:tcPr>
          <w:p>
            <w:pPr>
              <w:snapToGrid w:val="0"/>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形式评审与响应性评审标准</w:t>
            </w:r>
          </w:p>
        </w:tc>
        <w:tc>
          <w:tcPr>
            <w:tcW w:w="3991" w:type="pct"/>
            <w:gridSpan w:val="3"/>
          </w:tcPr>
          <w:p>
            <w:pPr>
              <w:tabs>
                <w:tab w:val="left" w:pos="3060"/>
              </w:tabs>
              <w:snapToGrid w:val="0"/>
              <w:spacing w:line="320" w:lineRule="exact"/>
              <w:ind w:firstLine="211" w:firstLineChars="104"/>
              <w:jc w:val="left"/>
              <w:rPr>
                <w:rFonts w:hint="eastAsia" w:ascii="宋体" w:hAnsi="宋体" w:eastAsia="宋体" w:cs="宋体"/>
                <w:b/>
                <w:bCs/>
                <w:spacing w:val="-4"/>
                <w:sz w:val="21"/>
                <w:szCs w:val="21"/>
                <w:highlight w:val="none"/>
              </w:rPr>
            </w:pPr>
            <w:r>
              <w:rPr>
                <w:rFonts w:hint="eastAsia" w:ascii="宋体" w:hAnsi="宋体" w:eastAsia="宋体" w:cs="宋体"/>
                <w:b/>
                <w:bCs/>
                <w:spacing w:val="-4"/>
                <w:sz w:val="21"/>
                <w:szCs w:val="21"/>
                <w:highlight w:val="none"/>
              </w:rPr>
              <w:t>第一个信封（商务文件）评审标准（明标部分）：</w:t>
            </w:r>
          </w:p>
          <w:p>
            <w:pPr>
              <w:tabs>
                <w:tab w:val="left" w:pos="3060"/>
              </w:tabs>
              <w:snapToGrid w:val="0"/>
              <w:spacing w:line="320" w:lineRule="exact"/>
              <w:ind w:firstLine="218" w:firstLineChars="104"/>
              <w:rPr>
                <w:rFonts w:hint="eastAsia" w:ascii="宋体" w:hAnsi="宋体" w:eastAsia="宋体" w:cs="宋体"/>
                <w:sz w:val="21"/>
                <w:szCs w:val="21"/>
                <w:highlight w:val="none"/>
              </w:rPr>
            </w:pPr>
            <w:r>
              <w:rPr>
                <w:rFonts w:hint="eastAsia" w:ascii="宋体" w:hAnsi="宋体" w:eastAsia="宋体" w:cs="宋体"/>
                <w:sz w:val="21"/>
                <w:szCs w:val="21"/>
                <w:highlight w:val="none"/>
              </w:rPr>
              <w:t>（1）投标文件按照招标文件规定的格式、内容填写，字迹清晰可辨：</w:t>
            </w:r>
          </w:p>
          <w:p>
            <w:pPr>
              <w:tabs>
                <w:tab w:val="left" w:pos="3060"/>
              </w:tabs>
              <w:snapToGrid w:val="0"/>
              <w:spacing w:line="320" w:lineRule="exact"/>
              <w:ind w:firstLine="218" w:firstLineChars="104"/>
              <w:rPr>
                <w:rFonts w:hint="eastAsia" w:ascii="宋体" w:hAnsi="宋体" w:eastAsia="宋体" w:cs="宋体"/>
                <w:sz w:val="21"/>
                <w:szCs w:val="21"/>
                <w:highlight w:val="none"/>
              </w:rPr>
            </w:pPr>
            <w:r>
              <w:rPr>
                <w:rFonts w:hint="eastAsia" w:ascii="宋体" w:hAnsi="宋体" w:eastAsia="宋体" w:cs="宋体"/>
                <w:sz w:val="21"/>
                <w:szCs w:val="21"/>
                <w:highlight w:val="none"/>
              </w:rPr>
              <w:t>a．投标函按招标文件规定填报了招标人名称、项目名称、补遗书编号（如有）、</w:t>
            </w:r>
            <w:r>
              <w:rPr>
                <w:rFonts w:hint="eastAsia" w:ascii="宋体" w:hAnsi="宋体" w:eastAsia="宋体" w:cs="宋体"/>
                <w:spacing w:val="-4"/>
                <w:sz w:val="21"/>
                <w:szCs w:val="21"/>
                <w:highlight w:val="none"/>
              </w:rPr>
              <w:t>工程质量、安全目标、工期、项目经理、项目总工</w:t>
            </w:r>
            <w:r>
              <w:rPr>
                <w:rFonts w:hint="eastAsia" w:ascii="宋体" w:hAnsi="宋体" w:eastAsia="宋体" w:cs="宋体"/>
                <w:sz w:val="21"/>
                <w:szCs w:val="21"/>
                <w:highlight w:val="none"/>
              </w:rPr>
              <w:t>等内容；</w:t>
            </w:r>
          </w:p>
          <w:p>
            <w:pPr>
              <w:tabs>
                <w:tab w:val="left" w:pos="3060"/>
              </w:tabs>
              <w:snapToGrid w:val="0"/>
              <w:spacing w:line="320" w:lineRule="exact"/>
              <w:ind w:firstLine="218" w:firstLineChars="104"/>
              <w:rPr>
                <w:rFonts w:hint="eastAsia" w:ascii="宋体" w:hAnsi="宋体" w:eastAsia="宋体" w:cs="宋体"/>
                <w:sz w:val="21"/>
                <w:szCs w:val="21"/>
                <w:highlight w:val="none"/>
              </w:rPr>
            </w:pPr>
            <w:r>
              <w:rPr>
                <w:rFonts w:hint="eastAsia" w:ascii="宋体" w:hAnsi="宋体" w:eastAsia="宋体" w:cs="宋体"/>
                <w:sz w:val="21"/>
                <w:szCs w:val="21"/>
                <w:highlight w:val="none"/>
              </w:rPr>
              <w:t>b．投标函附录的所有数据均符合招标文件规定。</w:t>
            </w:r>
          </w:p>
          <w:p>
            <w:pPr>
              <w:tabs>
                <w:tab w:val="left" w:pos="3060"/>
              </w:tabs>
              <w:snapToGrid w:val="0"/>
              <w:spacing w:line="320" w:lineRule="exact"/>
              <w:ind w:firstLine="218" w:firstLineChars="104"/>
              <w:rPr>
                <w:rFonts w:hint="eastAsia" w:ascii="宋体" w:hAnsi="宋体" w:eastAsia="宋体" w:cs="宋体"/>
                <w:sz w:val="21"/>
                <w:szCs w:val="21"/>
                <w:highlight w:val="none"/>
              </w:rPr>
            </w:pPr>
            <w:r>
              <w:rPr>
                <w:rFonts w:hint="eastAsia" w:ascii="宋体" w:hAnsi="宋体" w:eastAsia="宋体" w:cs="宋体"/>
                <w:sz w:val="21"/>
                <w:szCs w:val="21"/>
                <w:highlight w:val="none"/>
              </w:rPr>
              <w:t>C.投标文件组成齐全完整，内容均按规定填写。</w:t>
            </w:r>
          </w:p>
          <w:p>
            <w:pPr>
              <w:tabs>
                <w:tab w:val="left" w:pos="3060"/>
              </w:tabs>
              <w:snapToGrid w:val="0"/>
              <w:spacing w:line="320" w:lineRule="exact"/>
              <w:ind w:firstLine="218" w:firstLineChars="104"/>
              <w:rPr>
                <w:rFonts w:hint="eastAsia" w:ascii="宋体" w:hAnsi="宋体" w:eastAsia="宋体" w:cs="宋体"/>
                <w:bCs/>
                <w:sz w:val="21"/>
                <w:szCs w:val="21"/>
                <w:highlight w:val="none"/>
              </w:rPr>
            </w:pPr>
            <w:r>
              <w:rPr>
                <w:rFonts w:hint="eastAsia" w:ascii="宋体" w:hAnsi="宋体" w:eastAsia="宋体" w:cs="宋体"/>
                <w:bCs/>
                <w:sz w:val="21"/>
                <w:szCs w:val="21"/>
                <w:highlight w:val="none"/>
              </w:rPr>
              <w:t>（2）投标文件上法定代表人或其授权代理人的签字、投标人的单位章盖章齐全，符合招标文件规定。</w:t>
            </w:r>
          </w:p>
          <w:p>
            <w:pPr>
              <w:tabs>
                <w:tab w:val="left" w:pos="3060"/>
              </w:tabs>
              <w:snapToGrid w:val="0"/>
              <w:spacing w:line="320" w:lineRule="exact"/>
              <w:ind w:firstLine="218" w:firstLineChars="104"/>
              <w:rPr>
                <w:rFonts w:hint="eastAsia" w:ascii="宋体" w:hAnsi="宋体" w:eastAsia="宋体" w:cs="宋体"/>
                <w:sz w:val="21"/>
                <w:szCs w:val="21"/>
                <w:highlight w:val="none"/>
              </w:rPr>
            </w:pPr>
            <w:r>
              <w:rPr>
                <w:rFonts w:hint="eastAsia" w:ascii="宋体" w:hAnsi="宋体" w:eastAsia="宋体" w:cs="宋体"/>
                <w:sz w:val="21"/>
                <w:szCs w:val="21"/>
                <w:highlight w:val="none"/>
              </w:rPr>
              <w:t>（3）投标人按照招标文件的规定提供了投标保证金，满足招标文件投标人须知前附表第3.4.1款要求。</w:t>
            </w:r>
          </w:p>
          <w:p>
            <w:pPr>
              <w:tabs>
                <w:tab w:val="left" w:pos="3060"/>
              </w:tabs>
              <w:snapToGrid w:val="0"/>
              <w:spacing w:line="320" w:lineRule="exact"/>
              <w:ind w:firstLine="218" w:firstLineChars="104"/>
              <w:rPr>
                <w:rFonts w:hint="eastAsia" w:ascii="宋体" w:hAnsi="宋体" w:eastAsia="宋体" w:cs="宋体"/>
                <w:sz w:val="21"/>
                <w:szCs w:val="21"/>
                <w:highlight w:val="none"/>
              </w:rPr>
            </w:pPr>
            <w:r>
              <w:rPr>
                <w:rFonts w:hint="eastAsia" w:ascii="宋体" w:hAnsi="宋体" w:eastAsia="宋体" w:cs="宋体"/>
                <w:sz w:val="21"/>
                <w:szCs w:val="21"/>
                <w:highlight w:val="none"/>
              </w:rPr>
              <w:t>（4）投标人法定代表人授权委托代理人签署投标文件的，须提交授权委托书，授权委托书符合招标文件规定。</w:t>
            </w:r>
          </w:p>
          <w:p>
            <w:pPr>
              <w:tabs>
                <w:tab w:val="left" w:pos="3060"/>
              </w:tabs>
              <w:snapToGrid w:val="0"/>
              <w:spacing w:line="320" w:lineRule="exact"/>
              <w:ind w:firstLine="218" w:firstLineChars="104"/>
              <w:rPr>
                <w:rFonts w:hint="eastAsia" w:ascii="宋体" w:hAnsi="宋体" w:eastAsia="宋体" w:cs="宋体"/>
                <w:sz w:val="21"/>
                <w:szCs w:val="21"/>
                <w:highlight w:val="none"/>
              </w:rPr>
            </w:pPr>
            <w:r>
              <w:rPr>
                <w:rFonts w:hint="eastAsia" w:ascii="宋体" w:hAnsi="宋体" w:eastAsia="宋体" w:cs="宋体"/>
                <w:sz w:val="21"/>
                <w:szCs w:val="21"/>
                <w:highlight w:val="none"/>
              </w:rPr>
              <w:t>（5）投标人法定代表人亲自签署投标文件的，提供了法定代表人身份证明，法定代表人身份证明符合招标文件规定。</w:t>
            </w:r>
          </w:p>
          <w:p>
            <w:pPr>
              <w:tabs>
                <w:tab w:val="left" w:pos="3060"/>
              </w:tabs>
              <w:snapToGrid w:val="0"/>
              <w:spacing w:line="320" w:lineRule="exact"/>
              <w:ind w:firstLine="218" w:firstLineChars="104"/>
              <w:rPr>
                <w:rFonts w:hint="eastAsia" w:ascii="宋体" w:hAnsi="宋体" w:eastAsia="宋体" w:cs="宋体"/>
                <w:sz w:val="21"/>
                <w:szCs w:val="21"/>
                <w:highlight w:val="none"/>
              </w:rPr>
            </w:pPr>
            <w:r>
              <w:rPr>
                <w:rFonts w:hint="eastAsia" w:ascii="宋体" w:hAnsi="宋体" w:eastAsia="宋体" w:cs="宋体"/>
                <w:sz w:val="21"/>
                <w:szCs w:val="21"/>
                <w:highlight w:val="none"/>
              </w:rPr>
              <w:t>（6）投标人未以联合体形式投标。</w:t>
            </w:r>
          </w:p>
          <w:p>
            <w:pPr>
              <w:tabs>
                <w:tab w:val="left" w:pos="3060"/>
              </w:tabs>
              <w:snapToGrid w:val="0"/>
              <w:spacing w:line="320" w:lineRule="exact"/>
              <w:ind w:firstLine="218" w:firstLineChars="104"/>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）投标人未提交两个以上不同的投标文件或备选方案。</w:t>
            </w:r>
          </w:p>
          <w:p>
            <w:pPr>
              <w:tabs>
                <w:tab w:val="left" w:pos="3060"/>
              </w:tabs>
              <w:snapToGrid w:val="0"/>
              <w:spacing w:line="320" w:lineRule="exact"/>
              <w:ind w:firstLine="218" w:firstLineChars="104"/>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）投标文件中未出现有关投标报价的内容。</w:t>
            </w:r>
          </w:p>
          <w:p>
            <w:pPr>
              <w:tabs>
                <w:tab w:val="left" w:pos="3060"/>
              </w:tabs>
              <w:snapToGrid w:val="0"/>
              <w:spacing w:line="320" w:lineRule="exact"/>
              <w:ind w:firstLine="218" w:firstLineChars="104"/>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rPr>
              <w:t>）投标文件载明的招标项目完成期限未超过招标文件规定的时限。</w:t>
            </w:r>
          </w:p>
          <w:p>
            <w:pPr>
              <w:tabs>
                <w:tab w:val="left" w:pos="3060"/>
              </w:tabs>
              <w:snapToGrid w:val="0"/>
              <w:spacing w:line="320" w:lineRule="exact"/>
              <w:ind w:firstLine="218" w:firstLineChars="104"/>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rPr>
              <w:t>）投标文件对招标文件的实质性要求和条件作出响应。</w:t>
            </w:r>
          </w:p>
          <w:p>
            <w:pPr>
              <w:tabs>
                <w:tab w:val="left" w:pos="3060"/>
              </w:tabs>
              <w:snapToGrid w:val="0"/>
              <w:spacing w:line="320" w:lineRule="exact"/>
              <w:ind w:firstLine="218" w:firstLineChars="104"/>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）权利义务符合招标文件规定：</w:t>
            </w:r>
          </w:p>
          <w:p>
            <w:pPr>
              <w:tabs>
                <w:tab w:val="left" w:pos="3060"/>
              </w:tabs>
              <w:snapToGrid w:val="0"/>
              <w:spacing w:line="320" w:lineRule="exact"/>
              <w:ind w:firstLine="218" w:firstLineChars="104"/>
              <w:rPr>
                <w:rFonts w:hint="eastAsia" w:ascii="宋体" w:hAnsi="宋体" w:eastAsia="宋体" w:cs="宋体"/>
                <w:sz w:val="21"/>
                <w:szCs w:val="21"/>
                <w:highlight w:val="none"/>
              </w:rPr>
            </w:pPr>
            <w:r>
              <w:rPr>
                <w:rFonts w:hint="eastAsia" w:ascii="宋体" w:hAnsi="宋体" w:eastAsia="宋体" w:cs="宋体"/>
                <w:sz w:val="21"/>
                <w:szCs w:val="21"/>
                <w:highlight w:val="none"/>
              </w:rPr>
              <w:t>a.投标人应接受招标文件规定的风险划分原则，未提出新的风险划分办法；</w:t>
            </w:r>
          </w:p>
          <w:p>
            <w:pPr>
              <w:tabs>
                <w:tab w:val="left" w:pos="3060"/>
              </w:tabs>
              <w:snapToGrid w:val="0"/>
              <w:spacing w:line="320" w:lineRule="exact"/>
              <w:ind w:firstLine="218" w:firstLineChars="104"/>
              <w:rPr>
                <w:rFonts w:hint="eastAsia" w:ascii="宋体" w:hAnsi="宋体" w:eastAsia="宋体" w:cs="宋体"/>
                <w:sz w:val="21"/>
                <w:szCs w:val="21"/>
                <w:highlight w:val="none"/>
              </w:rPr>
            </w:pPr>
            <w:r>
              <w:rPr>
                <w:rFonts w:hint="eastAsia" w:ascii="宋体" w:hAnsi="宋体" w:eastAsia="宋体" w:cs="宋体"/>
                <w:sz w:val="21"/>
                <w:szCs w:val="21"/>
                <w:highlight w:val="none"/>
              </w:rPr>
              <w:t>b.投标人未增加发包人的责任范围，或减少投标人义务；</w:t>
            </w:r>
          </w:p>
          <w:p>
            <w:pPr>
              <w:tabs>
                <w:tab w:val="left" w:pos="3060"/>
              </w:tabs>
              <w:snapToGrid w:val="0"/>
              <w:spacing w:line="320" w:lineRule="exact"/>
              <w:ind w:firstLine="218" w:firstLineChars="104"/>
              <w:rPr>
                <w:rFonts w:hint="eastAsia" w:ascii="宋体" w:hAnsi="宋体" w:eastAsia="宋体" w:cs="宋体"/>
                <w:sz w:val="21"/>
                <w:szCs w:val="21"/>
                <w:highlight w:val="none"/>
              </w:rPr>
            </w:pPr>
            <w:r>
              <w:rPr>
                <w:rFonts w:hint="eastAsia" w:ascii="宋体" w:hAnsi="宋体" w:eastAsia="宋体" w:cs="宋体"/>
                <w:sz w:val="21"/>
                <w:szCs w:val="21"/>
                <w:highlight w:val="none"/>
              </w:rPr>
              <w:t>c.投标人未提出不同的支付办法；</w:t>
            </w:r>
          </w:p>
          <w:p>
            <w:pPr>
              <w:tabs>
                <w:tab w:val="left" w:pos="3060"/>
              </w:tabs>
              <w:snapToGrid w:val="0"/>
              <w:spacing w:line="320" w:lineRule="exact"/>
              <w:ind w:firstLine="218" w:firstLineChars="104"/>
              <w:rPr>
                <w:rFonts w:hint="eastAsia" w:ascii="宋体" w:hAnsi="宋体" w:eastAsia="宋体" w:cs="宋体"/>
                <w:sz w:val="21"/>
                <w:szCs w:val="21"/>
                <w:highlight w:val="none"/>
              </w:rPr>
            </w:pPr>
            <w:r>
              <w:rPr>
                <w:rFonts w:hint="eastAsia" w:ascii="宋体" w:hAnsi="宋体" w:eastAsia="宋体" w:cs="宋体"/>
                <w:sz w:val="21"/>
                <w:szCs w:val="21"/>
                <w:highlight w:val="none"/>
              </w:rPr>
              <w:t>d.投标人对合同纠纷、事故处理办法未提出异议；</w:t>
            </w:r>
          </w:p>
          <w:p>
            <w:pPr>
              <w:tabs>
                <w:tab w:val="left" w:pos="3060"/>
              </w:tabs>
              <w:snapToGrid w:val="0"/>
              <w:spacing w:line="320" w:lineRule="exact"/>
              <w:ind w:firstLine="218" w:firstLineChars="104"/>
              <w:rPr>
                <w:rFonts w:hint="eastAsia" w:ascii="宋体" w:hAnsi="宋体" w:eastAsia="宋体" w:cs="宋体"/>
                <w:sz w:val="21"/>
                <w:szCs w:val="21"/>
                <w:highlight w:val="none"/>
              </w:rPr>
            </w:pPr>
            <w:r>
              <w:rPr>
                <w:rFonts w:hint="eastAsia" w:ascii="宋体" w:hAnsi="宋体" w:eastAsia="宋体" w:cs="宋体"/>
                <w:sz w:val="21"/>
                <w:szCs w:val="21"/>
                <w:highlight w:val="none"/>
              </w:rPr>
              <w:t>e.投标人在投标活动中无欺诈行为；</w:t>
            </w:r>
          </w:p>
          <w:p>
            <w:pPr>
              <w:tabs>
                <w:tab w:val="left" w:pos="3060"/>
              </w:tabs>
              <w:snapToGrid w:val="0"/>
              <w:spacing w:line="320" w:lineRule="exact"/>
              <w:ind w:firstLine="218" w:firstLineChars="104"/>
              <w:rPr>
                <w:rFonts w:hint="eastAsia" w:ascii="宋体" w:hAnsi="宋体" w:eastAsia="宋体" w:cs="宋体"/>
                <w:sz w:val="21"/>
                <w:szCs w:val="21"/>
                <w:highlight w:val="none"/>
              </w:rPr>
            </w:pPr>
            <w:r>
              <w:rPr>
                <w:rFonts w:hint="eastAsia" w:ascii="宋体" w:hAnsi="宋体" w:eastAsia="宋体" w:cs="宋体"/>
                <w:sz w:val="21"/>
                <w:szCs w:val="21"/>
                <w:highlight w:val="none"/>
              </w:rPr>
              <w:t>f.投标人未对合同条款有重要保留。</w:t>
            </w:r>
          </w:p>
          <w:p>
            <w:pPr>
              <w:tabs>
                <w:tab w:val="left" w:pos="3060"/>
              </w:tabs>
              <w:snapToGrid w:val="0"/>
              <w:spacing w:line="320" w:lineRule="exact"/>
              <w:ind w:firstLine="211" w:firstLineChars="104"/>
              <w:jc w:val="left"/>
              <w:rPr>
                <w:rFonts w:hint="eastAsia" w:ascii="宋体" w:hAnsi="宋体" w:eastAsia="宋体" w:cs="宋体"/>
                <w:szCs w:val="21"/>
                <w:highlight w:val="none"/>
              </w:rPr>
            </w:pPr>
            <w:r>
              <w:rPr>
                <w:rFonts w:hint="eastAsia" w:ascii="宋体" w:hAnsi="宋体" w:eastAsia="宋体" w:cs="宋体"/>
                <w:b/>
                <w:bCs/>
                <w:spacing w:val="-4"/>
                <w:sz w:val="21"/>
                <w:szCs w:val="21"/>
                <w:highlight w:val="none"/>
              </w:rPr>
              <w:t>第一个信封（技术文件）评审标准（暗标部分）：</w:t>
            </w:r>
          </w:p>
          <w:p>
            <w:pPr>
              <w:tabs>
                <w:tab w:val="left" w:pos="3060"/>
              </w:tabs>
              <w:snapToGrid w:val="0"/>
              <w:spacing w:line="320" w:lineRule="exact"/>
              <w:ind w:firstLine="218" w:firstLineChars="104"/>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w:t>
            </w:r>
            <w:r>
              <w:rPr>
                <w:rFonts w:hint="eastAsia" w:ascii="宋体" w:hAnsi="宋体" w:eastAsia="宋体" w:cs="宋体"/>
                <w:sz w:val="21"/>
                <w:highlight w:val="none"/>
              </w:rPr>
              <w:t>施工组织设计（暗标）符合招标文件第二章“投标人须知”第10.2款的规定</w:t>
            </w:r>
            <w:r>
              <w:rPr>
                <w:rFonts w:hint="eastAsia" w:ascii="宋体" w:hAnsi="宋体" w:eastAsia="宋体" w:cs="宋体"/>
                <w:kern w:val="2"/>
                <w:sz w:val="21"/>
                <w:szCs w:val="21"/>
                <w:highlight w:val="none"/>
              </w:rPr>
              <w:t>。</w:t>
            </w:r>
          </w:p>
          <w:p>
            <w:pPr>
              <w:tabs>
                <w:tab w:val="left" w:pos="3060"/>
              </w:tabs>
              <w:snapToGrid w:val="0"/>
              <w:spacing w:line="320" w:lineRule="exact"/>
              <w:ind w:firstLine="219" w:firstLineChars="104"/>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rPr>
              <w:t>第二个信封（报价文件）评审标准：</w:t>
            </w:r>
          </w:p>
          <w:p>
            <w:pPr>
              <w:tabs>
                <w:tab w:val="left" w:pos="3060"/>
              </w:tabs>
              <w:snapToGrid w:val="0"/>
              <w:spacing w:line="320" w:lineRule="exact"/>
              <w:ind w:firstLine="218" w:firstLineChars="104"/>
              <w:rPr>
                <w:rFonts w:hint="eastAsia" w:ascii="宋体" w:hAnsi="宋体" w:eastAsia="宋体" w:cs="宋体"/>
                <w:sz w:val="21"/>
                <w:szCs w:val="21"/>
                <w:highlight w:val="none"/>
              </w:rPr>
            </w:pPr>
            <w:r>
              <w:rPr>
                <w:rFonts w:hint="eastAsia" w:ascii="宋体" w:hAnsi="宋体" w:eastAsia="宋体" w:cs="宋体"/>
                <w:sz w:val="21"/>
                <w:szCs w:val="21"/>
                <w:highlight w:val="none"/>
              </w:rPr>
              <w:t>（1）投标文件按照招标文件规定的格式、内容填写，字迹清晰可辨，内容齐全完整：</w:t>
            </w:r>
          </w:p>
          <w:p>
            <w:pPr>
              <w:snapToGrid w:val="0"/>
              <w:spacing w:line="3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a．投标函按招标文件规定填报了招标人名称、项目名称、补遗书编号（如有）、投标报价（包括大写金额和小写金额）；</w:t>
            </w:r>
          </w:p>
          <w:p>
            <w:pPr>
              <w:snapToGrid w:val="0"/>
              <w:spacing w:line="300" w:lineRule="exact"/>
              <w:ind w:firstLine="420" w:firstLineChars="200"/>
              <w:rPr>
                <w:rFonts w:hint="eastAsia" w:ascii="宋体" w:hAnsi="宋体" w:eastAsia="宋体" w:cs="宋体"/>
                <w:sz w:val="21"/>
                <w:szCs w:val="21"/>
                <w:highlight w:val="none"/>
              </w:rPr>
            </w:pPr>
            <w:r>
              <w:rPr>
                <w:rFonts w:hint="eastAsia" w:ascii="宋体" w:hAnsi="宋体" w:cs="宋体"/>
                <w:sz w:val="21"/>
                <w:szCs w:val="21"/>
                <w:highlight w:val="none"/>
              </w:rPr>
              <w:t>b．已标价工程量清单说明文字与招标文件规定一致，未对实质性内容进行修改和删减；</w:t>
            </w:r>
          </w:p>
          <w:p>
            <w:pPr>
              <w:tabs>
                <w:tab w:val="left" w:pos="3060"/>
              </w:tabs>
              <w:snapToGrid w:val="0"/>
              <w:spacing w:line="320" w:lineRule="exact"/>
              <w:ind w:firstLine="218" w:firstLineChars="104"/>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c</w:t>
            </w:r>
            <w:r>
              <w:rPr>
                <w:rFonts w:hint="eastAsia" w:ascii="宋体" w:hAnsi="宋体" w:eastAsia="宋体" w:cs="宋体"/>
                <w:sz w:val="21"/>
                <w:szCs w:val="21"/>
                <w:highlight w:val="none"/>
              </w:rPr>
              <w:t>．投标文件组成齐全完整，内容均按规定填写；</w:t>
            </w:r>
          </w:p>
          <w:p>
            <w:pPr>
              <w:tabs>
                <w:tab w:val="left" w:pos="3060"/>
              </w:tabs>
              <w:snapToGrid w:val="0"/>
              <w:spacing w:line="320" w:lineRule="exact"/>
              <w:ind w:firstLine="218" w:firstLineChars="104"/>
              <w:rPr>
                <w:rFonts w:hint="eastAsia" w:ascii="宋体" w:hAnsi="宋体" w:eastAsia="宋体" w:cs="宋体"/>
                <w:bCs/>
                <w:sz w:val="21"/>
                <w:szCs w:val="21"/>
                <w:highlight w:val="none"/>
              </w:rPr>
            </w:pPr>
            <w:r>
              <w:rPr>
                <w:rFonts w:hint="eastAsia" w:ascii="宋体" w:hAnsi="宋体" w:eastAsia="宋体" w:cs="宋体"/>
                <w:bCs/>
                <w:sz w:val="21"/>
                <w:szCs w:val="21"/>
                <w:highlight w:val="none"/>
              </w:rPr>
              <w:t>（2）投标文件上法定代表人或其授权代理人的签字、投标人的单位章盖章齐全，符合招标文件规定；</w:t>
            </w:r>
          </w:p>
          <w:p>
            <w:pPr>
              <w:tabs>
                <w:tab w:val="left" w:pos="3060"/>
              </w:tabs>
              <w:snapToGrid w:val="0"/>
              <w:spacing w:line="320" w:lineRule="exact"/>
              <w:ind w:firstLine="218" w:firstLineChars="104"/>
              <w:rPr>
                <w:rFonts w:hint="eastAsia" w:ascii="宋体" w:hAnsi="宋体" w:eastAsia="宋体" w:cs="宋体"/>
                <w:bCs/>
                <w:sz w:val="21"/>
                <w:szCs w:val="21"/>
                <w:highlight w:val="none"/>
              </w:rPr>
            </w:pPr>
            <w:r>
              <w:rPr>
                <w:rFonts w:hint="eastAsia" w:ascii="宋体" w:hAnsi="宋体" w:eastAsia="宋体" w:cs="宋体"/>
                <w:bCs/>
                <w:sz w:val="21"/>
                <w:szCs w:val="21"/>
                <w:highlight w:val="none"/>
              </w:rPr>
              <w:t>（3）投标报价未超过招标文件设定的最高投标限价；</w:t>
            </w:r>
          </w:p>
          <w:p>
            <w:pPr>
              <w:tabs>
                <w:tab w:val="left" w:pos="3060"/>
              </w:tabs>
              <w:snapToGrid w:val="0"/>
              <w:spacing w:line="320" w:lineRule="exact"/>
              <w:ind w:firstLine="218" w:firstLineChars="104"/>
              <w:rPr>
                <w:rFonts w:hint="eastAsia" w:ascii="宋体" w:hAnsi="宋体" w:eastAsia="宋体" w:cs="宋体"/>
                <w:bCs/>
                <w:sz w:val="21"/>
                <w:szCs w:val="21"/>
                <w:highlight w:val="none"/>
              </w:rPr>
            </w:pPr>
            <w:r>
              <w:rPr>
                <w:rFonts w:hint="eastAsia" w:ascii="宋体" w:hAnsi="宋体" w:eastAsia="宋体" w:cs="宋体"/>
                <w:bCs/>
                <w:sz w:val="21"/>
                <w:szCs w:val="21"/>
                <w:highlight w:val="none"/>
              </w:rPr>
              <w:t>（4）投标报价大写金额能够确定具体数值；</w:t>
            </w:r>
          </w:p>
          <w:p>
            <w:pPr>
              <w:tabs>
                <w:tab w:val="left" w:pos="3060"/>
              </w:tabs>
              <w:snapToGrid w:val="0"/>
              <w:spacing w:line="320" w:lineRule="exact"/>
              <w:ind w:firstLine="218" w:firstLineChars="104"/>
              <w:rPr>
                <w:rFonts w:hint="eastAsia" w:ascii="宋体" w:hAnsi="宋体" w:eastAsia="宋体" w:cs="宋体"/>
                <w:bCs/>
                <w:sz w:val="21"/>
                <w:szCs w:val="21"/>
                <w:highlight w:val="none"/>
              </w:rPr>
            </w:pPr>
            <w:r>
              <w:rPr>
                <w:rFonts w:hint="eastAsia" w:ascii="宋体" w:hAnsi="宋体" w:eastAsia="宋体" w:cs="宋体"/>
                <w:bCs/>
                <w:sz w:val="21"/>
                <w:szCs w:val="21"/>
                <w:highlight w:val="none"/>
              </w:rPr>
              <w:t>（5）投标人未提交两个以上不同的投标报价；</w:t>
            </w:r>
          </w:p>
          <w:p>
            <w:pPr>
              <w:tabs>
                <w:tab w:val="left" w:pos="3060"/>
              </w:tabs>
              <w:snapToGrid w:val="0"/>
              <w:spacing w:line="320" w:lineRule="exact"/>
              <w:ind w:firstLine="218" w:firstLineChars="104"/>
              <w:rPr>
                <w:rFonts w:hint="eastAsia" w:ascii="宋体" w:hAnsi="宋体" w:eastAsia="宋体" w:cs="宋体"/>
                <w:highlight w:val="none"/>
              </w:rPr>
            </w:pPr>
            <w:r>
              <w:rPr>
                <w:rFonts w:hint="eastAsia" w:ascii="宋体" w:hAnsi="宋体" w:eastAsia="宋体" w:cs="宋体"/>
                <w:bCs/>
                <w:sz w:val="21"/>
                <w:szCs w:val="21"/>
                <w:highlight w:val="none"/>
              </w:rPr>
              <w:t>（6）</w:t>
            </w:r>
            <w:r>
              <w:rPr>
                <w:rFonts w:hint="eastAsia" w:ascii="宋体" w:hAnsi="宋体" w:eastAsia="宋体" w:cs="宋体"/>
                <w:kern w:val="2"/>
                <w:sz w:val="21"/>
                <w:szCs w:val="21"/>
                <w:highlight w:val="none"/>
              </w:rPr>
              <w:t>投标人填写完毕的工程量清单未对招标人提供的工程量固化清单电子文件中的数据、格式和运算定义进行修改；工程量清单中的投标报价和投标函大写金额报价一致。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417" w:type="pct"/>
            <w:vAlign w:val="center"/>
          </w:tcPr>
          <w:p>
            <w:pPr>
              <w:snapToGrid w:val="0"/>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2.1.2</w:t>
            </w:r>
          </w:p>
        </w:tc>
        <w:tc>
          <w:tcPr>
            <w:tcW w:w="592" w:type="pct"/>
            <w:gridSpan w:val="3"/>
            <w:vAlign w:val="center"/>
          </w:tcPr>
          <w:p>
            <w:pPr>
              <w:snapToGrid w:val="0"/>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资格评审标准</w:t>
            </w:r>
          </w:p>
        </w:tc>
        <w:tc>
          <w:tcPr>
            <w:tcW w:w="3991" w:type="pct"/>
            <w:gridSpan w:val="3"/>
          </w:tcPr>
          <w:p>
            <w:pPr>
              <w:tabs>
                <w:tab w:val="left" w:pos="3060"/>
              </w:tabs>
              <w:snapToGrid w:val="0"/>
              <w:spacing w:line="320" w:lineRule="exact"/>
              <w:ind w:firstLine="205" w:firstLineChars="98"/>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（1）投标人具备有效的营业执照、资质证书、安全生产许可证和基本账户开户许可证（或基本存款账户信息）。</w:t>
            </w:r>
          </w:p>
          <w:p>
            <w:pPr>
              <w:tabs>
                <w:tab w:val="left" w:pos="3060"/>
              </w:tabs>
              <w:snapToGrid w:val="0"/>
              <w:spacing w:line="320" w:lineRule="exact"/>
              <w:ind w:firstLine="205" w:firstLineChars="98"/>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（2）投标人的资质等级符合招标文件规定。</w:t>
            </w:r>
          </w:p>
          <w:p>
            <w:pPr>
              <w:tabs>
                <w:tab w:val="left" w:pos="3060"/>
              </w:tabs>
              <w:snapToGrid w:val="0"/>
              <w:spacing w:line="320" w:lineRule="exact"/>
              <w:ind w:firstLine="205" w:firstLineChars="98"/>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（3）投标人的财务状况符合招标文件规定。</w:t>
            </w:r>
          </w:p>
          <w:p>
            <w:pPr>
              <w:tabs>
                <w:tab w:val="left" w:pos="3060"/>
              </w:tabs>
              <w:snapToGrid w:val="0"/>
              <w:spacing w:line="320" w:lineRule="exact"/>
              <w:ind w:firstLine="205" w:firstLineChars="98"/>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（4）投标人的业绩符合招标文件规定。</w:t>
            </w:r>
          </w:p>
          <w:p>
            <w:pPr>
              <w:tabs>
                <w:tab w:val="left" w:pos="3060"/>
              </w:tabs>
              <w:snapToGrid w:val="0"/>
              <w:spacing w:line="320" w:lineRule="exact"/>
              <w:ind w:firstLine="205" w:firstLineChars="98"/>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（5）投标人的信誉符合招标文件规定。</w:t>
            </w:r>
          </w:p>
          <w:p>
            <w:pPr>
              <w:tabs>
                <w:tab w:val="left" w:pos="3060"/>
              </w:tabs>
              <w:snapToGrid w:val="0"/>
              <w:spacing w:line="320" w:lineRule="exact"/>
              <w:ind w:firstLine="205" w:firstLineChars="98"/>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（6）投标人的项目经理和项目总工资格符合招标文件规定。</w:t>
            </w:r>
          </w:p>
          <w:p>
            <w:pPr>
              <w:tabs>
                <w:tab w:val="left" w:pos="3060"/>
              </w:tabs>
              <w:snapToGrid w:val="0"/>
              <w:spacing w:line="320" w:lineRule="exact"/>
              <w:ind w:firstLine="105" w:firstLineChars="50"/>
              <w:rPr>
                <w:rFonts w:hint="eastAsia" w:ascii="宋体" w:hAnsi="宋体" w:eastAsia="宋体" w:cs="宋体"/>
                <w:sz w:val="21"/>
                <w:szCs w:val="21"/>
                <w:highlight w:val="none"/>
              </w:rPr>
            </w:pPr>
            <w:r>
              <w:rPr>
                <w:rFonts w:hint="eastAsia" w:ascii="宋体" w:hAnsi="宋体" w:eastAsia="宋体" w:cs="宋体"/>
                <w:bCs/>
                <w:sz w:val="21"/>
                <w:szCs w:val="21"/>
                <w:highlight w:val="none"/>
              </w:rPr>
              <w:t>（7）投标人不存在第二章“投标人须知”第 1.4.3 项或第 1.4.4 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Align w:val="center"/>
          </w:tcPr>
          <w:p>
            <w:pPr>
              <w:snapToGrid w:val="0"/>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2.2.1</w:t>
            </w:r>
          </w:p>
        </w:tc>
        <w:tc>
          <w:tcPr>
            <w:tcW w:w="592" w:type="pct"/>
            <w:gridSpan w:val="3"/>
            <w:vAlign w:val="center"/>
          </w:tcPr>
          <w:p>
            <w:pPr>
              <w:snapToGrid w:val="0"/>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分值构成（总分100分）</w:t>
            </w:r>
          </w:p>
        </w:tc>
        <w:tc>
          <w:tcPr>
            <w:tcW w:w="3991" w:type="pct"/>
            <w:gridSpan w:val="3"/>
            <w:vAlign w:val="center"/>
          </w:tcPr>
          <w:p>
            <w:pPr>
              <w:snapToGrid w:val="0"/>
              <w:spacing w:line="320" w:lineRule="exact"/>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评标价：</w:t>
            </w:r>
            <w:r>
              <w:rPr>
                <w:rFonts w:hint="eastAsia" w:ascii="宋体" w:hAnsi="宋体" w:eastAsia="宋体" w:cs="宋体"/>
                <w:b/>
                <w:sz w:val="21"/>
                <w:szCs w:val="21"/>
                <w:highlight w:val="none"/>
                <w:u w:val="single"/>
              </w:rPr>
              <w:t>100</w:t>
            </w:r>
            <w:r>
              <w:rPr>
                <w:rFonts w:hint="eastAsia" w:ascii="宋体" w:hAnsi="宋体" w:eastAsia="宋体" w:cs="宋体"/>
                <w:b/>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417" w:type="pct"/>
            <w:vAlign w:val="center"/>
          </w:tcPr>
          <w:p>
            <w:pPr>
              <w:snapToGrid w:val="0"/>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2.2.2</w:t>
            </w:r>
          </w:p>
        </w:tc>
        <w:tc>
          <w:tcPr>
            <w:tcW w:w="592" w:type="pct"/>
            <w:gridSpan w:val="3"/>
            <w:vAlign w:val="center"/>
          </w:tcPr>
          <w:p>
            <w:pPr>
              <w:snapToGrid w:val="0"/>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评标基准价计算方法</w:t>
            </w:r>
          </w:p>
        </w:tc>
        <w:tc>
          <w:tcPr>
            <w:tcW w:w="3991" w:type="pct"/>
            <w:gridSpan w:val="3"/>
            <w:vAlign w:val="center"/>
          </w:tcPr>
          <w:p>
            <w:pPr>
              <w:snapToGrid w:val="0"/>
              <w:spacing w:line="320" w:lineRule="exact"/>
              <w:ind w:right="113"/>
              <w:rPr>
                <w:rFonts w:hint="eastAsia" w:ascii="宋体" w:hAnsi="宋体" w:eastAsia="宋体" w:cs="宋体"/>
                <w:sz w:val="21"/>
                <w:szCs w:val="21"/>
                <w:highlight w:val="none"/>
              </w:rPr>
            </w:pPr>
            <w:r>
              <w:rPr>
                <w:rFonts w:hint="eastAsia" w:ascii="宋体" w:hAnsi="宋体" w:eastAsia="宋体" w:cs="宋体"/>
                <w:sz w:val="21"/>
                <w:szCs w:val="21"/>
                <w:highlight w:val="none"/>
              </w:rPr>
              <w:t>评标基准价的计算：</w:t>
            </w:r>
          </w:p>
          <w:p>
            <w:pPr>
              <w:snapToGrid w:val="0"/>
              <w:spacing w:line="320" w:lineRule="exact"/>
              <w:ind w:right="113"/>
              <w:rPr>
                <w:rFonts w:hint="eastAsia" w:ascii="宋体" w:hAnsi="宋体" w:eastAsia="宋体" w:cs="宋体"/>
                <w:sz w:val="21"/>
                <w:szCs w:val="21"/>
                <w:highlight w:val="none"/>
              </w:rPr>
            </w:pPr>
            <w:r>
              <w:rPr>
                <w:rFonts w:hint="eastAsia" w:ascii="宋体" w:hAnsi="宋体" w:eastAsia="宋体" w:cs="宋体"/>
                <w:sz w:val="21"/>
                <w:szCs w:val="21"/>
                <w:highlight w:val="none"/>
              </w:rPr>
              <w:t>在第二个信封开标现场，招标人将按照第一信封开标现场抽取的评标基准价的计算方法当场计算并宣布评标基准价。</w:t>
            </w:r>
          </w:p>
          <w:p>
            <w:pPr>
              <w:snapToGrid w:val="0"/>
              <w:spacing w:line="320" w:lineRule="exact"/>
              <w:ind w:right="113"/>
              <w:rPr>
                <w:rFonts w:hint="eastAsia" w:ascii="宋体" w:hAnsi="宋体" w:eastAsia="宋体" w:cs="宋体"/>
                <w:sz w:val="21"/>
                <w:szCs w:val="21"/>
                <w:highlight w:val="none"/>
              </w:rPr>
            </w:pPr>
            <w:r>
              <w:rPr>
                <w:rFonts w:hint="eastAsia" w:ascii="宋体" w:hAnsi="宋体" w:eastAsia="宋体" w:cs="宋体"/>
                <w:sz w:val="21"/>
                <w:szCs w:val="21"/>
                <w:highlight w:val="none"/>
              </w:rPr>
              <w:t>(1)评标价的确定：</w:t>
            </w:r>
          </w:p>
          <w:p>
            <w:pPr>
              <w:snapToGrid w:val="0"/>
              <w:spacing w:line="320" w:lineRule="exact"/>
              <w:ind w:right="113"/>
              <w:rPr>
                <w:rFonts w:hint="eastAsia" w:ascii="宋体" w:hAnsi="宋体" w:eastAsia="宋体" w:cs="宋体"/>
                <w:sz w:val="21"/>
                <w:szCs w:val="21"/>
                <w:highlight w:val="none"/>
              </w:rPr>
            </w:pPr>
            <w:r>
              <w:rPr>
                <w:rFonts w:hint="eastAsia" w:ascii="宋体" w:hAnsi="宋体" w:eastAsia="宋体" w:cs="宋体"/>
                <w:sz w:val="21"/>
                <w:szCs w:val="21"/>
                <w:highlight w:val="none"/>
              </w:rPr>
              <w:t>评标价=投标函文字报价</w:t>
            </w:r>
          </w:p>
          <w:p>
            <w:pPr>
              <w:snapToGrid w:val="0"/>
              <w:spacing w:line="320" w:lineRule="exact"/>
              <w:ind w:right="113"/>
              <w:rPr>
                <w:rFonts w:hint="eastAsia" w:ascii="宋体" w:hAnsi="宋体" w:eastAsia="宋体" w:cs="宋体"/>
                <w:sz w:val="21"/>
                <w:szCs w:val="21"/>
                <w:highlight w:val="none"/>
              </w:rPr>
            </w:pPr>
            <w:r>
              <w:rPr>
                <w:rFonts w:hint="eastAsia" w:ascii="宋体" w:hAnsi="宋体" w:eastAsia="宋体" w:cs="宋体"/>
                <w:sz w:val="21"/>
                <w:szCs w:val="21"/>
                <w:highlight w:val="none"/>
              </w:rPr>
              <w:t>(2)评标价平均值的计算：</w:t>
            </w:r>
          </w:p>
          <w:p>
            <w:pPr>
              <w:snapToGrid w:val="0"/>
              <w:spacing w:line="320" w:lineRule="exact"/>
              <w:ind w:right="113"/>
              <w:rPr>
                <w:rFonts w:hint="eastAsia" w:ascii="宋体" w:hAnsi="宋体" w:eastAsia="宋体" w:cs="宋体"/>
                <w:sz w:val="21"/>
                <w:szCs w:val="21"/>
                <w:highlight w:val="none"/>
              </w:rPr>
            </w:pPr>
            <w:r>
              <w:rPr>
                <w:rFonts w:hint="eastAsia" w:ascii="宋体" w:hAnsi="宋体" w:eastAsia="宋体" w:cs="宋体"/>
                <w:sz w:val="21"/>
                <w:szCs w:val="21"/>
                <w:highlight w:val="none"/>
              </w:rPr>
              <w:t>除按第二章“投标人须知”第5.2.4项规定开标现场被宣布为不进入评标基准价计算的投标报价之外，所有投标人的评标价去掉n1个最高评标价和n2个最低评标价后的算术平均值即为评标价平均值：</w:t>
            </w:r>
          </w:p>
          <w:p>
            <w:pPr>
              <w:snapToGrid w:val="0"/>
              <w:spacing w:line="320" w:lineRule="exact"/>
              <w:ind w:right="113"/>
              <w:rPr>
                <w:rFonts w:hint="eastAsia" w:ascii="宋体" w:hAnsi="宋体" w:eastAsia="宋体" w:cs="宋体"/>
                <w:sz w:val="21"/>
                <w:szCs w:val="21"/>
                <w:highlight w:val="none"/>
              </w:rPr>
            </w:pPr>
            <w:r>
              <w:rPr>
                <w:rFonts w:hint="eastAsia" w:ascii="宋体" w:hAnsi="宋体" w:eastAsia="宋体" w:cs="宋体"/>
                <w:sz w:val="21"/>
                <w:szCs w:val="21"/>
                <w:highlight w:val="none"/>
              </w:rPr>
              <w:t>如果参与评标价平均值计算的投标人数量＜6家时，n1=0，n2=0；</w:t>
            </w:r>
          </w:p>
          <w:p>
            <w:pPr>
              <w:snapToGrid w:val="0"/>
              <w:spacing w:line="320" w:lineRule="exact"/>
              <w:ind w:right="113"/>
              <w:rPr>
                <w:rFonts w:hint="eastAsia" w:ascii="宋体" w:hAnsi="宋体" w:eastAsia="宋体" w:cs="宋体"/>
                <w:sz w:val="21"/>
                <w:szCs w:val="21"/>
                <w:highlight w:val="none"/>
              </w:rPr>
            </w:pPr>
            <w:r>
              <w:rPr>
                <w:rFonts w:hint="eastAsia" w:ascii="宋体" w:hAnsi="宋体" w:eastAsia="宋体" w:cs="宋体"/>
                <w:sz w:val="21"/>
                <w:szCs w:val="21"/>
                <w:highlight w:val="none"/>
              </w:rPr>
              <w:t>6家≤参与评标价平均值计算的投标人数量＜10家时，n1=1，n2=1；</w:t>
            </w:r>
          </w:p>
          <w:p>
            <w:pPr>
              <w:snapToGrid w:val="0"/>
              <w:spacing w:line="320" w:lineRule="exact"/>
              <w:ind w:right="113"/>
              <w:rPr>
                <w:rFonts w:hint="eastAsia" w:ascii="宋体" w:hAnsi="宋体" w:eastAsia="宋体" w:cs="宋体"/>
                <w:sz w:val="21"/>
                <w:szCs w:val="21"/>
                <w:highlight w:val="none"/>
              </w:rPr>
            </w:pPr>
            <w:r>
              <w:rPr>
                <w:rFonts w:hint="eastAsia" w:ascii="宋体" w:hAnsi="宋体" w:eastAsia="宋体" w:cs="宋体"/>
                <w:sz w:val="21"/>
                <w:szCs w:val="21"/>
                <w:highlight w:val="none"/>
              </w:rPr>
              <w:t>10家≤参与评标价平均值计算的投标人数量＜20家时，n1=2，n2=2；</w:t>
            </w:r>
          </w:p>
          <w:p>
            <w:pPr>
              <w:snapToGrid w:val="0"/>
              <w:spacing w:line="320" w:lineRule="exact"/>
              <w:ind w:right="113"/>
              <w:rPr>
                <w:rFonts w:hint="eastAsia" w:ascii="宋体" w:hAnsi="宋体" w:eastAsia="宋体" w:cs="宋体"/>
                <w:sz w:val="21"/>
                <w:szCs w:val="21"/>
                <w:highlight w:val="none"/>
              </w:rPr>
            </w:pPr>
            <w:r>
              <w:rPr>
                <w:rFonts w:hint="eastAsia" w:ascii="宋体" w:hAnsi="宋体" w:eastAsia="宋体" w:cs="宋体"/>
                <w:sz w:val="21"/>
                <w:szCs w:val="21"/>
                <w:highlight w:val="none"/>
              </w:rPr>
              <w:t>20家≤参与评标价平均值计算的投标人数量＜30家时，n1=3，n2=3；</w:t>
            </w:r>
          </w:p>
          <w:p>
            <w:pPr>
              <w:snapToGrid w:val="0"/>
              <w:spacing w:line="320" w:lineRule="exact"/>
              <w:ind w:right="113"/>
              <w:rPr>
                <w:rFonts w:hint="eastAsia" w:ascii="宋体" w:hAnsi="宋体" w:eastAsia="宋体" w:cs="宋体"/>
                <w:sz w:val="21"/>
                <w:szCs w:val="21"/>
                <w:highlight w:val="none"/>
              </w:rPr>
            </w:pPr>
            <w:r>
              <w:rPr>
                <w:rFonts w:hint="eastAsia" w:ascii="宋体" w:hAnsi="宋体" w:eastAsia="宋体" w:cs="宋体"/>
                <w:sz w:val="21"/>
                <w:szCs w:val="21"/>
                <w:highlight w:val="none"/>
              </w:rPr>
              <w:t>参与评标价平均值计算的投标人数量≥30家时，n1=4，n2=4；</w:t>
            </w:r>
          </w:p>
          <w:p>
            <w:pPr>
              <w:snapToGrid w:val="0"/>
              <w:spacing w:line="320" w:lineRule="exact"/>
              <w:ind w:right="113"/>
              <w:rPr>
                <w:rFonts w:hint="eastAsia" w:ascii="宋体" w:hAnsi="宋体" w:eastAsia="宋体" w:cs="宋体"/>
                <w:sz w:val="21"/>
                <w:szCs w:val="21"/>
                <w:highlight w:val="none"/>
              </w:rPr>
            </w:pPr>
            <w:r>
              <w:rPr>
                <w:rFonts w:hint="eastAsia" w:ascii="宋体" w:hAnsi="宋体" w:eastAsia="宋体" w:cs="宋体"/>
                <w:sz w:val="21"/>
                <w:szCs w:val="21"/>
                <w:highlight w:val="none"/>
              </w:rPr>
              <w:t>（3）评标基准价的确定：</w:t>
            </w:r>
          </w:p>
          <w:p>
            <w:pPr>
              <w:snapToGrid w:val="0"/>
              <w:spacing w:line="320" w:lineRule="exact"/>
              <w:ind w:right="113"/>
              <w:rPr>
                <w:rFonts w:hint="eastAsia" w:ascii="宋体" w:hAnsi="宋体" w:eastAsia="宋体" w:cs="宋体"/>
                <w:sz w:val="21"/>
                <w:szCs w:val="21"/>
                <w:highlight w:val="none"/>
              </w:rPr>
            </w:pPr>
            <w:r>
              <w:rPr>
                <w:rFonts w:hint="eastAsia" w:ascii="宋体" w:hAnsi="宋体" w:eastAsia="宋体" w:cs="宋体"/>
                <w:sz w:val="21"/>
                <w:szCs w:val="21"/>
                <w:highlight w:val="none"/>
              </w:rPr>
              <w:t>采取随机抽取的方式从下列方法中确定评标基准价的计算方法：</w:t>
            </w:r>
          </w:p>
          <w:p>
            <w:pPr>
              <w:snapToGrid w:val="0"/>
              <w:spacing w:line="320" w:lineRule="exact"/>
              <w:ind w:right="113"/>
              <w:rPr>
                <w:rFonts w:hint="eastAsia" w:ascii="宋体" w:hAnsi="宋体" w:eastAsia="宋体" w:cs="宋体"/>
                <w:sz w:val="21"/>
                <w:szCs w:val="21"/>
                <w:highlight w:val="none"/>
              </w:rPr>
            </w:pPr>
            <w:r>
              <w:rPr>
                <w:rFonts w:hint="eastAsia" w:ascii="宋体" w:hAnsi="宋体" w:eastAsia="宋体" w:cs="宋体"/>
                <w:sz w:val="21"/>
                <w:szCs w:val="21"/>
                <w:highlight w:val="none"/>
              </w:rPr>
              <w:t>方法一：评标价平均值直接作为评标基准价P。</w:t>
            </w:r>
          </w:p>
          <w:p>
            <w:pPr>
              <w:snapToGrid w:val="0"/>
              <w:spacing w:line="320" w:lineRule="exact"/>
              <w:ind w:right="113"/>
              <w:rPr>
                <w:rFonts w:hint="eastAsia" w:ascii="宋体" w:hAnsi="宋体" w:eastAsia="宋体" w:cs="宋体"/>
                <w:sz w:val="21"/>
                <w:szCs w:val="21"/>
                <w:highlight w:val="none"/>
              </w:rPr>
            </w:pPr>
            <w:r>
              <w:rPr>
                <w:rFonts w:hint="eastAsia" w:ascii="宋体" w:hAnsi="宋体" w:eastAsia="宋体" w:cs="宋体"/>
                <w:sz w:val="21"/>
                <w:szCs w:val="21"/>
                <w:highlight w:val="none"/>
              </w:rPr>
              <w:t>方法二：评标价平均值乘以评标基准价系数K，作为评标基准价P。评标基准价系数K取值范围为</w:t>
            </w:r>
            <w:r>
              <w:rPr>
                <w:rFonts w:hint="eastAsia" w:ascii="宋体" w:hAnsi="宋体" w:cs="宋体"/>
                <w:sz w:val="21"/>
                <w:szCs w:val="21"/>
                <w:highlight w:val="none"/>
                <w:lang w:val="en-US" w:eastAsia="zh-CN"/>
              </w:rPr>
              <w:t>0.975、</w:t>
            </w:r>
            <w:r>
              <w:rPr>
                <w:rFonts w:hint="eastAsia" w:ascii="宋体" w:hAnsi="宋体" w:eastAsia="宋体" w:cs="宋体"/>
                <w:sz w:val="21"/>
                <w:szCs w:val="21"/>
                <w:highlight w:val="none"/>
              </w:rPr>
              <w:t>0.980、0.985、0.990、0.995，在开标现场随机抽取确定。</w:t>
            </w:r>
          </w:p>
          <w:p>
            <w:pPr>
              <w:snapToGrid w:val="0"/>
              <w:spacing w:line="320" w:lineRule="exact"/>
              <w:ind w:right="113"/>
              <w:rPr>
                <w:rFonts w:hint="eastAsia" w:ascii="宋体" w:hAnsi="宋体" w:eastAsia="宋体" w:cs="宋体"/>
                <w:sz w:val="21"/>
                <w:szCs w:val="21"/>
                <w:highlight w:val="none"/>
              </w:rPr>
            </w:pPr>
            <w:r>
              <w:rPr>
                <w:rFonts w:hint="eastAsia" w:ascii="宋体" w:hAnsi="宋体" w:eastAsia="宋体" w:cs="宋体"/>
                <w:sz w:val="21"/>
                <w:szCs w:val="21"/>
                <w:highlight w:val="none"/>
              </w:rPr>
              <w:t>方法三：评标价平均值与投标人报价的中位数的平均值作为评标基准价P。</w:t>
            </w:r>
          </w:p>
          <w:p>
            <w:pPr>
              <w:snapToGrid w:val="0"/>
              <w:spacing w:line="320" w:lineRule="exact"/>
              <w:ind w:right="113"/>
              <w:rPr>
                <w:rFonts w:hint="eastAsia" w:ascii="宋体" w:hAnsi="宋体" w:eastAsia="宋体" w:cs="宋体"/>
                <w:sz w:val="21"/>
                <w:szCs w:val="21"/>
                <w:highlight w:val="none"/>
              </w:rPr>
            </w:pPr>
            <w:r>
              <w:rPr>
                <w:rFonts w:hint="eastAsia" w:ascii="宋体" w:hAnsi="宋体" w:eastAsia="宋体" w:cs="宋体"/>
                <w:sz w:val="21"/>
                <w:szCs w:val="21"/>
                <w:highlight w:val="none"/>
              </w:rPr>
              <w:t>中位数：把所有评标价按高低排序后找出正中间的一个作为中位数。如果评标价为偶数个，取最中间的两个数值的平均值作为中位数。</w:t>
            </w:r>
          </w:p>
          <w:p>
            <w:pPr>
              <w:snapToGrid w:val="0"/>
              <w:spacing w:line="320" w:lineRule="exact"/>
              <w:ind w:right="113"/>
              <w:rPr>
                <w:rFonts w:hint="eastAsia" w:ascii="宋体" w:hAnsi="宋体" w:eastAsia="宋体" w:cs="宋体"/>
                <w:sz w:val="21"/>
                <w:szCs w:val="21"/>
                <w:highlight w:val="none"/>
              </w:rPr>
            </w:pPr>
            <w:r>
              <w:rPr>
                <w:rFonts w:hint="eastAsia" w:ascii="宋体" w:hAnsi="宋体" w:eastAsia="宋体" w:cs="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pPr>
              <w:pStyle w:val="8"/>
              <w:snapToGrid w:val="0"/>
              <w:spacing w:line="32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417" w:type="pct"/>
            <w:vAlign w:val="center"/>
          </w:tcPr>
          <w:p>
            <w:pPr>
              <w:snapToGrid w:val="0"/>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2.2.3</w:t>
            </w:r>
          </w:p>
        </w:tc>
        <w:tc>
          <w:tcPr>
            <w:tcW w:w="592" w:type="pct"/>
            <w:gridSpan w:val="3"/>
            <w:vAlign w:val="center"/>
          </w:tcPr>
          <w:p>
            <w:pPr>
              <w:snapToGrid w:val="0"/>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评标价的偏差率计算公式</w:t>
            </w:r>
          </w:p>
        </w:tc>
        <w:tc>
          <w:tcPr>
            <w:tcW w:w="3991" w:type="pct"/>
            <w:gridSpan w:val="3"/>
            <w:vAlign w:val="center"/>
          </w:tcPr>
          <w:p>
            <w:pPr>
              <w:snapToGrid w:val="0"/>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Align w:val="center"/>
          </w:tcPr>
          <w:p>
            <w:pPr>
              <w:snapToGrid w:val="0"/>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3.5.1</w:t>
            </w:r>
          </w:p>
        </w:tc>
        <w:tc>
          <w:tcPr>
            <w:tcW w:w="592" w:type="pct"/>
            <w:gridSpan w:val="3"/>
            <w:vAlign w:val="center"/>
          </w:tcPr>
          <w:p>
            <w:pPr>
              <w:adjustRightInd w:val="0"/>
              <w:snapToGrid w:val="0"/>
              <w:spacing w:line="320" w:lineRule="exact"/>
              <w:jc w:val="center"/>
              <w:rPr>
                <w:rFonts w:hint="eastAsia" w:ascii="宋体" w:hAnsi="宋体" w:eastAsia="宋体" w:cs="宋体"/>
                <w:sz w:val="21"/>
                <w:szCs w:val="21"/>
                <w:highlight w:val="none"/>
              </w:rPr>
            </w:pPr>
            <w:r>
              <w:rPr>
                <w:rFonts w:hint="eastAsia" w:ascii="宋体" w:hAnsi="宋体" w:eastAsia="宋体" w:cs="宋体"/>
                <w:b/>
                <w:sz w:val="21"/>
                <w:szCs w:val="21"/>
                <w:highlight w:val="none"/>
              </w:rPr>
              <w:t>投标文件相关信息的核查</w:t>
            </w:r>
          </w:p>
        </w:tc>
        <w:tc>
          <w:tcPr>
            <w:tcW w:w="3991" w:type="pct"/>
            <w:gridSpan w:val="3"/>
            <w:vAlign w:val="center"/>
          </w:tcPr>
          <w:p>
            <w:pPr>
              <w:autoSpaceDE w:val="0"/>
              <w:autoSpaceDN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本款修改为：</w:t>
            </w:r>
          </w:p>
          <w:p>
            <w:pPr>
              <w:autoSpaceDE w:val="0"/>
              <w:autoSpaceDN w:val="0"/>
              <w:snapToGrid w:val="0"/>
              <w:spacing w:line="3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（1）投标人信用情况网页截图内容与在“国家企业信用信息公示系统”中</w:t>
            </w:r>
            <w:r>
              <w:rPr>
                <w:rFonts w:hint="eastAsia" w:ascii="宋体" w:hAnsi="宋体" w:eastAsia="宋体" w:cs="宋体"/>
                <w:sz w:val="21"/>
                <w:szCs w:val="21"/>
                <w:highlight w:val="none"/>
                <w:lang w:bidi="ar"/>
              </w:rPr>
              <w:t>严重违法失信名单（黑名单）信息</w:t>
            </w:r>
            <w:r>
              <w:rPr>
                <w:rFonts w:hint="eastAsia" w:ascii="宋体" w:hAnsi="宋体" w:eastAsia="宋体" w:cs="宋体"/>
                <w:sz w:val="21"/>
                <w:szCs w:val="21"/>
                <w:highlight w:val="none"/>
              </w:rPr>
              <w:t>（不含分公司）或在“信用中国”网站中失信被执行人名单、经营异常名录、重大税收违法失信主体、政府采购严重违法失信行为记录名单（均不含分公司）的复核结果一致。</w:t>
            </w:r>
          </w:p>
          <w:p>
            <w:pPr>
              <w:autoSpaceDE w:val="0"/>
              <w:autoSpaceDN w:val="0"/>
              <w:snapToGrid w:val="0"/>
              <w:spacing w:line="3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如投标人未提供相关网页截图或相关网页截图中的信息无法证实投标人满足招标文件规定的资格审查条件或网页截图与的核查结果不一致，则相关内容不予认定。</w:t>
            </w:r>
          </w:p>
          <w:p>
            <w:pPr>
              <w:autoSpaceDE w:val="0"/>
              <w:autoSpaceDN w:val="0"/>
              <w:snapToGrid w:val="0"/>
              <w:spacing w:line="3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（2）项目经理如为一级注册建造师，评标委员会在“全国建筑市场监管公共服务平台”查询复核，复核结果与投标人所附信息不一致的，评标委员会应否决其投标。</w:t>
            </w:r>
          </w:p>
          <w:p>
            <w:pPr>
              <w:autoSpaceDE w:val="0"/>
              <w:autoSpaceDN w:val="0"/>
              <w:snapToGrid w:val="0"/>
              <w:spacing w:line="3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（3）评标委员会在评标时按照投标人提供的验证方式对电子保函或电子保证保险进行验证。如投标人未提供电子保函或电子保证保险的验证方式，或根据提供的验证方式无法核实的，评标委员会应否决其投标。</w:t>
            </w:r>
          </w:p>
          <w:p>
            <w:pPr>
              <w:autoSpaceDE w:val="0"/>
              <w:autoSpaceDN w:val="0"/>
              <w:snapToGrid w:val="0"/>
              <w:spacing w:line="3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7"/>
            <w:vAlign w:val="center"/>
          </w:tcPr>
          <w:p>
            <w:pPr>
              <w:snapToGrid w:val="0"/>
              <w:spacing w:line="320" w:lineRule="exact"/>
              <w:ind w:right="113"/>
              <w:rPr>
                <w:rFonts w:hint="eastAsia" w:ascii="宋体" w:hAnsi="宋体" w:eastAsia="宋体" w:cs="宋体"/>
                <w:bCs/>
                <w:sz w:val="21"/>
                <w:szCs w:val="21"/>
                <w:highlight w:val="none"/>
              </w:rPr>
            </w:pPr>
            <w:r>
              <w:rPr>
                <w:rFonts w:hint="eastAsia" w:ascii="宋体" w:hAnsi="宋体" w:eastAsia="宋体" w:cs="宋体"/>
                <w:sz w:val="21"/>
                <w:szCs w:val="21"/>
                <w:highlight w:val="none"/>
              </w:rPr>
              <w:t>需要补充的其他内容：</w:t>
            </w:r>
            <w:r>
              <w:rPr>
                <w:rFonts w:hint="eastAsia" w:ascii="宋体" w:hAnsi="宋体" w:eastAsia="宋体" w:cs="宋体"/>
                <w:bCs/>
                <w:sz w:val="21"/>
                <w:szCs w:val="21"/>
                <w:highlight w:val="none"/>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8" w:hRule="exact"/>
        </w:trPr>
        <w:tc>
          <w:tcPr>
            <w:tcW w:w="486" w:type="pct"/>
            <w:gridSpan w:val="2"/>
            <w:vAlign w:val="center"/>
          </w:tcPr>
          <w:p>
            <w:pPr>
              <w:autoSpaceDE w:val="0"/>
              <w:autoSpaceDN w:val="0"/>
              <w:spacing w:line="440" w:lineRule="exact"/>
              <w:ind w:right="11"/>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条款号</w:t>
            </w:r>
          </w:p>
        </w:tc>
        <w:tc>
          <w:tcPr>
            <w:tcW w:w="1796" w:type="pct"/>
            <w:gridSpan w:val="4"/>
            <w:tcBorders>
              <w:right w:val="single" w:color="auto" w:sz="4" w:space="0"/>
            </w:tcBorders>
            <w:vAlign w:val="center"/>
          </w:tcPr>
          <w:p>
            <w:pPr>
              <w:autoSpaceDE w:val="0"/>
              <w:autoSpaceDN w:val="0"/>
              <w:spacing w:line="440" w:lineRule="exact"/>
              <w:ind w:right="11"/>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评审因素与权重分值</w:t>
            </w:r>
          </w:p>
        </w:tc>
        <w:tc>
          <w:tcPr>
            <w:tcW w:w="2718" w:type="pct"/>
            <w:tcBorders>
              <w:left w:val="single" w:color="auto" w:sz="4" w:space="0"/>
              <w:bottom w:val="single" w:color="auto" w:sz="4" w:space="0"/>
            </w:tcBorders>
            <w:vAlign w:val="center"/>
          </w:tcPr>
          <w:p>
            <w:pPr>
              <w:autoSpaceDE w:val="0"/>
              <w:autoSpaceDN w:val="0"/>
              <w:spacing w:line="440" w:lineRule="exact"/>
              <w:ind w:right="11"/>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76" w:hRule="exact"/>
        </w:trPr>
        <w:tc>
          <w:tcPr>
            <w:tcW w:w="486" w:type="pct"/>
            <w:gridSpan w:val="2"/>
            <w:vAlign w:val="center"/>
          </w:tcPr>
          <w:p>
            <w:pPr>
              <w:autoSpaceDE w:val="0"/>
              <w:autoSpaceDN w:val="0"/>
              <w:snapToGrid w:val="0"/>
              <w:ind w:right="11"/>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2.2.4</w:t>
            </w:r>
          </w:p>
        </w:tc>
        <w:tc>
          <w:tcPr>
            <w:tcW w:w="261" w:type="pct"/>
            <w:vAlign w:val="center"/>
          </w:tcPr>
          <w:p>
            <w:pPr>
              <w:autoSpaceDE w:val="0"/>
              <w:autoSpaceDN w:val="0"/>
              <w:spacing w:line="36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评标价</w:t>
            </w:r>
          </w:p>
        </w:tc>
        <w:tc>
          <w:tcPr>
            <w:tcW w:w="424" w:type="pct"/>
            <w:gridSpan w:val="2"/>
            <w:vAlign w:val="center"/>
          </w:tcPr>
          <w:p>
            <w:pPr>
              <w:autoSpaceDE w:val="0"/>
              <w:autoSpaceDN w:val="0"/>
              <w:spacing w:line="192" w:lineRule="exact"/>
              <w:ind w:left="2" w:right="2"/>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100分</w:t>
            </w:r>
          </w:p>
        </w:tc>
        <w:tc>
          <w:tcPr>
            <w:tcW w:w="3829" w:type="pct"/>
            <w:gridSpan w:val="2"/>
            <w:vAlign w:val="center"/>
          </w:tcPr>
          <w:p>
            <w:pPr>
              <w:pStyle w:val="5"/>
              <w:snapToGrid w:val="0"/>
              <w:spacing w:line="320" w:lineRule="exact"/>
              <w:jc w:val="left"/>
              <w:rPr>
                <w:rFonts w:hint="eastAsia" w:ascii="宋体" w:hAnsi="宋体" w:eastAsia="宋体" w:cs="宋体"/>
                <w:szCs w:val="21"/>
                <w:highlight w:val="none"/>
              </w:rPr>
            </w:pPr>
            <w:r>
              <w:rPr>
                <w:rFonts w:hint="eastAsia" w:ascii="宋体" w:hAnsi="宋体" w:eastAsia="宋体" w:cs="宋体"/>
                <w:szCs w:val="21"/>
                <w:highlight w:val="none"/>
              </w:rPr>
              <w:t>评标价得分计算公式：</w:t>
            </w:r>
          </w:p>
          <w:p>
            <w:pPr>
              <w:snapToGrid w:val="0"/>
              <w:spacing w:line="320" w:lineRule="exact"/>
              <w:ind w:firstLine="321" w:firstLineChars="153"/>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a.如果投标人的评标价＞评标基准价，则评标价得分＝100－偏差率×100×E1；</w:t>
            </w:r>
          </w:p>
          <w:p>
            <w:pPr>
              <w:snapToGrid w:val="0"/>
              <w:spacing w:line="320" w:lineRule="exact"/>
              <w:ind w:firstLine="321" w:firstLineChars="153"/>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b.如果投标人的评标价≤评标基准价，则评标价得分＝100＋偏差率×100×E2；</w:t>
            </w:r>
          </w:p>
          <w:p>
            <w:pPr>
              <w:pStyle w:val="5"/>
              <w:snapToGrid w:val="0"/>
              <w:spacing w:line="320" w:lineRule="exact"/>
              <w:jc w:val="left"/>
              <w:rPr>
                <w:rFonts w:hint="eastAsia" w:ascii="宋体" w:hAnsi="宋体" w:eastAsia="宋体" w:cs="宋体"/>
                <w:szCs w:val="21"/>
                <w:highlight w:val="none"/>
              </w:rPr>
            </w:pPr>
            <w:r>
              <w:rPr>
                <w:rFonts w:hint="eastAsia" w:ascii="宋体" w:hAnsi="宋体" w:eastAsia="宋体" w:cs="宋体"/>
                <w:bCs/>
                <w:szCs w:val="21"/>
                <w:highlight w:val="none"/>
              </w:rPr>
              <w:t>其中，E1是评标价每高于评标基准价一个百分点的扣分值，E1＝2；E2是评标价每低于评标基准价一个百分点的扣分值，E2＝1。</w:t>
            </w:r>
          </w:p>
          <w:p>
            <w:pPr>
              <w:pStyle w:val="5"/>
              <w:snapToGrid w:val="0"/>
              <w:spacing w:line="320" w:lineRule="exact"/>
              <w:jc w:val="left"/>
              <w:rPr>
                <w:rFonts w:hint="eastAsia" w:ascii="宋体" w:hAnsi="宋体" w:eastAsia="宋体" w:cs="宋体"/>
                <w:szCs w:val="21"/>
                <w:highlight w:val="none"/>
              </w:rPr>
            </w:pPr>
            <w:r>
              <w:rPr>
                <w:rFonts w:hint="eastAsia" w:ascii="宋体" w:hAnsi="宋体" w:eastAsia="宋体" w:cs="宋体"/>
                <w:szCs w:val="21"/>
                <w:highlight w:val="none"/>
              </w:rPr>
              <w:t>注：评标价得分保留小数点后两位，小数点后第三位四舍五入。</w:t>
            </w:r>
          </w:p>
        </w:tc>
      </w:tr>
    </w:tbl>
    <w:p>
      <w:bookmarkStart w:id="13" w:name="_GoBack"/>
      <w:bookmarkEnd w:id="1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1752B55"/>
    <w:rsid w:val="01F1646E"/>
    <w:rsid w:val="052B11AA"/>
    <w:rsid w:val="053765B9"/>
    <w:rsid w:val="05482EA2"/>
    <w:rsid w:val="064102F9"/>
    <w:rsid w:val="067A164E"/>
    <w:rsid w:val="07FC4D37"/>
    <w:rsid w:val="0AB54A42"/>
    <w:rsid w:val="0CA8704E"/>
    <w:rsid w:val="0E81287E"/>
    <w:rsid w:val="12476BEA"/>
    <w:rsid w:val="15252667"/>
    <w:rsid w:val="153B67D4"/>
    <w:rsid w:val="16415095"/>
    <w:rsid w:val="17C044C3"/>
    <w:rsid w:val="18670549"/>
    <w:rsid w:val="18D83ED4"/>
    <w:rsid w:val="1B676774"/>
    <w:rsid w:val="1C063B10"/>
    <w:rsid w:val="1D7B470C"/>
    <w:rsid w:val="1D951969"/>
    <w:rsid w:val="1F071645"/>
    <w:rsid w:val="1F58329B"/>
    <w:rsid w:val="214C45F4"/>
    <w:rsid w:val="23585E1D"/>
    <w:rsid w:val="237B6F63"/>
    <w:rsid w:val="262B258E"/>
    <w:rsid w:val="267C5F31"/>
    <w:rsid w:val="27065532"/>
    <w:rsid w:val="27C849A7"/>
    <w:rsid w:val="29FD3CFB"/>
    <w:rsid w:val="2A14027C"/>
    <w:rsid w:val="2A7201E4"/>
    <w:rsid w:val="2C053E53"/>
    <w:rsid w:val="2C461E1C"/>
    <w:rsid w:val="2E355690"/>
    <w:rsid w:val="2EED0ED3"/>
    <w:rsid w:val="2F12606C"/>
    <w:rsid w:val="2FE07023"/>
    <w:rsid w:val="30646183"/>
    <w:rsid w:val="31EE7681"/>
    <w:rsid w:val="34715C57"/>
    <w:rsid w:val="35F04520"/>
    <w:rsid w:val="36AE5B31"/>
    <w:rsid w:val="37DE6BB9"/>
    <w:rsid w:val="38F0586E"/>
    <w:rsid w:val="39BF72B4"/>
    <w:rsid w:val="3AFE0D2F"/>
    <w:rsid w:val="3B4A3961"/>
    <w:rsid w:val="3BED56CD"/>
    <w:rsid w:val="3D784A90"/>
    <w:rsid w:val="3E864610"/>
    <w:rsid w:val="3F405866"/>
    <w:rsid w:val="4327445A"/>
    <w:rsid w:val="438E434B"/>
    <w:rsid w:val="439515D5"/>
    <w:rsid w:val="43A66C1F"/>
    <w:rsid w:val="48A43D49"/>
    <w:rsid w:val="4B4311A8"/>
    <w:rsid w:val="4B720118"/>
    <w:rsid w:val="4BEE2E5D"/>
    <w:rsid w:val="4E1C46B2"/>
    <w:rsid w:val="51ED2A7B"/>
    <w:rsid w:val="54697928"/>
    <w:rsid w:val="56FC3747"/>
    <w:rsid w:val="5787161D"/>
    <w:rsid w:val="5C09106B"/>
    <w:rsid w:val="5C761162"/>
    <w:rsid w:val="5C926C63"/>
    <w:rsid w:val="5E554B9A"/>
    <w:rsid w:val="61CF197C"/>
    <w:rsid w:val="63737747"/>
    <w:rsid w:val="654419FA"/>
    <w:rsid w:val="65E20F44"/>
    <w:rsid w:val="6683726D"/>
    <w:rsid w:val="669B5E8E"/>
    <w:rsid w:val="67367C78"/>
    <w:rsid w:val="678A4CB4"/>
    <w:rsid w:val="67FA6F08"/>
    <w:rsid w:val="6EA91E8E"/>
    <w:rsid w:val="708243D3"/>
    <w:rsid w:val="71AA3117"/>
    <w:rsid w:val="735C2CFF"/>
    <w:rsid w:val="74497FB5"/>
    <w:rsid w:val="75456D0E"/>
    <w:rsid w:val="75610AB3"/>
    <w:rsid w:val="777F589E"/>
    <w:rsid w:val="78F758DF"/>
    <w:rsid w:val="7D5239E6"/>
    <w:rsid w:val="7EC84463"/>
    <w:rsid w:val="7F89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8"/>
      <w:sz w:val="28"/>
      <w:lang w:val="en-US" w:eastAsia="zh-CN" w:bidi="ar-SA"/>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kern w:val="2"/>
      <w:szCs w:val="24"/>
    </w:rPr>
  </w:style>
  <w:style w:type="paragraph" w:styleId="3">
    <w:name w:val="Body Text 2"/>
    <w:basedOn w:val="1"/>
    <w:next w:val="1"/>
    <w:qFormat/>
    <w:uiPriority w:val="0"/>
    <w:rPr>
      <w:kern w:val="2"/>
    </w:rPr>
  </w:style>
  <w:style w:type="paragraph" w:styleId="5">
    <w:name w:val="Plain Text"/>
    <w:basedOn w:val="1"/>
    <w:qFormat/>
    <w:uiPriority w:val="0"/>
    <w:rPr>
      <w:rFonts w:ascii="宋体" w:hAnsi="Courier New"/>
      <w:kern w:val="2"/>
      <w:sz w:val="21"/>
    </w:rPr>
  </w:style>
  <w:style w:type="paragraph" w:customStyle="1" w:styleId="8">
    <w:name w:val="Table Paragraph"/>
    <w:basedOn w:val="1"/>
    <w:qFormat/>
    <w:uiPriority w:val="0"/>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2022-07-14T09:40:00Z</dcterms:created>
  <dc:creator>admin</dc:creator>
  <cp:lastModifiedBy>李</cp:lastModifiedBy>
  <dcterms:modified xsi:type="dcterms:W3CDTF">2024-11-26T11:20:28Z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78724F35F4C14ABF86A21046069351B7</vt:lpwstr>
  </property>
</Properties>
</file>