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A57A7">
      <w:pPr>
        <w:widowControl/>
        <w:spacing w:line="360" w:lineRule="auto"/>
        <w:jc w:val="left"/>
        <w:outlineLvl w:val="2"/>
        <w:rPr>
          <w:rFonts w:ascii="宋体" w:hAnsi="宋体" w:cs="宋体"/>
          <w:bCs/>
          <w:sz w:val="24"/>
          <w:highlight w:val="none"/>
        </w:rPr>
      </w:pPr>
      <w:bookmarkStart w:id="11" w:name="_GoBack"/>
      <w:bookmarkEnd w:id="11"/>
      <w:r>
        <w:rPr>
          <w:rStyle w:val="15"/>
          <w:rFonts w:hint="eastAsia" w:ascii="宋体" w:hAnsi="宋体" w:eastAsia="宋体" w:cs="宋体"/>
          <w:b/>
          <w:highlight w:val="none"/>
        </w:rPr>
        <w:t>附件</w:t>
      </w:r>
      <w:r>
        <w:rPr>
          <w:rStyle w:val="15"/>
          <w:rFonts w:hint="eastAsia" w:ascii="宋体" w:hAnsi="宋体" w:cs="宋体"/>
          <w:b/>
          <w:highlight w:val="none"/>
        </w:rPr>
        <w:t>1</w:t>
      </w:r>
      <w:r>
        <w:rPr>
          <w:rStyle w:val="15"/>
          <w:rFonts w:hint="eastAsia" w:ascii="宋体" w:hAnsi="宋体" w:eastAsia="宋体" w:cs="宋体"/>
          <w:b/>
          <w:highlight w:val="none"/>
        </w:rPr>
        <w:t>：</w:t>
      </w:r>
      <w:r>
        <w:rPr>
          <w:rFonts w:hint="eastAsia" w:ascii="宋体" w:hAnsi="宋体" w:cs="宋体"/>
          <w:b/>
          <w:sz w:val="24"/>
          <w:highlight w:val="none"/>
        </w:rPr>
        <w:t>资格审查条件</w:t>
      </w:r>
    </w:p>
    <w:p w14:paraId="67CB2F97">
      <w:pPr>
        <w:jc w:val="center"/>
        <w:rPr>
          <w:rStyle w:val="15"/>
          <w:rFonts w:ascii="宋体" w:hAnsi="宋体" w:eastAsia="宋体" w:cs="宋体"/>
          <w:bCs/>
          <w:highlight w:val="none"/>
        </w:rPr>
      </w:pPr>
    </w:p>
    <w:p w14:paraId="6E9F7566">
      <w:pPr>
        <w:jc w:val="center"/>
        <w:rPr>
          <w:rStyle w:val="15"/>
          <w:rFonts w:ascii="宋体" w:hAnsi="宋体" w:eastAsia="宋体" w:cs="宋体"/>
          <w:bCs/>
          <w:highlight w:val="none"/>
        </w:rPr>
      </w:pPr>
      <w:r>
        <w:rPr>
          <w:rStyle w:val="15"/>
          <w:rFonts w:hint="eastAsia" w:ascii="宋体" w:hAnsi="宋体" w:eastAsia="宋体" w:cs="宋体"/>
          <w:bCs/>
          <w:highlight w:val="none"/>
        </w:rPr>
        <w:t>附录1  资格审查条件（资质最低条件）</w:t>
      </w:r>
    </w:p>
    <w:tbl>
      <w:tblPr>
        <w:tblStyle w:val="13"/>
        <w:tblW w:w="908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087"/>
      </w:tblGrid>
      <w:tr w14:paraId="0913D08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9087" w:type="dxa"/>
            <w:tcBorders>
              <w:top w:val="single" w:color="auto" w:sz="2" w:space="0"/>
              <w:left w:val="single" w:color="auto" w:sz="2" w:space="0"/>
              <w:bottom w:val="single" w:color="auto" w:sz="2" w:space="0"/>
              <w:right w:val="single" w:color="auto" w:sz="2" w:space="0"/>
            </w:tcBorders>
            <w:vAlign w:val="center"/>
          </w:tcPr>
          <w:p w14:paraId="27293A9E">
            <w:pPr>
              <w:jc w:val="center"/>
              <w:rPr>
                <w:rFonts w:ascii="宋体" w:hAnsi="宋体" w:cs="宋体"/>
                <w:bCs/>
                <w:szCs w:val="21"/>
                <w:highlight w:val="none"/>
              </w:rPr>
            </w:pPr>
            <w:r>
              <w:rPr>
                <w:rFonts w:hint="eastAsia" w:ascii="宋体" w:hAnsi="宋体" w:cs="宋体"/>
                <w:bCs/>
                <w:szCs w:val="21"/>
                <w:highlight w:val="none"/>
              </w:rPr>
              <w:t>资质要求</w:t>
            </w:r>
          </w:p>
        </w:tc>
      </w:tr>
      <w:tr w14:paraId="569DA0F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9087" w:type="dxa"/>
            <w:tcBorders>
              <w:top w:val="single" w:color="auto" w:sz="2" w:space="0"/>
              <w:left w:val="single" w:color="auto" w:sz="2" w:space="0"/>
              <w:bottom w:val="single" w:color="auto" w:sz="2" w:space="0"/>
              <w:right w:val="single" w:color="auto" w:sz="2" w:space="0"/>
            </w:tcBorders>
            <w:vAlign w:val="center"/>
          </w:tcPr>
          <w:p w14:paraId="539A463F">
            <w:pPr>
              <w:spacing w:line="340" w:lineRule="exact"/>
              <w:ind w:firstLine="420" w:firstLineChars="200"/>
              <w:rPr>
                <w:rFonts w:ascii="宋体" w:hAnsi="宋体" w:cs="宋体"/>
                <w:bCs/>
                <w:highlight w:val="none"/>
              </w:rPr>
            </w:pPr>
            <w:r>
              <w:rPr>
                <w:rFonts w:hint="eastAsia" w:ascii="宋体" w:hAnsi="宋体" w:cs="宋体"/>
                <w:bCs/>
                <w:highlight w:val="none"/>
              </w:rPr>
              <w:t>在中华人民共和国境内注册的独立法人或其他组织，投标人须</w:t>
            </w:r>
            <w:r>
              <w:rPr>
                <w:rFonts w:hint="eastAsia" w:ascii="宋体" w:hAnsi="宋体" w:cs="宋体"/>
                <w:color w:val="000000"/>
                <w:sz w:val="21"/>
                <w:szCs w:val="21"/>
                <w:highlight w:val="none"/>
              </w:rPr>
              <w:t>持有有效</w:t>
            </w:r>
            <w:r>
              <w:rPr>
                <w:rFonts w:hint="eastAsia" w:ascii="宋体" w:hAnsi="宋体" w:cs="宋体"/>
                <w:color w:val="000000"/>
                <w:sz w:val="21"/>
                <w:szCs w:val="21"/>
                <w:highlight w:val="none"/>
                <w:lang w:val="en-US" w:eastAsia="zh-CN"/>
              </w:rPr>
              <w:t>的</w:t>
            </w:r>
            <w:r>
              <w:rPr>
                <w:rFonts w:hint="eastAsia" w:ascii="宋体" w:hAnsi="宋体" w:cs="宋体"/>
                <w:color w:val="000000"/>
                <w:sz w:val="21"/>
                <w:szCs w:val="21"/>
                <w:highlight w:val="none"/>
              </w:rPr>
              <w:t>营业执照</w:t>
            </w:r>
            <w:r>
              <w:rPr>
                <w:rFonts w:hint="eastAsia" w:ascii="宋体" w:hAnsi="宋体" w:cs="宋体"/>
                <w:color w:val="000000"/>
                <w:sz w:val="21"/>
                <w:szCs w:val="21"/>
                <w:highlight w:val="none"/>
                <w:lang w:eastAsia="zh-CN"/>
              </w:rPr>
              <w:t>，</w:t>
            </w:r>
            <w:r>
              <w:rPr>
                <w:rFonts w:hint="eastAsia" w:ascii="宋体" w:hAnsi="宋体" w:cs="宋体"/>
                <w:bCs/>
                <w:highlight w:val="none"/>
              </w:rPr>
              <w:t>具有中国证券监督管理委员会颁发的《经营证券业务许可证》或《经营证券期货业务许可证》。</w:t>
            </w:r>
          </w:p>
        </w:tc>
      </w:tr>
    </w:tbl>
    <w:p w14:paraId="0724209E">
      <w:pPr>
        <w:jc w:val="center"/>
        <w:rPr>
          <w:rStyle w:val="15"/>
          <w:rFonts w:ascii="宋体" w:hAnsi="宋体" w:eastAsia="宋体" w:cs="宋体"/>
          <w:bCs/>
          <w:highlight w:val="none"/>
        </w:rPr>
      </w:pPr>
    </w:p>
    <w:p w14:paraId="7468A89A">
      <w:pPr>
        <w:jc w:val="center"/>
        <w:rPr>
          <w:rFonts w:ascii="宋体" w:hAnsi="宋体" w:cs="宋体"/>
          <w:bCs/>
          <w:sz w:val="18"/>
          <w:szCs w:val="18"/>
          <w:highlight w:val="none"/>
        </w:rPr>
      </w:pPr>
      <w:r>
        <w:rPr>
          <w:rStyle w:val="15"/>
          <w:rFonts w:hint="eastAsia" w:ascii="宋体" w:hAnsi="宋体" w:eastAsia="宋体" w:cs="宋体"/>
          <w:bCs/>
          <w:highlight w:val="none"/>
        </w:rPr>
        <w:t>附录</w:t>
      </w:r>
      <w:r>
        <w:rPr>
          <w:rStyle w:val="15"/>
          <w:rFonts w:hint="eastAsia" w:ascii="宋体" w:hAnsi="宋体" w:cs="宋体"/>
          <w:bCs/>
          <w:highlight w:val="none"/>
        </w:rPr>
        <w:t>2</w:t>
      </w:r>
      <w:r>
        <w:rPr>
          <w:rStyle w:val="15"/>
          <w:rFonts w:hint="eastAsia" w:ascii="宋体" w:hAnsi="宋体" w:eastAsia="宋体" w:cs="宋体"/>
          <w:bCs/>
          <w:highlight w:val="none"/>
        </w:rPr>
        <w:t xml:space="preserve">  资格审查条件（信誉最低要求）</w:t>
      </w: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1565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9099" w:type="dxa"/>
            <w:vAlign w:val="center"/>
          </w:tcPr>
          <w:p w14:paraId="184D2D66">
            <w:pPr>
              <w:jc w:val="center"/>
              <w:rPr>
                <w:rFonts w:ascii="宋体" w:hAnsi="宋体" w:cs="宋体"/>
                <w:bCs/>
                <w:highlight w:val="none"/>
              </w:rPr>
            </w:pPr>
            <w:r>
              <w:rPr>
                <w:rFonts w:hint="eastAsia" w:ascii="宋体" w:hAnsi="宋体" w:cs="宋体"/>
                <w:bCs/>
                <w:highlight w:val="none"/>
              </w:rPr>
              <w:t>信誉要求</w:t>
            </w:r>
          </w:p>
        </w:tc>
      </w:tr>
      <w:tr w14:paraId="089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099" w:type="dxa"/>
            <w:vAlign w:val="center"/>
          </w:tcPr>
          <w:p w14:paraId="2A0B6915">
            <w:pPr>
              <w:spacing w:line="340" w:lineRule="exact"/>
              <w:ind w:firstLine="420" w:firstLineChars="200"/>
              <w:rPr>
                <w:rFonts w:hAnsi="宋体"/>
                <w:bCs/>
                <w:color w:val="auto"/>
                <w:highlight w:val="none"/>
              </w:rPr>
            </w:pPr>
            <w:r>
              <w:rPr>
                <w:rFonts w:hint="eastAsia"/>
                <w:highlight w:val="none"/>
                <w:lang w:eastAsia="zh-CN"/>
              </w:rPr>
              <w:t>投标</w:t>
            </w:r>
            <w:r>
              <w:rPr>
                <w:rFonts w:hint="eastAsia"/>
                <w:highlight w:val="none"/>
                <w:lang w:val="en-US" w:eastAsia="zh-CN"/>
              </w:rPr>
              <w:t>在近1年内（2023年11月1日至今）不曾在公司债发行服务合同中违约而被驱逐或因投标人自身的原因而使公司债发行服务合同被解除</w:t>
            </w:r>
            <w:r>
              <w:rPr>
                <w:rFonts w:hint="eastAsia"/>
                <w:highlight w:val="none"/>
              </w:rPr>
              <w:t>。</w:t>
            </w:r>
          </w:p>
        </w:tc>
      </w:tr>
    </w:tbl>
    <w:p w14:paraId="288147E8">
      <w:pPr>
        <w:rPr>
          <w:rStyle w:val="15"/>
          <w:rFonts w:ascii="宋体" w:hAnsi="宋体" w:eastAsia="宋体" w:cs="宋体"/>
          <w:bCs/>
          <w:sz w:val="18"/>
          <w:szCs w:val="18"/>
          <w:highlight w:val="none"/>
        </w:rPr>
      </w:pPr>
    </w:p>
    <w:p w14:paraId="1FFDE26E">
      <w:pPr>
        <w:spacing w:line="360" w:lineRule="auto"/>
        <w:outlineLvl w:val="2"/>
        <w:rPr>
          <w:rFonts w:ascii="宋体" w:hAnsi="宋体" w:cs="宋体"/>
          <w:b/>
          <w:sz w:val="24"/>
          <w:highlight w:val="none"/>
        </w:rPr>
      </w:pPr>
      <w:r>
        <w:rPr>
          <w:rFonts w:hint="eastAsia" w:ascii="宋体" w:hAnsi="宋体" w:cs="宋体"/>
          <w:sz w:val="24"/>
          <w:highlight w:val="none"/>
        </w:rPr>
        <w:br w:type="page"/>
      </w:r>
      <w:r>
        <w:rPr>
          <w:rStyle w:val="15"/>
          <w:rFonts w:hint="eastAsia" w:ascii="宋体" w:hAnsi="宋体" w:eastAsia="宋体" w:cs="宋体"/>
          <w:b/>
          <w:highlight w:val="none"/>
        </w:rPr>
        <w:t>附件</w:t>
      </w:r>
      <w:r>
        <w:rPr>
          <w:rStyle w:val="15"/>
          <w:rFonts w:hint="eastAsia" w:ascii="宋体" w:hAnsi="宋体" w:cs="宋体"/>
          <w:b/>
          <w:highlight w:val="none"/>
        </w:rPr>
        <w:t>2</w:t>
      </w:r>
      <w:r>
        <w:rPr>
          <w:rStyle w:val="15"/>
          <w:rFonts w:hint="eastAsia" w:ascii="宋体" w:hAnsi="宋体" w:eastAsia="宋体" w:cs="宋体"/>
          <w:b/>
          <w:highlight w:val="none"/>
        </w:rPr>
        <w:t>：</w:t>
      </w:r>
      <w:r>
        <w:rPr>
          <w:rFonts w:hint="eastAsia" w:ascii="宋体" w:hAnsi="宋体" w:cs="宋体"/>
          <w:b/>
          <w:sz w:val="24"/>
          <w:highlight w:val="none"/>
        </w:rPr>
        <w:t>评标办法</w:t>
      </w:r>
    </w:p>
    <w:p w14:paraId="27A2CF10">
      <w:pPr>
        <w:pStyle w:val="8"/>
        <w:snapToGrid w:val="0"/>
        <w:spacing w:before="120" w:after="120" w:line="240" w:lineRule="auto"/>
        <w:rPr>
          <w:sz w:val="24"/>
          <w:szCs w:val="24"/>
          <w:highlight w:val="none"/>
        </w:rPr>
      </w:pPr>
      <w:bookmarkStart w:id="0" w:name="_Toc141783238"/>
      <w:bookmarkStart w:id="1" w:name="_Toc146320979"/>
      <w:bookmarkStart w:id="2" w:name="_Toc65857110"/>
      <w:bookmarkStart w:id="3" w:name="_Toc65820978"/>
      <w:bookmarkStart w:id="4" w:name="_Toc66337244"/>
      <w:bookmarkStart w:id="5" w:name="_Toc146029312"/>
      <w:bookmarkStart w:id="6" w:name="_Toc138793770"/>
      <w:bookmarkStart w:id="7" w:name="_Toc66984522"/>
      <w:r>
        <w:rPr>
          <w:rFonts w:hint="eastAsia"/>
          <w:sz w:val="24"/>
          <w:szCs w:val="24"/>
          <w:highlight w:val="none"/>
        </w:rPr>
        <w:t>评标办法前附表</w:t>
      </w:r>
      <w:bookmarkEnd w:id="0"/>
      <w:bookmarkEnd w:id="1"/>
      <w:bookmarkEnd w:id="2"/>
      <w:bookmarkEnd w:id="3"/>
      <w:bookmarkEnd w:id="4"/>
      <w:bookmarkEnd w:id="5"/>
      <w:bookmarkEnd w:id="6"/>
      <w:bookmarkEnd w:id="7"/>
    </w:p>
    <w:tbl>
      <w:tblPr>
        <w:tblStyle w:val="1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63"/>
        <w:gridCol w:w="7183"/>
      </w:tblGrid>
      <w:tr w14:paraId="6E6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8" w:type="dxa"/>
            <w:vAlign w:val="center"/>
          </w:tcPr>
          <w:p w14:paraId="5E521E20">
            <w:pPr>
              <w:spacing w:line="264" w:lineRule="auto"/>
              <w:jc w:val="center"/>
              <w:rPr>
                <w:rFonts w:ascii="宋体" w:hAnsi="宋体" w:cs="宋体"/>
                <w:szCs w:val="21"/>
                <w:highlight w:val="none"/>
              </w:rPr>
            </w:pPr>
            <w:r>
              <w:rPr>
                <w:rFonts w:hint="eastAsia" w:ascii="宋体" w:hAnsi="宋体" w:cs="宋体"/>
                <w:szCs w:val="21"/>
                <w:highlight w:val="none"/>
              </w:rPr>
              <w:t>条款号</w:t>
            </w:r>
          </w:p>
        </w:tc>
        <w:tc>
          <w:tcPr>
            <w:tcW w:w="1463" w:type="dxa"/>
            <w:vAlign w:val="center"/>
          </w:tcPr>
          <w:p w14:paraId="4876BEF5">
            <w:pPr>
              <w:spacing w:line="264" w:lineRule="auto"/>
              <w:jc w:val="center"/>
              <w:rPr>
                <w:rFonts w:ascii="宋体" w:hAnsi="宋体" w:cs="宋体"/>
                <w:szCs w:val="21"/>
                <w:highlight w:val="none"/>
              </w:rPr>
            </w:pPr>
            <w:r>
              <w:rPr>
                <w:rFonts w:hint="eastAsia" w:ascii="宋体" w:hAnsi="宋体" w:cs="宋体"/>
                <w:szCs w:val="21"/>
                <w:highlight w:val="none"/>
              </w:rPr>
              <w:t>条款名称</w:t>
            </w:r>
          </w:p>
        </w:tc>
        <w:tc>
          <w:tcPr>
            <w:tcW w:w="7183" w:type="dxa"/>
            <w:vAlign w:val="center"/>
          </w:tcPr>
          <w:p w14:paraId="5DC0D2F1">
            <w:pPr>
              <w:spacing w:line="264" w:lineRule="auto"/>
              <w:jc w:val="center"/>
              <w:rPr>
                <w:rFonts w:ascii="宋体" w:hAnsi="宋体" w:cs="宋体"/>
                <w:szCs w:val="21"/>
                <w:highlight w:val="none"/>
              </w:rPr>
            </w:pPr>
            <w:r>
              <w:rPr>
                <w:rFonts w:hint="eastAsia" w:ascii="宋体" w:hAnsi="宋体" w:cs="宋体"/>
                <w:szCs w:val="21"/>
                <w:highlight w:val="none"/>
              </w:rPr>
              <w:t>评审因素与评审标准</w:t>
            </w:r>
          </w:p>
        </w:tc>
      </w:tr>
      <w:tr w14:paraId="6DAE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18" w:type="dxa"/>
            <w:vAlign w:val="center"/>
          </w:tcPr>
          <w:p w14:paraId="578AB5D3">
            <w:pPr>
              <w:spacing w:line="264" w:lineRule="auto"/>
              <w:jc w:val="center"/>
              <w:rPr>
                <w:rFonts w:ascii="宋体" w:hAnsi="宋体" w:cs="宋体"/>
                <w:szCs w:val="21"/>
                <w:highlight w:val="none"/>
              </w:rPr>
            </w:pPr>
            <w:r>
              <w:rPr>
                <w:rFonts w:hint="eastAsia" w:ascii="宋体" w:hAnsi="宋体" w:cs="宋体"/>
                <w:szCs w:val="21"/>
                <w:highlight w:val="none"/>
              </w:rPr>
              <w:t>1</w:t>
            </w:r>
          </w:p>
        </w:tc>
        <w:tc>
          <w:tcPr>
            <w:tcW w:w="1463" w:type="dxa"/>
            <w:vAlign w:val="center"/>
          </w:tcPr>
          <w:p w14:paraId="2B5C315D">
            <w:pPr>
              <w:spacing w:line="264" w:lineRule="auto"/>
              <w:jc w:val="center"/>
              <w:rPr>
                <w:rFonts w:ascii="宋体" w:hAnsi="宋体" w:cs="宋体"/>
                <w:szCs w:val="21"/>
                <w:highlight w:val="none"/>
              </w:rPr>
            </w:pPr>
            <w:r>
              <w:rPr>
                <w:rFonts w:hint="eastAsia" w:ascii="宋体" w:hAnsi="宋体" w:cs="宋体"/>
                <w:szCs w:val="21"/>
                <w:highlight w:val="none"/>
              </w:rPr>
              <w:t>评标办法</w:t>
            </w:r>
          </w:p>
        </w:tc>
        <w:tc>
          <w:tcPr>
            <w:tcW w:w="7183" w:type="dxa"/>
            <w:vAlign w:val="center"/>
          </w:tcPr>
          <w:p w14:paraId="7DDDB653">
            <w:pPr>
              <w:ind w:firstLine="315" w:firstLineChars="150"/>
              <w:jc w:val="left"/>
              <w:rPr>
                <w:highlight w:val="none"/>
              </w:rPr>
            </w:pPr>
            <w:r>
              <w:rPr>
                <w:rFonts w:hint="eastAsia"/>
                <w:highlight w:val="none"/>
              </w:rPr>
              <w:t>本次评标采用综合评估法。评标委员会对满足招标文件实质性要求的投标文件，按照本章第2.2款规定的评分标准进行打分，并按得分由高到低顺序，推荐</w:t>
            </w:r>
            <w:r>
              <w:rPr>
                <w:highlight w:val="none"/>
              </w:rPr>
              <w:t>10</w:t>
            </w:r>
            <w:r>
              <w:rPr>
                <w:rFonts w:hint="eastAsia"/>
                <w:highlight w:val="none"/>
              </w:rPr>
              <w:t>名候选人。</w:t>
            </w:r>
          </w:p>
          <w:p w14:paraId="1CD2CD57">
            <w:pPr>
              <w:ind w:firstLine="315" w:firstLineChars="150"/>
              <w:jc w:val="left"/>
              <w:rPr>
                <w:highlight w:val="none"/>
              </w:rPr>
            </w:pPr>
            <w:r>
              <w:rPr>
                <w:rFonts w:hint="eastAsia"/>
                <w:highlight w:val="none"/>
              </w:rPr>
              <w:t>综合评分相等时，评标委员会依次按照以下优先顺序推荐候选人：</w:t>
            </w:r>
          </w:p>
          <w:p w14:paraId="72CDB21C">
            <w:pPr>
              <w:ind w:firstLine="315" w:firstLineChars="150"/>
              <w:jc w:val="left"/>
              <w:rPr>
                <w:highlight w:val="none"/>
              </w:rPr>
            </w:pPr>
            <w:r>
              <w:rPr>
                <w:rFonts w:hint="eastAsia"/>
                <w:highlight w:val="none"/>
              </w:rPr>
              <w:t>（</w:t>
            </w:r>
            <w:r>
              <w:rPr>
                <w:highlight w:val="none"/>
              </w:rPr>
              <w:t>1</w:t>
            </w:r>
            <w:r>
              <w:rPr>
                <w:rFonts w:hint="eastAsia"/>
                <w:highlight w:val="none"/>
              </w:rPr>
              <w:t>）评标价低的投标人优先；</w:t>
            </w:r>
          </w:p>
          <w:p w14:paraId="461F9BA5">
            <w:pPr>
              <w:ind w:firstLine="315" w:firstLineChars="150"/>
              <w:jc w:val="left"/>
              <w:rPr>
                <w:highlight w:val="none"/>
              </w:rPr>
            </w:pPr>
            <w:r>
              <w:rPr>
                <w:rFonts w:hint="eastAsia"/>
                <w:highlight w:val="none"/>
              </w:rPr>
              <w:t>（2）商务部分得分较高的优先；</w:t>
            </w:r>
          </w:p>
          <w:p w14:paraId="6539A797">
            <w:pPr>
              <w:ind w:firstLine="315" w:firstLineChars="150"/>
              <w:jc w:val="left"/>
              <w:rPr>
                <w:highlight w:val="none"/>
              </w:rPr>
            </w:pPr>
            <w:r>
              <w:rPr>
                <w:rFonts w:hint="eastAsia"/>
                <w:highlight w:val="none"/>
              </w:rPr>
              <w:t>（3）评标委员会综合考量，投票决定优先顺序。</w:t>
            </w:r>
          </w:p>
          <w:p w14:paraId="43488D27">
            <w:pPr>
              <w:ind w:firstLine="315" w:firstLineChars="150"/>
              <w:jc w:val="left"/>
              <w:rPr>
                <w:rFonts w:ascii="宋体" w:hAnsi="宋体" w:cs="宋体"/>
                <w:szCs w:val="21"/>
                <w:highlight w:val="none"/>
              </w:rPr>
            </w:pPr>
            <w:r>
              <w:rPr>
                <w:rFonts w:hint="eastAsia"/>
                <w:highlight w:val="none"/>
              </w:rPr>
              <w:t>若通过</w:t>
            </w:r>
            <w:r>
              <w:rPr>
                <w:rFonts w:hint="eastAsia"/>
                <w:highlight w:val="none"/>
                <w:lang w:val="en-US" w:eastAsia="zh-CN"/>
              </w:rPr>
              <w:t>初步</w:t>
            </w:r>
            <w:r>
              <w:rPr>
                <w:rFonts w:hint="eastAsia"/>
                <w:highlight w:val="none"/>
              </w:rPr>
              <w:t>评审的投标人数量少于或等于</w:t>
            </w:r>
            <w:r>
              <w:rPr>
                <w:highlight w:val="none"/>
              </w:rPr>
              <w:t>10</w:t>
            </w:r>
            <w:r>
              <w:rPr>
                <w:rFonts w:hint="eastAsia"/>
                <w:highlight w:val="none"/>
              </w:rPr>
              <w:t>，则评标委员会不再进行打分，全部推荐为候选人。</w:t>
            </w:r>
          </w:p>
        </w:tc>
      </w:tr>
      <w:tr w14:paraId="7A47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Align w:val="center"/>
          </w:tcPr>
          <w:p w14:paraId="1741694E">
            <w:pPr>
              <w:spacing w:line="264" w:lineRule="auto"/>
              <w:jc w:val="center"/>
              <w:rPr>
                <w:rFonts w:ascii="宋体" w:hAnsi="宋体" w:cs="宋体"/>
                <w:szCs w:val="21"/>
                <w:highlight w:val="none"/>
              </w:rPr>
            </w:pPr>
            <w:r>
              <w:rPr>
                <w:rFonts w:hint="eastAsia" w:ascii="宋体" w:hAnsi="宋体" w:cs="宋体"/>
                <w:szCs w:val="21"/>
                <w:highlight w:val="none"/>
              </w:rPr>
              <w:t>2.1.1</w:t>
            </w:r>
          </w:p>
          <w:p w14:paraId="159DE88A">
            <w:pPr>
              <w:spacing w:line="264" w:lineRule="auto"/>
              <w:jc w:val="center"/>
              <w:rPr>
                <w:rFonts w:ascii="宋体" w:hAnsi="宋体" w:cs="宋体"/>
                <w:szCs w:val="21"/>
                <w:highlight w:val="none"/>
              </w:rPr>
            </w:pPr>
            <w:r>
              <w:rPr>
                <w:rFonts w:hint="eastAsia" w:ascii="宋体" w:hAnsi="宋体" w:cs="宋体"/>
                <w:szCs w:val="21"/>
                <w:highlight w:val="none"/>
              </w:rPr>
              <w:t>2.1.3</w:t>
            </w:r>
          </w:p>
        </w:tc>
        <w:tc>
          <w:tcPr>
            <w:tcW w:w="1463" w:type="dxa"/>
            <w:vAlign w:val="center"/>
          </w:tcPr>
          <w:p w14:paraId="794C2DEB">
            <w:pPr>
              <w:spacing w:line="264" w:lineRule="auto"/>
              <w:jc w:val="center"/>
              <w:rPr>
                <w:rFonts w:ascii="宋体" w:hAnsi="宋体" w:cs="宋体"/>
                <w:szCs w:val="21"/>
                <w:highlight w:val="none"/>
              </w:rPr>
            </w:pPr>
            <w:r>
              <w:rPr>
                <w:rFonts w:hint="eastAsia" w:ascii="宋体" w:hAnsi="宋体" w:cs="宋体"/>
                <w:szCs w:val="21"/>
                <w:highlight w:val="none"/>
              </w:rPr>
              <w:t>形式评审与响应性评审标准</w:t>
            </w:r>
          </w:p>
        </w:tc>
        <w:tc>
          <w:tcPr>
            <w:tcW w:w="7183" w:type="dxa"/>
            <w:vAlign w:val="center"/>
          </w:tcPr>
          <w:p w14:paraId="3BC70758">
            <w:pPr>
              <w:tabs>
                <w:tab w:val="left" w:pos="3060"/>
              </w:tabs>
              <w:snapToGrid w:val="0"/>
              <w:spacing w:line="320" w:lineRule="exact"/>
              <w:rPr>
                <w:rFonts w:ascii="宋体" w:hAnsi="宋体" w:cs="宋体"/>
                <w:highlight w:val="none"/>
              </w:rPr>
            </w:pPr>
            <w:r>
              <w:rPr>
                <w:rFonts w:hint="eastAsia" w:ascii="宋体" w:hAnsi="宋体" w:cs="宋体"/>
                <w:highlight w:val="none"/>
              </w:rPr>
              <w:t>第一个信封（</w:t>
            </w:r>
            <w:r>
              <w:rPr>
                <w:rFonts w:hint="eastAsia" w:ascii="宋体" w:hAnsi="宋体" w:cs="宋体"/>
                <w:highlight w:val="none"/>
                <w:lang w:eastAsia="zh-CN"/>
              </w:rPr>
              <w:t>商务及服务方案</w:t>
            </w:r>
            <w:r>
              <w:rPr>
                <w:rFonts w:hint="eastAsia" w:ascii="宋体" w:hAnsi="宋体" w:cs="宋体"/>
                <w:highlight w:val="none"/>
              </w:rPr>
              <w:t>）评审标准：</w:t>
            </w:r>
          </w:p>
          <w:p w14:paraId="2D29D84A">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（1）投标文件按照招标文件规定的格式、内容填写，字迹清晰可辨：</w:t>
            </w:r>
          </w:p>
          <w:p w14:paraId="675350DF">
            <w:pPr>
              <w:tabs>
                <w:tab w:val="left" w:pos="3060"/>
              </w:tabs>
              <w:snapToGrid w:val="0"/>
              <w:spacing w:line="320" w:lineRule="exact"/>
              <w:ind w:firstLine="420" w:firstLineChars="200"/>
              <w:rPr>
                <w:rFonts w:ascii="宋体" w:hAnsi="宋体" w:cs="宋体"/>
                <w:highlight w:val="none"/>
              </w:rPr>
            </w:pPr>
            <w:r>
              <w:rPr>
                <w:rFonts w:hint="eastAsia" w:ascii="宋体" w:hAnsi="宋体" w:cs="宋体"/>
                <w:highlight w:val="none"/>
              </w:rPr>
              <w:t>a．投标函按招标文件规定填报了招标人名称、项目名称、补遗书编号（如有）、服务周期等内容；</w:t>
            </w:r>
          </w:p>
          <w:p w14:paraId="0DAAD835">
            <w:pPr>
              <w:tabs>
                <w:tab w:val="left" w:pos="3060"/>
              </w:tabs>
              <w:snapToGrid w:val="0"/>
              <w:spacing w:line="320" w:lineRule="exact"/>
              <w:ind w:firstLine="420" w:firstLineChars="200"/>
              <w:rPr>
                <w:rFonts w:ascii="宋体" w:hAnsi="宋体" w:cs="宋体"/>
                <w:highlight w:val="none"/>
              </w:rPr>
            </w:pPr>
            <w:r>
              <w:rPr>
                <w:rFonts w:hint="eastAsia" w:ascii="宋体" w:hAnsi="宋体" w:cs="宋体"/>
                <w:highlight w:val="none"/>
              </w:rPr>
              <w:t>b．投标文件组成齐全完整，内容均按规定填写。</w:t>
            </w:r>
          </w:p>
          <w:p w14:paraId="445E7509">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（2）投标文件上法定代表人或其授权代理人的签字、投标人的单位章盖章齐全，符合招标文件规定。</w:t>
            </w:r>
          </w:p>
          <w:p w14:paraId="6694836C">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（3）</w:t>
            </w:r>
            <w:r>
              <w:rPr>
                <w:rFonts w:hint="eastAsia" w:ascii="宋体" w:hAnsi="宋体" w:cs="宋体"/>
                <w:szCs w:val="21"/>
                <w:highlight w:val="none"/>
              </w:rPr>
              <w:t>投标人法定代表人授权委托代理人签署投标文件的，须提交授权委托书，授权委托书的签字盖章符合招标文件规定</w:t>
            </w:r>
            <w:r>
              <w:rPr>
                <w:rFonts w:hint="eastAsia" w:ascii="宋体" w:hAnsi="宋体" w:cs="宋体"/>
                <w:highlight w:val="none"/>
              </w:rPr>
              <w:t>。</w:t>
            </w:r>
          </w:p>
          <w:p w14:paraId="04DDDFF3">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（4）</w:t>
            </w:r>
            <w:r>
              <w:rPr>
                <w:rFonts w:hint="eastAsia" w:ascii="宋体" w:hAnsi="宋体" w:cs="宋体"/>
                <w:szCs w:val="21"/>
                <w:highlight w:val="none"/>
              </w:rPr>
              <w:t>投标人法定代表人亲自签署投标文件的，提供了法定代表人身份证明,法定代表人身份证明的签字盖章符合招标文件规定</w:t>
            </w:r>
            <w:r>
              <w:rPr>
                <w:rFonts w:hint="eastAsia" w:ascii="宋体" w:hAnsi="宋体" w:cs="宋体"/>
                <w:highlight w:val="none"/>
              </w:rPr>
              <w:t>。</w:t>
            </w:r>
          </w:p>
          <w:p w14:paraId="688A0250">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（5）投标人未以联合体形式投标。</w:t>
            </w:r>
          </w:p>
          <w:p w14:paraId="2A3579F5">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（6）投标人未对本项目提出分包计划。</w:t>
            </w:r>
          </w:p>
          <w:p w14:paraId="069B67A9">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（7）投标人未提交两个以上不同的投标文件或备选方案。</w:t>
            </w:r>
          </w:p>
          <w:p w14:paraId="513DAB94">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（8）投标文件中未出现有关投标报价的内容。</w:t>
            </w:r>
          </w:p>
          <w:p w14:paraId="118A239D">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（9）投标文件载明的招标项目完成期限未超过招标文件规定的服务周期。</w:t>
            </w:r>
          </w:p>
          <w:p w14:paraId="70F6E047">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（10）投标文件对招标文件的实质性要求和条件作出响应。</w:t>
            </w:r>
          </w:p>
          <w:p w14:paraId="3C42FAA1">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（11）权利义务符合招标文件规定：</w:t>
            </w:r>
          </w:p>
          <w:p w14:paraId="5B69F522">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a.投标人应接受招标文件规定的风险划分原则，未提出新的风险划分办法；</w:t>
            </w:r>
          </w:p>
          <w:p w14:paraId="5FB62AAE">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b.投标人未增加发包人的责任范围，或减少投标人义务；</w:t>
            </w:r>
          </w:p>
          <w:p w14:paraId="04C50FB2">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c.投标人未提出不同的支付办法；</w:t>
            </w:r>
          </w:p>
          <w:p w14:paraId="548FDC2E">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d.投标人对合同纠纷、事故处理办法未提出异议；</w:t>
            </w:r>
          </w:p>
          <w:p w14:paraId="29524865">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e.投标人在投标活动中无欺诈行为；</w:t>
            </w:r>
          </w:p>
          <w:p w14:paraId="1F4789CA">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f.投标人未对合同条款有重要保留。</w:t>
            </w:r>
          </w:p>
          <w:p w14:paraId="6F750928">
            <w:pPr>
              <w:tabs>
                <w:tab w:val="left" w:pos="3060"/>
              </w:tabs>
              <w:snapToGrid w:val="0"/>
              <w:spacing w:line="320" w:lineRule="exact"/>
              <w:rPr>
                <w:rFonts w:ascii="宋体" w:hAnsi="宋体" w:cs="宋体"/>
                <w:highlight w:val="none"/>
              </w:rPr>
            </w:pPr>
            <w:r>
              <w:rPr>
                <w:rFonts w:hint="eastAsia" w:ascii="宋体" w:hAnsi="宋体" w:cs="宋体"/>
                <w:highlight w:val="none"/>
              </w:rPr>
              <w:t>第二个信封（报价文件）评审标准：</w:t>
            </w:r>
          </w:p>
          <w:p w14:paraId="6BAF6B57">
            <w:pPr>
              <w:tabs>
                <w:tab w:val="left" w:pos="3060"/>
              </w:tabs>
              <w:snapToGrid w:val="0"/>
              <w:spacing w:line="320" w:lineRule="exact"/>
              <w:ind w:firstLine="210" w:firstLineChars="100"/>
              <w:rPr>
                <w:rFonts w:ascii="宋体" w:hAnsi="宋体" w:cs="宋体"/>
                <w:highlight w:val="none"/>
              </w:rPr>
            </w:pPr>
            <w:r>
              <w:rPr>
                <w:rFonts w:hint="eastAsia" w:ascii="宋体" w:hAnsi="宋体" w:cs="宋体"/>
                <w:highlight w:val="none"/>
              </w:rPr>
              <w:t>（1）投标文件按照招标文件规定的格式、内容填写，字迹清晰可辨，内容齐全完整：</w:t>
            </w:r>
          </w:p>
          <w:p w14:paraId="0C3C62DA">
            <w:pPr>
              <w:tabs>
                <w:tab w:val="left" w:pos="3060"/>
              </w:tabs>
              <w:snapToGrid w:val="0"/>
              <w:spacing w:line="320" w:lineRule="exact"/>
              <w:ind w:firstLine="420" w:firstLineChars="200"/>
              <w:rPr>
                <w:rFonts w:ascii="宋体" w:hAnsi="宋体" w:cs="宋体"/>
                <w:highlight w:val="none"/>
              </w:rPr>
            </w:pPr>
            <w:r>
              <w:rPr>
                <w:rFonts w:hint="eastAsia" w:ascii="宋体" w:hAnsi="宋体" w:cs="宋体"/>
                <w:highlight w:val="none"/>
              </w:rPr>
              <w:t>a．投标函按招标文件规定填报了招标人名称、项目名称、补遗书编号（如有）、投标报价；</w:t>
            </w:r>
          </w:p>
          <w:p w14:paraId="3F90491A">
            <w:pPr>
              <w:tabs>
                <w:tab w:val="left" w:pos="3060"/>
              </w:tabs>
              <w:snapToGrid w:val="0"/>
              <w:spacing w:line="320" w:lineRule="exact"/>
              <w:ind w:firstLine="420" w:firstLineChars="200"/>
              <w:rPr>
                <w:rFonts w:ascii="宋体" w:hAnsi="宋体" w:cs="宋体"/>
                <w:highlight w:val="none"/>
              </w:rPr>
            </w:pPr>
            <w:r>
              <w:rPr>
                <w:rFonts w:hint="eastAsia" w:ascii="宋体" w:hAnsi="宋体" w:cs="宋体"/>
                <w:highlight w:val="none"/>
              </w:rPr>
              <w:t>b．投标文件组成齐全完整，内容均按规定填写。</w:t>
            </w:r>
          </w:p>
          <w:p w14:paraId="3A1B4835">
            <w:pPr>
              <w:tabs>
                <w:tab w:val="left" w:pos="3060"/>
              </w:tabs>
              <w:snapToGrid w:val="0"/>
              <w:spacing w:line="320" w:lineRule="exact"/>
              <w:ind w:firstLine="205" w:firstLineChars="98"/>
              <w:rPr>
                <w:rFonts w:ascii="宋体" w:hAnsi="宋体" w:cs="宋体"/>
                <w:highlight w:val="none"/>
              </w:rPr>
            </w:pPr>
            <w:r>
              <w:rPr>
                <w:rFonts w:hint="eastAsia" w:ascii="宋体" w:hAnsi="宋体" w:cs="宋体"/>
                <w:highlight w:val="none"/>
              </w:rPr>
              <w:t>（2）投标文件上法定代表人或其授权代理人的签字、投标人的单位章盖章齐全，符合招标文件规定。</w:t>
            </w:r>
          </w:p>
          <w:p w14:paraId="2F9E8F7B">
            <w:pPr>
              <w:tabs>
                <w:tab w:val="left" w:pos="3060"/>
              </w:tabs>
              <w:snapToGrid w:val="0"/>
              <w:spacing w:line="320" w:lineRule="exact"/>
              <w:ind w:firstLine="205" w:firstLineChars="98"/>
              <w:rPr>
                <w:rFonts w:ascii="宋体" w:hAnsi="宋体" w:cs="宋体"/>
                <w:highlight w:val="none"/>
              </w:rPr>
            </w:pPr>
            <w:r>
              <w:rPr>
                <w:rFonts w:hint="eastAsia" w:ascii="宋体" w:hAnsi="宋体" w:cs="宋体"/>
                <w:highlight w:val="none"/>
              </w:rPr>
              <w:t>（3）投标报价未超过招标文件设定的最高投标限价。</w:t>
            </w:r>
          </w:p>
          <w:p w14:paraId="6922F165">
            <w:pPr>
              <w:tabs>
                <w:tab w:val="left" w:pos="3060"/>
              </w:tabs>
              <w:snapToGrid w:val="0"/>
              <w:spacing w:line="320" w:lineRule="exact"/>
              <w:ind w:firstLine="205" w:firstLineChars="98"/>
              <w:rPr>
                <w:rFonts w:ascii="宋体" w:hAnsi="宋体" w:cs="宋体"/>
                <w:highlight w:val="none"/>
              </w:rPr>
            </w:pPr>
            <w:r>
              <w:rPr>
                <w:rFonts w:hint="eastAsia" w:ascii="宋体" w:hAnsi="宋体" w:cs="宋体"/>
                <w:highlight w:val="none"/>
              </w:rPr>
              <w:t>（4）投标报价能够确定具体数值。</w:t>
            </w:r>
          </w:p>
          <w:p w14:paraId="17B00E4A">
            <w:pPr>
              <w:tabs>
                <w:tab w:val="left" w:pos="3060"/>
              </w:tabs>
              <w:snapToGrid w:val="0"/>
              <w:spacing w:line="320" w:lineRule="exact"/>
              <w:ind w:firstLine="205" w:firstLineChars="98"/>
              <w:rPr>
                <w:rFonts w:ascii="宋体" w:hAnsi="宋体" w:cs="宋体"/>
                <w:highlight w:val="none"/>
              </w:rPr>
            </w:pPr>
            <w:r>
              <w:rPr>
                <w:rFonts w:hint="eastAsia" w:ascii="宋体" w:hAnsi="宋体" w:cs="宋体"/>
                <w:highlight w:val="none"/>
              </w:rPr>
              <w:t>（5）投标人未提交两个以上不同的投标报价。</w:t>
            </w:r>
          </w:p>
          <w:p w14:paraId="7AB1E345">
            <w:pPr>
              <w:tabs>
                <w:tab w:val="left" w:pos="3060"/>
              </w:tabs>
              <w:snapToGrid w:val="0"/>
              <w:spacing w:line="320" w:lineRule="exact"/>
              <w:ind w:firstLine="205" w:firstLineChars="98"/>
              <w:rPr>
                <w:rFonts w:ascii="宋体" w:hAnsi="宋体" w:cs="宋体"/>
                <w:highlight w:val="none"/>
              </w:rPr>
            </w:pPr>
            <w:r>
              <w:rPr>
                <w:rFonts w:hint="eastAsia" w:ascii="宋体" w:hAnsi="宋体" w:cs="宋体"/>
                <w:highlight w:val="none"/>
              </w:rPr>
              <w:t>（6）投标人未提交调价函。</w:t>
            </w:r>
          </w:p>
        </w:tc>
      </w:tr>
      <w:tr w14:paraId="42A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245330D7">
            <w:pPr>
              <w:spacing w:line="264" w:lineRule="auto"/>
              <w:jc w:val="center"/>
              <w:rPr>
                <w:rFonts w:ascii="宋体" w:hAnsi="宋体" w:cs="宋体"/>
                <w:szCs w:val="21"/>
                <w:highlight w:val="none"/>
              </w:rPr>
            </w:pPr>
            <w:r>
              <w:rPr>
                <w:rFonts w:hint="eastAsia" w:ascii="宋体" w:hAnsi="宋体" w:cs="宋体"/>
                <w:szCs w:val="21"/>
                <w:highlight w:val="none"/>
              </w:rPr>
              <w:t>2.1.2</w:t>
            </w:r>
          </w:p>
        </w:tc>
        <w:tc>
          <w:tcPr>
            <w:tcW w:w="1463" w:type="dxa"/>
            <w:vAlign w:val="center"/>
          </w:tcPr>
          <w:p w14:paraId="4F9D5114">
            <w:pPr>
              <w:spacing w:line="264" w:lineRule="auto"/>
              <w:jc w:val="center"/>
              <w:rPr>
                <w:rFonts w:ascii="宋体" w:hAnsi="宋体" w:cs="宋体"/>
                <w:szCs w:val="21"/>
                <w:highlight w:val="none"/>
              </w:rPr>
            </w:pPr>
            <w:r>
              <w:rPr>
                <w:rFonts w:hint="eastAsia" w:ascii="宋体" w:hAnsi="宋体" w:cs="宋体"/>
                <w:szCs w:val="21"/>
                <w:highlight w:val="none"/>
              </w:rPr>
              <w:t>资格评审标准</w:t>
            </w:r>
          </w:p>
        </w:tc>
        <w:tc>
          <w:tcPr>
            <w:tcW w:w="7183" w:type="dxa"/>
            <w:vAlign w:val="center"/>
          </w:tcPr>
          <w:p w14:paraId="6BBEE724">
            <w:pPr>
              <w:tabs>
                <w:tab w:val="left" w:pos="3060"/>
              </w:tabs>
              <w:spacing w:line="320" w:lineRule="exact"/>
              <w:rPr>
                <w:rFonts w:ascii="宋体" w:hAnsi="宋体" w:cs="宋体"/>
                <w:szCs w:val="21"/>
                <w:highlight w:val="none"/>
              </w:rPr>
            </w:pPr>
            <w:r>
              <w:rPr>
                <w:rFonts w:hint="eastAsia" w:ascii="宋体" w:hAnsi="宋体" w:cs="宋体"/>
                <w:szCs w:val="21"/>
                <w:highlight w:val="none"/>
              </w:rPr>
              <w:t>（1）投标人具备有效的营业执照副本和组织机构代码证副本（按照“三证合一”或“五证合一”登记制度进行登记的，可仅提供营业执照副本）、资格证书和基本账户开户许可证（或基本存款账户信息）；</w:t>
            </w:r>
          </w:p>
          <w:p w14:paraId="4EFC18F1">
            <w:pPr>
              <w:tabs>
                <w:tab w:val="left" w:pos="3060"/>
              </w:tabs>
              <w:spacing w:line="320" w:lineRule="exact"/>
              <w:rPr>
                <w:rFonts w:ascii="宋体" w:hAnsi="宋体" w:cs="宋体"/>
                <w:szCs w:val="21"/>
                <w:highlight w:val="none"/>
              </w:rPr>
            </w:pPr>
            <w:r>
              <w:rPr>
                <w:rFonts w:hint="eastAsia" w:ascii="宋体" w:hAnsi="宋体" w:cs="宋体"/>
                <w:szCs w:val="21"/>
                <w:highlight w:val="none"/>
              </w:rPr>
              <w:t>（2）投标人的资质等级符合招标文件规定；</w:t>
            </w:r>
          </w:p>
          <w:p w14:paraId="40AD2610">
            <w:pPr>
              <w:tabs>
                <w:tab w:val="left" w:pos="3060"/>
              </w:tabs>
              <w:spacing w:line="320" w:lineRule="exact"/>
              <w:rPr>
                <w:rFonts w:ascii="宋体" w:hAnsi="宋体" w:cs="宋体"/>
                <w:szCs w:val="21"/>
                <w:highlight w:val="none"/>
              </w:rPr>
            </w:pPr>
            <w:r>
              <w:rPr>
                <w:rFonts w:hint="eastAsia" w:ascii="宋体" w:hAnsi="宋体" w:cs="宋体"/>
                <w:szCs w:val="21"/>
                <w:highlight w:val="none"/>
              </w:rPr>
              <w:t>（3）投标人的信誉符合招标文件规定；</w:t>
            </w:r>
          </w:p>
          <w:p w14:paraId="5CD7EEBA">
            <w:pPr>
              <w:tabs>
                <w:tab w:val="left" w:pos="3060"/>
              </w:tabs>
              <w:spacing w:line="320" w:lineRule="exact"/>
              <w:rPr>
                <w:rFonts w:ascii="宋体" w:hAnsi="宋体" w:cs="宋体"/>
                <w:szCs w:val="21"/>
                <w:highlight w:val="none"/>
              </w:rPr>
            </w:pPr>
            <w:r>
              <w:rPr>
                <w:rFonts w:hint="eastAsia" w:ascii="宋体" w:hAnsi="宋体" w:cs="宋体"/>
                <w:szCs w:val="21"/>
                <w:highlight w:val="none"/>
              </w:rPr>
              <w:t>（4）投标人不存在第二章“投标人须知”1.4.3项或第1.4.4项规定的任何一种情形。</w:t>
            </w:r>
          </w:p>
        </w:tc>
      </w:tr>
      <w:tr w14:paraId="19D3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3029D504">
            <w:pPr>
              <w:spacing w:line="264" w:lineRule="auto"/>
              <w:jc w:val="center"/>
              <w:rPr>
                <w:rFonts w:ascii="宋体" w:hAnsi="宋体" w:cs="宋体"/>
                <w:szCs w:val="21"/>
                <w:highlight w:val="none"/>
              </w:rPr>
            </w:pPr>
            <w:r>
              <w:rPr>
                <w:rFonts w:hint="eastAsia" w:ascii="宋体" w:hAnsi="宋体" w:cs="宋体"/>
                <w:szCs w:val="21"/>
                <w:highlight w:val="none"/>
              </w:rPr>
              <w:t>2.2.1</w:t>
            </w:r>
          </w:p>
        </w:tc>
        <w:tc>
          <w:tcPr>
            <w:tcW w:w="1463" w:type="dxa"/>
            <w:vAlign w:val="center"/>
          </w:tcPr>
          <w:p w14:paraId="728C24B3">
            <w:pPr>
              <w:spacing w:line="264" w:lineRule="auto"/>
              <w:ind w:leftChars="-51" w:hanging="107" w:hangingChars="51"/>
              <w:jc w:val="center"/>
              <w:rPr>
                <w:rFonts w:ascii="宋体" w:hAnsi="宋体" w:cs="宋体"/>
                <w:szCs w:val="21"/>
                <w:highlight w:val="none"/>
              </w:rPr>
            </w:pPr>
            <w:r>
              <w:rPr>
                <w:rFonts w:hint="eastAsia" w:ascii="宋体" w:hAnsi="宋体" w:cs="宋体"/>
                <w:szCs w:val="21"/>
                <w:highlight w:val="none"/>
              </w:rPr>
              <w:t>分值构成</w:t>
            </w:r>
          </w:p>
          <w:p w14:paraId="100F945C">
            <w:pPr>
              <w:spacing w:line="264" w:lineRule="auto"/>
              <w:ind w:leftChars="-51" w:right="-61" w:rightChars="-29" w:hanging="107" w:hangingChars="51"/>
              <w:jc w:val="center"/>
              <w:rPr>
                <w:rFonts w:ascii="宋体" w:hAnsi="宋体" w:cs="宋体"/>
                <w:szCs w:val="21"/>
                <w:highlight w:val="none"/>
              </w:rPr>
            </w:pPr>
            <w:r>
              <w:rPr>
                <w:rFonts w:hint="eastAsia" w:ascii="宋体" w:hAnsi="宋体" w:cs="宋体"/>
                <w:szCs w:val="21"/>
                <w:highlight w:val="none"/>
              </w:rPr>
              <w:t>（总分100分）</w:t>
            </w:r>
          </w:p>
        </w:tc>
        <w:tc>
          <w:tcPr>
            <w:tcW w:w="7183" w:type="dxa"/>
            <w:vAlign w:val="center"/>
          </w:tcPr>
          <w:p w14:paraId="068DB459">
            <w:pPr>
              <w:snapToGrid w:val="0"/>
              <w:spacing w:line="320" w:lineRule="exact"/>
              <w:jc w:val="left"/>
              <w:rPr>
                <w:rFonts w:ascii="宋体" w:hAnsi="宋体" w:cs="宋体"/>
                <w:b/>
                <w:szCs w:val="21"/>
                <w:highlight w:val="none"/>
              </w:rPr>
            </w:pPr>
            <w:r>
              <w:rPr>
                <w:rFonts w:hint="eastAsia" w:ascii="宋体" w:hAnsi="宋体" w:cs="宋体"/>
                <w:b/>
                <w:szCs w:val="21"/>
                <w:highlight w:val="none"/>
              </w:rPr>
              <w:t>第一个信封（商务及服务方案文件）评分分值构成：</w:t>
            </w:r>
          </w:p>
          <w:p w14:paraId="0F11F15A">
            <w:pPr>
              <w:autoSpaceDE w:val="0"/>
              <w:autoSpaceDN w:val="0"/>
              <w:adjustRightInd w:val="0"/>
              <w:rPr>
                <w:rFonts w:ascii="宋体" w:hAnsi="宋体" w:cs="宋体"/>
                <w:bCs/>
                <w:kern w:val="0"/>
                <w:highlight w:val="none"/>
              </w:rPr>
            </w:pPr>
            <w:r>
              <w:rPr>
                <w:rFonts w:hint="eastAsia" w:ascii="宋体" w:hAnsi="宋体" w:cs="宋体"/>
                <w:bCs/>
                <w:kern w:val="0"/>
                <w:highlight w:val="none"/>
              </w:rPr>
              <w:t>（1）商务部分       30分</w:t>
            </w:r>
          </w:p>
          <w:p w14:paraId="56E5B470">
            <w:pPr>
              <w:autoSpaceDE w:val="0"/>
              <w:autoSpaceDN w:val="0"/>
              <w:adjustRightInd w:val="0"/>
              <w:rPr>
                <w:rFonts w:ascii="宋体" w:hAnsi="宋体" w:cs="宋体"/>
                <w:bCs/>
                <w:kern w:val="0"/>
                <w:highlight w:val="none"/>
              </w:rPr>
            </w:pPr>
            <w:r>
              <w:rPr>
                <w:rFonts w:hint="eastAsia" w:ascii="宋体" w:hAnsi="宋体" w:cs="宋体"/>
                <w:bCs/>
                <w:kern w:val="0"/>
                <w:highlight w:val="none"/>
              </w:rPr>
              <w:t>（2）服务方案部分   40分</w:t>
            </w:r>
          </w:p>
          <w:p w14:paraId="765A4260">
            <w:pPr>
              <w:snapToGrid w:val="0"/>
              <w:spacing w:line="320" w:lineRule="exact"/>
              <w:jc w:val="left"/>
              <w:rPr>
                <w:rFonts w:ascii="宋体" w:hAnsi="宋体" w:cs="宋体"/>
                <w:b/>
                <w:szCs w:val="21"/>
                <w:highlight w:val="none"/>
              </w:rPr>
            </w:pPr>
            <w:r>
              <w:rPr>
                <w:rFonts w:hint="eastAsia" w:ascii="宋体" w:hAnsi="宋体" w:cs="宋体"/>
                <w:b/>
                <w:szCs w:val="21"/>
                <w:highlight w:val="none"/>
              </w:rPr>
              <w:t>第二个信封（报价文件）评分分值构成：</w:t>
            </w:r>
          </w:p>
          <w:p w14:paraId="0D5FA1A0">
            <w:pPr>
              <w:jc w:val="left"/>
              <w:rPr>
                <w:rFonts w:ascii="宋体" w:hAnsi="宋体" w:cs="宋体"/>
                <w:szCs w:val="21"/>
                <w:highlight w:val="none"/>
              </w:rPr>
            </w:pPr>
            <w:r>
              <w:rPr>
                <w:rFonts w:hint="eastAsia" w:ascii="宋体" w:hAnsi="宋体" w:cs="宋体"/>
                <w:bCs/>
                <w:kern w:val="0"/>
                <w:highlight w:val="none"/>
              </w:rPr>
              <w:t>（1）评标价：       30分</w:t>
            </w:r>
          </w:p>
        </w:tc>
      </w:tr>
      <w:tr w14:paraId="46E2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32224F27">
            <w:pPr>
              <w:spacing w:line="264" w:lineRule="auto"/>
              <w:jc w:val="center"/>
              <w:rPr>
                <w:rFonts w:ascii="宋体" w:hAnsi="宋体" w:cs="宋体"/>
                <w:szCs w:val="21"/>
                <w:highlight w:val="none"/>
              </w:rPr>
            </w:pPr>
            <w:r>
              <w:rPr>
                <w:rFonts w:hint="eastAsia" w:ascii="宋体" w:hAnsi="宋体" w:cs="宋体"/>
                <w:szCs w:val="21"/>
                <w:highlight w:val="none"/>
              </w:rPr>
              <w:t>2.2.2</w:t>
            </w:r>
          </w:p>
        </w:tc>
        <w:tc>
          <w:tcPr>
            <w:tcW w:w="1463" w:type="dxa"/>
            <w:vAlign w:val="center"/>
          </w:tcPr>
          <w:p w14:paraId="1ADB4DDE">
            <w:pPr>
              <w:spacing w:line="264" w:lineRule="auto"/>
              <w:jc w:val="center"/>
              <w:rPr>
                <w:rFonts w:ascii="宋体" w:hAnsi="宋体" w:cs="宋体"/>
                <w:szCs w:val="21"/>
                <w:highlight w:val="none"/>
              </w:rPr>
            </w:pPr>
            <w:r>
              <w:rPr>
                <w:rFonts w:hint="eastAsia" w:ascii="宋体" w:hAnsi="宋体" w:cs="宋体"/>
                <w:szCs w:val="21"/>
                <w:highlight w:val="none"/>
              </w:rPr>
              <w:t>评标基准价计算方法</w:t>
            </w:r>
          </w:p>
        </w:tc>
        <w:tc>
          <w:tcPr>
            <w:tcW w:w="7183" w:type="dxa"/>
            <w:vAlign w:val="center"/>
          </w:tcPr>
          <w:p w14:paraId="6B926274">
            <w:pPr>
              <w:snapToGrid w:val="0"/>
              <w:spacing w:line="320" w:lineRule="exact"/>
              <w:jc w:val="left"/>
              <w:rPr>
                <w:b/>
                <w:highlight w:val="none"/>
              </w:rPr>
            </w:pPr>
            <w:r>
              <w:rPr>
                <w:b/>
                <w:highlight w:val="none"/>
              </w:rPr>
              <w:t>评标基准价的计算：</w:t>
            </w:r>
          </w:p>
          <w:p w14:paraId="2D51ABBC">
            <w:pPr>
              <w:snapToGrid w:val="0"/>
              <w:spacing w:line="320" w:lineRule="exact"/>
              <w:ind w:right="113"/>
              <w:rPr>
                <w:szCs w:val="21"/>
                <w:highlight w:val="none"/>
              </w:rPr>
            </w:pPr>
            <w:r>
              <w:rPr>
                <w:szCs w:val="21"/>
                <w:highlight w:val="none"/>
              </w:rPr>
              <w:t>在开标现场，招标人将当场计算并宣布评标基准价。</w:t>
            </w:r>
          </w:p>
          <w:p w14:paraId="4B036E0B">
            <w:pPr>
              <w:snapToGrid w:val="0"/>
              <w:spacing w:line="320" w:lineRule="exact"/>
              <w:ind w:left="113" w:right="113" w:firstLine="210" w:firstLineChars="100"/>
              <w:rPr>
                <w:szCs w:val="21"/>
                <w:highlight w:val="none"/>
              </w:rPr>
            </w:pPr>
            <w:r>
              <w:rPr>
                <w:szCs w:val="21"/>
                <w:highlight w:val="none"/>
              </w:rPr>
              <w:t>（1）评标价的确定：</w:t>
            </w:r>
          </w:p>
          <w:p w14:paraId="7C9FD3C3">
            <w:pPr>
              <w:snapToGrid w:val="0"/>
              <w:spacing w:line="320" w:lineRule="exact"/>
              <w:ind w:left="113" w:right="113" w:firstLine="210" w:firstLineChars="100"/>
              <w:rPr>
                <w:szCs w:val="21"/>
                <w:highlight w:val="none"/>
              </w:rPr>
            </w:pPr>
            <w:r>
              <w:rPr>
                <w:szCs w:val="21"/>
                <w:highlight w:val="none"/>
              </w:rPr>
              <w:t>评标价=投标函文字报价</w:t>
            </w:r>
          </w:p>
          <w:p w14:paraId="7ECD295C">
            <w:pPr>
              <w:snapToGrid w:val="0"/>
              <w:spacing w:line="320" w:lineRule="exact"/>
              <w:ind w:left="113" w:right="113" w:firstLine="210" w:firstLineChars="100"/>
              <w:rPr>
                <w:szCs w:val="21"/>
                <w:highlight w:val="none"/>
              </w:rPr>
            </w:pPr>
            <w:r>
              <w:rPr>
                <w:szCs w:val="21"/>
                <w:highlight w:val="none"/>
              </w:rPr>
              <w:t>（2）评标价平均值的计算：</w:t>
            </w:r>
          </w:p>
          <w:p w14:paraId="29A54230">
            <w:pPr>
              <w:snapToGrid w:val="0"/>
              <w:spacing w:line="320" w:lineRule="exact"/>
              <w:ind w:right="113" w:firstLine="420" w:firstLineChars="200"/>
              <w:rPr>
                <w:rFonts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szCs w:val="21"/>
                <w:highlight w:val="none"/>
              </w:rPr>
              <w:t>10</w:t>
            </w:r>
            <w:r>
              <w:rPr>
                <w:rFonts w:hint="eastAsia" w:ascii="宋体" w:hAnsi="宋体" w:cs="宋体"/>
                <w:szCs w:val="21"/>
                <w:highlight w:val="none"/>
              </w:rPr>
              <w:t>家时，则计算评标价平均值时不去掉最高值和最低值）。</w:t>
            </w:r>
          </w:p>
          <w:p w14:paraId="136CD058">
            <w:pPr>
              <w:snapToGrid w:val="0"/>
              <w:spacing w:line="320" w:lineRule="exact"/>
              <w:ind w:right="113" w:firstLine="420" w:firstLineChars="200"/>
              <w:rPr>
                <w:rFonts w:ascii="宋体" w:hAnsi="宋体" w:cs="宋体"/>
                <w:szCs w:val="21"/>
                <w:highlight w:val="none"/>
              </w:rPr>
            </w:pPr>
            <w:r>
              <w:rPr>
                <w:rFonts w:hint="eastAsia" w:ascii="宋体" w:hAnsi="宋体" w:cs="宋体"/>
                <w:szCs w:val="21"/>
                <w:highlight w:val="none"/>
              </w:rPr>
              <w:t>（3）评标基准价的确定：</w:t>
            </w:r>
          </w:p>
          <w:p w14:paraId="474DBA82">
            <w:pPr>
              <w:autoSpaceDE w:val="0"/>
              <w:autoSpaceDN w:val="0"/>
              <w:adjustRightInd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将评标价平均值直接作为评标基准价（评标基准价保留两位小数，小数点后第三位四舍五入）。</w:t>
            </w:r>
          </w:p>
          <w:p w14:paraId="44505BEE">
            <w:pPr>
              <w:spacing w:line="288" w:lineRule="auto"/>
              <w:ind w:firstLine="420" w:firstLineChars="200"/>
              <w:rPr>
                <w:rFonts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C8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4B568653">
            <w:pPr>
              <w:snapToGrid w:val="0"/>
              <w:spacing w:line="320" w:lineRule="exact"/>
              <w:jc w:val="center"/>
              <w:rPr>
                <w:rFonts w:ascii="宋体" w:hAnsi="宋体" w:cs="宋体"/>
                <w:szCs w:val="21"/>
                <w:highlight w:val="none"/>
              </w:rPr>
            </w:pPr>
            <w:r>
              <w:rPr>
                <w:rFonts w:hint="eastAsia" w:ascii="宋体" w:hAnsi="宋体" w:cs="宋体"/>
                <w:szCs w:val="21"/>
                <w:highlight w:val="none"/>
              </w:rPr>
              <w:t>3.6.1</w:t>
            </w:r>
          </w:p>
        </w:tc>
        <w:tc>
          <w:tcPr>
            <w:tcW w:w="1463" w:type="dxa"/>
            <w:vAlign w:val="center"/>
          </w:tcPr>
          <w:p w14:paraId="7DA8BD87">
            <w:pPr>
              <w:adjustRightInd w:val="0"/>
              <w:snapToGrid w:val="0"/>
              <w:spacing w:line="320" w:lineRule="exact"/>
              <w:jc w:val="center"/>
              <w:rPr>
                <w:rFonts w:ascii="宋体" w:hAnsi="宋体" w:cs="宋体"/>
                <w:snapToGrid w:val="0"/>
                <w:kern w:val="0"/>
                <w:szCs w:val="21"/>
                <w:highlight w:val="none"/>
              </w:rPr>
            </w:pPr>
            <w:r>
              <w:rPr>
                <w:rFonts w:hint="eastAsia" w:ascii="宋体" w:hAnsi="宋体" w:cs="宋体"/>
                <w:szCs w:val="21"/>
                <w:highlight w:val="none"/>
              </w:rPr>
              <w:t>信息查询</w:t>
            </w:r>
          </w:p>
        </w:tc>
        <w:tc>
          <w:tcPr>
            <w:tcW w:w="7183" w:type="dxa"/>
            <w:vAlign w:val="center"/>
          </w:tcPr>
          <w:p w14:paraId="1E63B4E5">
            <w:pPr>
              <w:autoSpaceDE w:val="0"/>
              <w:autoSpaceDN w:val="0"/>
              <w:snapToGrid w:val="0"/>
              <w:spacing w:line="320" w:lineRule="exact"/>
              <w:rPr>
                <w:rFonts w:ascii="宋体" w:hAnsi="宋体" w:cs="宋体"/>
                <w:szCs w:val="21"/>
                <w:highlight w:val="none"/>
              </w:rPr>
            </w:pPr>
            <w:r>
              <w:rPr>
                <w:rFonts w:hint="eastAsia" w:ascii="宋体" w:hAnsi="宋体" w:cs="宋体"/>
                <w:szCs w:val="21"/>
                <w:highlight w:val="none"/>
              </w:rPr>
              <w:t>本款修改为：</w:t>
            </w:r>
          </w:p>
          <w:p w14:paraId="2C7893F3">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企业名单（不含分公司）或在“信用中国”网站中失信被执行人名单、经营异常名录、重大税收违法失信主体名单、政府采购严重违法失信行为记录名单（均不含分公司）的复核结果一致。</w:t>
            </w:r>
          </w:p>
          <w:p w14:paraId="273AA633">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上述（1）项如投标人未提供相关网页截图或所附截图与复核结果不一致，评标委员会应否决其投标。</w:t>
            </w:r>
          </w:p>
          <w:p w14:paraId="33A566FE">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7B76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3"/>
            <w:vAlign w:val="center"/>
          </w:tcPr>
          <w:p w14:paraId="3BD6D3A5">
            <w:pPr>
              <w:spacing w:line="264" w:lineRule="auto"/>
              <w:rPr>
                <w:rFonts w:ascii="宋体" w:hAnsi="宋体" w:cs="宋体"/>
                <w:szCs w:val="21"/>
                <w:highlight w:val="none"/>
              </w:rPr>
            </w:pPr>
            <w:r>
              <w:rPr>
                <w:rFonts w:hint="eastAsia" w:ascii="宋体" w:hAnsi="宋体" w:cs="宋体"/>
                <w:szCs w:val="21"/>
                <w:highlight w:val="none"/>
              </w:rPr>
              <w:t>需要补充的其他内容：无</w:t>
            </w:r>
          </w:p>
        </w:tc>
      </w:tr>
    </w:tbl>
    <w:p w14:paraId="5BE39443">
      <w:pPr>
        <w:pStyle w:val="17"/>
        <w:rPr>
          <w:rFonts w:ascii="宋体" w:hAnsi="宋体" w:cs="宋体"/>
          <w:bCs/>
          <w:highlight w:val="none"/>
        </w:rPr>
      </w:pPr>
      <w:r>
        <w:rPr>
          <w:rFonts w:ascii="宋体" w:hAnsi="宋体" w:cs="宋体"/>
          <w:bCs/>
          <w:highlight w:val="none"/>
        </w:rPr>
        <w:br w:type="page"/>
      </w:r>
    </w:p>
    <w:tbl>
      <w:tblPr>
        <w:tblStyle w:val="13"/>
        <w:tblW w:w="8999" w:type="dxa"/>
        <w:tblInd w:w="93" w:type="dxa"/>
        <w:tblLayout w:type="fixed"/>
        <w:tblCellMar>
          <w:top w:w="0" w:type="dxa"/>
          <w:left w:w="108" w:type="dxa"/>
          <w:bottom w:w="0" w:type="dxa"/>
          <w:right w:w="108" w:type="dxa"/>
        </w:tblCellMar>
      </w:tblPr>
      <w:tblGrid>
        <w:gridCol w:w="704"/>
        <w:gridCol w:w="675"/>
        <w:gridCol w:w="675"/>
        <w:gridCol w:w="585"/>
        <w:gridCol w:w="6360"/>
      </w:tblGrid>
      <w:tr w14:paraId="4B1E68A2">
        <w:tblPrEx>
          <w:tblCellMar>
            <w:top w:w="0" w:type="dxa"/>
            <w:left w:w="108" w:type="dxa"/>
            <w:bottom w:w="0" w:type="dxa"/>
            <w:right w:w="108" w:type="dxa"/>
          </w:tblCellMar>
        </w:tblPrEx>
        <w:trPr>
          <w:trHeight w:val="360" w:hRule="atLeast"/>
        </w:trPr>
        <w:tc>
          <w:tcPr>
            <w:tcW w:w="2639" w:type="dxa"/>
            <w:gridSpan w:val="4"/>
            <w:tcBorders>
              <w:top w:val="single" w:color="000000" w:sz="4" w:space="0"/>
              <w:left w:val="single" w:color="000000" w:sz="4" w:space="0"/>
              <w:bottom w:val="single" w:color="000000" w:sz="4" w:space="0"/>
              <w:right w:val="single" w:color="000000" w:sz="4" w:space="0"/>
            </w:tcBorders>
            <w:vAlign w:val="center"/>
          </w:tcPr>
          <w:p w14:paraId="28E74DF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评审因素与权重分值</w:t>
            </w:r>
          </w:p>
        </w:tc>
        <w:tc>
          <w:tcPr>
            <w:tcW w:w="6360" w:type="dxa"/>
            <w:vMerge w:val="restart"/>
            <w:tcBorders>
              <w:top w:val="single" w:color="000000" w:sz="4" w:space="0"/>
              <w:left w:val="single" w:color="000000" w:sz="4" w:space="0"/>
              <w:bottom w:val="single" w:color="000000" w:sz="4" w:space="0"/>
              <w:right w:val="single" w:color="000000" w:sz="4" w:space="0"/>
            </w:tcBorders>
            <w:vAlign w:val="center"/>
          </w:tcPr>
          <w:p w14:paraId="28D6C85B">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评分标准</w:t>
            </w:r>
          </w:p>
        </w:tc>
      </w:tr>
      <w:tr w14:paraId="50D7C2BE">
        <w:tblPrEx>
          <w:tblCellMar>
            <w:top w:w="0" w:type="dxa"/>
            <w:left w:w="108" w:type="dxa"/>
            <w:bottom w:w="0" w:type="dxa"/>
            <w:right w:w="108" w:type="dxa"/>
          </w:tblCellMar>
        </w:tblPrEx>
        <w:trPr>
          <w:trHeight w:val="896"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34DF144">
            <w:pPr>
              <w:widowControl/>
              <w:spacing w:line="240" w:lineRule="atLeast"/>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评分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7618E19">
            <w:pPr>
              <w:widowControl/>
              <w:spacing w:line="240" w:lineRule="atLeast"/>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评分因素权重分值</w:t>
            </w:r>
          </w:p>
        </w:tc>
        <w:tc>
          <w:tcPr>
            <w:tcW w:w="675" w:type="dxa"/>
            <w:tcBorders>
              <w:top w:val="single" w:color="000000" w:sz="4" w:space="0"/>
              <w:left w:val="single" w:color="000000" w:sz="4" w:space="0"/>
              <w:bottom w:val="single" w:color="000000" w:sz="4" w:space="0"/>
              <w:right w:val="single" w:color="000000" w:sz="4" w:space="0"/>
            </w:tcBorders>
            <w:vAlign w:val="center"/>
          </w:tcPr>
          <w:p w14:paraId="7F7293E7">
            <w:pPr>
              <w:widowControl/>
              <w:spacing w:line="240" w:lineRule="atLeast"/>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各评分因素</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198EB77">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分值</w:t>
            </w: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10D66215">
            <w:pPr>
              <w:jc w:val="center"/>
              <w:rPr>
                <w:rFonts w:ascii="宋体" w:hAnsi="宋体" w:cs="宋体"/>
                <w:b/>
                <w:bCs/>
                <w:szCs w:val="21"/>
                <w:highlight w:val="none"/>
              </w:rPr>
            </w:pPr>
          </w:p>
        </w:tc>
      </w:tr>
      <w:tr w14:paraId="1B51C4F3">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926F1FD">
            <w:pPr>
              <w:widowControl/>
              <w:spacing w:line="240" w:lineRule="atLeast"/>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因素</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6C0844E">
            <w:pPr>
              <w:widowControl/>
              <w:spacing w:line="240" w:lineRule="atLeast"/>
              <w:jc w:val="center"/>
              <w:rPr>
                <w:rFonts w:ascii="宋体" w:hAnsi="宋体" w:cs="宋体"/>
                <w:b/>
                <w:bCs/>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1A27259">
            <w:pPr>
              <w:widowControl/>
              <w:spacing w:line="240" w:lineRule="atLeast"/>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细分项</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AAC5595">
            <w:pPr>
              <w:jc w:val="center"/>
              <w:rPr>
                <w:rFonts w:ascii="宋体" w:hAnsi="宋体" w:cs="宋体"/>
                <w:b/>
                <w:bCs/>
                <w:szCs w:val="21"/>
                <w:highlight w:val="none"/>
              </w:rPr>
            </w:pP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3F609A39">
            <w:pPr>
              <w:jc w:val="center"/>
              <w:rPr>
                <w:rFonts w:ascii="宋体" w:hAnsi="宋体" w:cs="宋体"/>
                <w:b/>
                <w:bCs/>
                <w:szCs w:val="21"/>
                <w:highlight w:val="none"/>
              </w:rPr>
            </w:pPr>
          </w:p>
        </w:tc>
      </w:tr>
      <w:tr w14:paraId="1182CFA7">
        <w:tblPrEx>
          <w:tblCellMar>
            <w:top w:w="0" w:type="dxa"/>
            <w:left w:w="108" w:type="dxa"/>
            <w:bottom w:w="0" w:type="dxa"/>
            <w:right w:w="108" w:type="dxa"/>
          </w:tblCellMar>
        </w:tblPrEx>
        <w:trPr>
          <w:trHeight w:val="1050" w:hRule="atLeast"/>
        </w:trPr>
        <w:tc>
          <w:tcPr>
            <w:tcW w:w="704" w:type="dxa"/>
            <w:vMerge w:val="restart"/>
            <w:tcBorders>
              <w:top w:val="single" w:color="000000" w:sz="4" w:space="0"/>
              <w:left w:val="single" w:color="000000" w:sz="4" w:space="0"/>
              <w:right w:val="single" w:color="000000" w:sz="4" w:space="0"/>
            </w:tcBorders>
            <w:vAlign w:val="center"/>
          </w:tcPr>
          <w:p w14:paraId="133CC3D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商务部分</w:t>
            </w:r>
          </w:p>
        </w:tc>
        <w:tc>
          <w:tcPr>
            <w:tcW w:w="675" w:type="dxa"/>
            <w:vMerge w:val="restart"/>
            <w:tcBorders>
              <w:top w:val="single" w:color="000000" w:sz="4" w:space="0"/>
              <w:left w:val="single" w:color="000000" w:sz="4" w:space="0"/>
              <w:right w:val="single" w:color="000000" w:sz="4" w:space="0"/>
            </w:tcBorders>
            <w:vAlign w:val="center"/>
          </w:tcPr>
          <w:p w14:paraId="64E4DE1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554308F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全国范围内承销金额和只数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FDD6C6E">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573868FC">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全国范围内主体评级为AAA的地方国有企业私募债承销累计金额：承销金额≥800亿元得5分，300亿元≤承销金额＜800亿元得3分，50亿元≤承销金额＜300亿元得1分。</w:t>
            </w:r>
          </w:p>
        </w:tc>
      </w:tr>
      <w:tr w14:paraId="2748268B">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798205B2">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5B0057E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B4640EC">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09DC695">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6B77E1E6">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注：需附Wind</w:t>
            </w:r>
            <w:r>
              <w:rPr>
                <w:rFonts w:hint="eastAsia" w:ascii="宋体" w:hAnsi="宋体" w:cs="宋体"/>
                <w:color w:val="000000"/>
                <w:kern w:val="0"/>
                <w:szCs w:val="21"/>
                <w:highlight w:val="none"/>
                <w:lang w:val="en-US" w:eastAsia="zh-CN" w:bidi="ar"/>
              </w:rPr>
              <w:t>资讯金融终端</w:t>
            </w:r>
            <w:r>
              <w:rPr>
                <w:rFonts w:hint="eastAsia" w:ascii="宋体" w:hAnsi="宋体" w:cs="宋体"/>
                <w:color w:val="000000"/>
                <w:kern w:val="0"/>
                <w:szCs w:val="21"/>
                <w:highlight w:val="none"/>
                <w:lang w:bidi="ar"/>
              </w:rPr>
              <w:t>导出数据截图</w:t>
            </w:r>
          </w:p>
        </w:tc>
      </w:tr>
      <w:tr w14:paraId="5AA81DE9">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7C334A4">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711E4762">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2DD7B8D">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2AD4CB6">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44BF1A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1、数据区间为2023年1月1日-2024年9月30日。</w:t>
            </w:r>
          </w:p>
        </w:tc>
      </w:tr>
      <w:tr w14:paraId="70783FEC">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41FA9A2D">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6D721AB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58DFA9F">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21E69E">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68FBB2A8">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2、数据请通过</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导出，导出路径如下：</w:t>
            </w:r>
          </w:p>
        </w:tc>
      </w:tr>
      <w:tr w14:paraId="3152EE8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6FA5DC92">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E90238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78E027E">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19D780F">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87CAB53">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（1）选择债券专题-一级市场-承销统计-债券承销排名（WIND口径）；</w:t>
            </w:r>
          </w:p>
        </w:tc>
      </w:tr>
      <w:tr w14:paraId="66BA3FEA">
        <w:tblPrEx>
          <w:tblCellMar>
            <w:top w:w="0" w:type="dxa"/>
            <w:left w:w="108" w:type="dxa"/>
            <w:bottom w:w="0" w:type="dxa"/>
            <w:right w:w="108" w:type="dxa"/>
          </w:tblCellMar>
        </w:tblPrEx>
        <w:trPr>
          <w:trHeight w:val="1397" w:hRule="atLeast"/>
        </w:trPr>
        <w:tc>
          <w:tcPr>
            <w:tcW w:w="704" w:type="dxa"/>
            <w:vMerge w:val="continue"/>
            <w:tcBorders>
              <w:left w:val="single" w:color="000000" w:sz="4" w:space="0"/>
              <w:right w:val="single" w:color="000000" w:sz="4" w:space="0"/>
            </w:tcBorders>
            <w:vAlign w:val="center"/>
          </w:tcPr>
          <w:p w14:paraId="353E57BF">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FFD9EAF">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0747EBF">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CC44EF">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97C6EF7">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筛选条件：选中“任意区间”，起止时间选择“2023年1月1日至2024年9月30日”，机构类型选择“证券”，债券分类选择“私募债”，主体评级选择“AAA”，“企业性质”选择“地方国有企业”“地域分类”选择“全国”，主体口径选择“穿透信用主体”，勾选“联主实际比例”，以“合并母子公司”数据为准。</w:t>
            </w:r>
          </w:p>
        </w:tc>
      </w:tr>
      <w:tr w14:paraId="3D995D4D">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15F8CB6">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7088CBB7">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48FE314">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24D05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4C6A8D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（3）下列筛选条件不进行筛选：“概念板块”、“上市地点”。</w:t>
            </w:r>
          </w:p>
        </w:tc>
      </w:tr>
      <w:tr w14:paraId="60B467A0">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29CAF6A3">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7ED7F90F">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ED77110">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0D61D2">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75DEEC8">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（4）点击“提取数据”，可看到wind债券总承销金额及只数情况。</w:t>
            </w:r>
          </w:p>
        </w:tc>
      </w:tr>
      <w:tr w14:paraId="2F881FE5">
        <w:tblPrEx>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vAlign w:val="center"/>
          </w:tcPr>
          <w:p w14:paraId="20062E43">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6C49244B">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A121DDB">
            <w:pPr>
              <w:jc w:val="center"/>
              <w:rPr>
                <w:rFonts w:ascii="宋体" w:hAnsi="宋体" w:cs="宋体"/>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D867FA3">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6DF5992F">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全国范围内主体评级为AAA的地方国有企业私募债承销累计只数：承销只数≥200只得5分，50只≤承销只数＜200只得3分，20只≤承销只数＜50只得1分。</w:t>
            </w:r>
          </w:p>
        </w:tc>
      </w:tr>
      <w:tr w14:paraId="057FEE92">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C5F610E">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34FD02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8CB1CA4">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8374EB">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A60BB28">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注：需附</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导出数据截图</w:t>
            </w:r>
          </w:p>
        </w:tc>
      </w:tr>
      <w:tr w14:paraId="3EC8CA2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2FAB1C2">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58B1348C">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07E6936">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8603C4C">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6633025">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1、数据区间为2023年1月1日-2024年9月30日。</w:t>
            </w:r>
          </w:p>
        </w:tc>
      </w:tr>
      <w:tr w14:paraId="23C0268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3A94E258">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78FEEF0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891AC15">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E1B5E24">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F333454">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2、数据请通过</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导出，导出路径如下：</w:t>
            </w:r>
          </w:p>
        </w:tc>
      </w:tr>
      <w:tr w14:paraId="61EECAFB">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36D1DE59">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06D5B438">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1BE9CB8">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C05C5D">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0D9E33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（1）选择债券专题-一级市场-承销统计-债券承销排名（WIND口径）；</w:t>
            </w:r>
          </w:p>
        </w:tc>
      </w:tr>
      <w:tr w14:paraId="1792D0F8">
        <w:tblPrEx>
          <w:tblCellMar>
            <w:top w:w="0" w:type="dxa"/>
            <w:left w:w="108" w:type="dxa"/>
            <w:bottom w:w="0" w:type="dxa"/>
            <w:right w:w="108" w:type="dxa"/>
          </w:tblCellMar>
        </w:tblPrEx>
        <w:trPr>
          <w:trHeight w:val="1397" w:hRule="atLeast"/>
        </w:trPr>
        <w:tc>
          <w:tcPr>
            <w:tcW w:w="704" w:type="dxa"/>
            <w:vMerge w:val="continue"/>
            <w:tcBorders>
              <w:left w:val="single" w:color="000000" w:sz="4" w:space="0"/>
              <w:right w:val="single" w:color="000000" w:sz="4" w:space="0"/>
            </w:tcBorders>
            <w:vAlign w:val="center"/>
          </w:tcPr>
          <w:p w14:paraId="21DEFC26">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F97CF1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232259C">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91C4E2">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8C296A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w:t>
            </w:r>
            <w:bookmarkStart w:id="8" w:name="OLE_LINK3"/>
            <w:r>
              <w:rPr>
                <w:rFonts w:hint="eastAsia" w:ascii="宋体" w:hAnsi="宋体" w:cs="宋体"/>
                <w:color w:val="000000"/>
                <w:kern w:val="0"/>
                <w:szCs w:val="21"/>
                <w:highlight w:val="none"/>
                <w:lang w:bidi="ar"/>
              </w:rPr>
              <w:t>筛选条件：选中“任意区间”，起止时间选择“2023年1月1日至2024年9月30日”，机构类型选择“证券”，债券分类选择“私募债”，主体评级选择“AAA”，“企业性质”选择“地方国有企业”“地域分类”选择“全国”，主体口径选择“穿透信用主体”，勾选“联主实际比例”，以“合并母子公司”数据为准。</w:t>
            </w:r>
            <w:bookmarkEnd w:id="8"/>
          </w:p>
        </w:tc>
      </w:tr>
      <w:tr w14:paraId="1C4140E2">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21DE4818">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F8B510F">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0FF1E58">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C74CB29">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7F4D35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（3）下列筛选条件不进行筛选：“概念板块”、“上市地点”。</w:t>
            </w:r>
          </w:p>
        </w:tc>
      </w:tr>
      <w:tr w14:paraId="581959E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FE683DC">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52AD448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AC69853">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72B6C0A">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7036884">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（4）点击“提取数据”，可看到wind债券总承销金额及只数情况。</w:t>
            </w:r>
          </w:p>
        </w:tc>
      </w:tr>
      <w:tr w14:paraId="4B983F11">
        <w:tblPrEx>
          <w:tblCellMar>
            <w:top w:w="0" w:type="dxa"/>
            <w:left w:w="108" w:type="dxa"/>
            <w:bottom w:w="0" w:type="dxa"/>
            <w:right w:w="108" w:type="dxa"/>
          </w:tblCellMar>
        </w:tblPrEx>
        <w:trPr>
          <w:trHeight w:val="1050" w:hRule="atLeast"/>
        </w:trPr>
        <w:tc>
          <w:tcPr>
            <w:tcW w:w="704" w:type="dxa"/>
            <w:vMerge w:val="continue"/>
            <w:tcBorders>
              <w:left w:val="single" w:color="000000" w:sz="4" w:space="0"/>
              <w:right w:val="single" w:color="000000" w:sz="4" w:space="0"/>
            </w:tcBorders>
            <w:vAlign w:val="center"/>
          </w:tcPr>
          <w:p w14:paraId="43E1B4DE">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0716DD72">
            <w:pPr>
              <w:jc w:val="center"/>
              <w:rPr>
                <w:rFonts w:ascii="宋体" w:hAnsi="宋体" w:cs="宋体"/>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8C1BA5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河北省承销金额和只数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359D0C">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15299965">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河北省范围内主体评级为AAA的地方国有企业私募债承销累计金额：承销金额≥30亿元得5分，15亿元≤承销金额＜30亿元得3分，5亿元≤承销金额＜15亿元得1分。</w:t>
            </w:r>
          </w:p>
        </w:tc>
      </w:tr>
      <w:tr w14:paraId="0D84976E">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6EA88916">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4D23427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EEF65B2">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82A45A">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83D84A3">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注：需附</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导出数据截图</w:t>
            </w:r>
          </w:p>
        </w:tc>
      </w:tr>
      <w:tr w14:paraId="7A75E151">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215D1261">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62856C43">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4FA4406">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7E5B90D">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5661FFD">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1、数据区间为2023年1月1日-2024年9月30日。</w:t>
            </w:r>
          </w:p>
        </w:tc>
      </w:tr>
      <w:tr w14:paraId="4EEF4D14">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15076A82">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1D12FE74">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546D8B3">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24CB8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4EC791F">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2、数据请通过</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导出，导出路径如下：</w:t>
            </w:r>
          </w:p>
        </w:tc>
      </w:tr>
      <w:tr w14:paraId="0D23B28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365C01F">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59C2D0FA">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E41EEDE">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F045167">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67AEAD3">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（1）选择债券专题-一级市场-承销统计-债券承销排名（WIND口径）；</w:t>
            </w:r>
          </w:p>
        </w:tc>
      </w:tr>
      <w:tr w14:paraId="19E9BFE1">
        <w:tblPrEx>
          <w:tblCellMar>
            <w:top w:w="0" w:type="dxa"/>
            <w:left w:w="108" w:type="dxa"/>
            <w:bottom w:w="0" w:type="dxa"/>
            <w:right w:w="108" w:type="dxa"/>
          </w:tblCellMar>
        </w:tblPrEx>
        <w:trPr>
          <w:trHeight w:val="1050" w:hRule="atLeast"/>
        </w:trPr>
        <w:tc>
          <w:tcPr>
            <w:tcW w:w="704" w:type="dxa"/>
            <w:vMerge w:val="continue"/>
            <w:tcBorders>
              <w:left w:val="single" w:color="000000" w:sz="4" w:space="0"/>
              <w:right w:val="single" w:color="000000" w:sz="4" w:space="0"/>
            </w:tcBorders>
            <w:vAlign w:val="center"/>
          </w:tcPr>
          <w:p w14:paraId="0BEEBB03">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261BC6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E28A020">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43730E6">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5B6B8DD">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筛选条件：选中“任意区间”，起止时间选择“2023年1月1日至2024年9月30日”，机构类型选择“证券”，债券分类选择“私募债”，主体评级选择“AAA”，“企业性质”选择“地方国有企业”“地域分类”选择“河北”，主体口径选择“穿透信用主体”，勾选“联主实际比例”，以“合并母子公司”数据为准。</w:t>
            </w:r>
          </w:p>
        </w:tc>
      </w:tr>
      <w:tr w14:paraId="586D5153">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8EF377F">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7F008FA">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4881169">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3BE901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21078CE">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（3）下列筛选条件不进行筛选：“概念板块”、“上市地点”。</w:t>
            </w:r>
          </w:p>
        </w:tc>
      </w:tr>
      <w:tr w14:paraId="5C663EC6">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BE8E217">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52F1A31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1035D65">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93DBD5">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53266D0F">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（4）点击“提取数据”，可看到wind债券总承销金额及只数情况。</w:t>
            </w:r>
          </w:p>
        </w:tc>
      </w:tr>
      <w:tr w14:paraId="6C856871">
        <w:tblPrEx>
          <w:tblCellMar>
            <w:top w:w="0" w:type="dxa"/>
            <w:left w:w="108" w:type="dxa"/>
            <w:bottom w:w="0" w:type="dxa"/>
            <w:right w:w="108" w:type="dxa"/>
          </w:tblCellMar>
        </w:tblPrEx>
        <w:trPr>
          <w:trHeight w:val="704" w:hRule="atLeast"/>
        </w:trPr>
        <w:tc>
          <w:tcPr>
            <w:tcW w:w="704" w:type="dxa"/>
            <w:vMerge w:val="continue"/>
            <w:tcBorders>
              <w:left w:val="single" w:color="000000" w:sz="4" w:space="0"/>
              <w:right w:val="single" w:color="000000" w:sz="4" w:space="0"/>
            </w:tcBorders>
            <w:vAlign w:val="center"/>
          </w:tcPr>
          <w:p w14:paraId="0CA0A53F">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65E4A71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947532B">
            <w:pPr>
              <w:jc w:val="center"/>
              <w:rPr>
                <w:rFonts w:ascii="宋体" w:hAnsi="宋体" w:cs="宋体"/>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86F88C2">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1490AC4D">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河北省范围内主体评级为AAA的地方国有企业私募债承销累计只数：承销只数≥5只得5分，3只≤承销只数＜5只得3分，1只≤承销只数＜3只得1分。</w:t>
            </w:r>
          </w:p>
        </w:tc>
      </w:tr>
      <w:tr w14:paraId="5A29766E">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263F68F9">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7DA488E8">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4774687">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28D7A9">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C92767F">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注：需附</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导出数据截图</w:t>
            </w:r>
          </w:p>
        </w:tc>
      </w:tr>
      <w:tr w14:paraId="0BA94CCD">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105D87AA">
            <w:pPr>
              <w:jc w:val="center"/>
              <w:rPr>
                <w:rFonts w:ascii="宋体" w:hAnsi="宋体" w:cs="宋体"/>
                <w:szCs w:val="21"/>
                <w:highlight w:val="none"/>
              </w:rPr>
            </w:pPr>
            <w:bookmarkStart w:id="9" w:name="_Hlk181692854"/>
          </w:p>
        </w:tc>
        <w:tc>
          <w:tcPr>
            <w:tcW w:w="675" w:type="dxa"/>
            <w:vMerge w:val="continue"/>
            <w:tcBorders>
              <w:left w:val="single" w:color="000000" w:sz="4" w:space="0"/>
              <w:right w:val="single" w:color="000000" w:sz="4" w:space="0"/>
            </w:tcBorders>
            <w:vAlign w:val="center"/>
          </w:tcPr>
          <w:p w14:paraId="766AD7FC">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0393F7D">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56462B">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D612989">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1、数据区间为2023年1月1日-2024年9月30日。</w:t>
            </w:r>
          </w:p>
        </w:tc>
      </w:tr>
      <w:tr w14:paraId="12A12F3F">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29D593CB">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20E6DA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163B904">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393C795">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9AC5529">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2、数据请通过</w:t>
            </w:r>
            <w:r>
              <w:rPr>
                <w:rFonts w:hint="eastAsia" w:ascii="宋体" w:hAnsi="宋体" w:cs="宋体"/>
                <w:color w:val="000000"/>
                <w:kern w:val="0"/>
                <w:szCs w:val="21"/>
                <w:highlight w:val="none"/>
                <w:lang w:eastAsia="zh-CN" w:bidi="ar"/>
              </w:rPr>
              <w:t>Wind资讯金融终端</w:t>
            </w:r>
            <w:r>
              <w:rPr>
                <w:rFonts w:hint="eastAsia" w:ascii="宋体" w:hAnsi="宋体" w:cs="宋体"/>
                <w:color w:val="000000"/>
                <w:kern w:val="0"/>
                <w:szCs w:val="21"/>
                <w:highlight w:val="none"/>
                <w:lang w:bidi="ar"/>
              </w:rPr>
              <w:t>导出，导出路径如下：</w:t>
            </w:r>
          </w:p>
        </w:tc>
      </w:tr>
      <w:tr w14:paraId="4315306F">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A57EE15">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64CAAE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DA11AD">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77680E0">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1FB197B">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（1）选择债券专题-一级市场-承销统计-债券承销排名（WIND口径）；</w:t>
            </w:r>
          </w:p>
        </w:tc>
      </w:tr>
      <w:tr w14:paraId="64F07D16">
        <w:tblPrEx>
          <w:tblCellMar>
            <w:top w:w="0" w:type="dxa"/>
            <w:left w:w="108" w:type="dxa"/>
            <w:bottom w:w="0" w:type="dxa"/>
            <w:right w:w="108" w:type="dxa"/>
          </w:tblCellMar>
        </w:tblPrEx>
        <w:trPr>
          <w:trHeight w:val="1050" w:hRule="atLeast"/>
        </w:trPr>
        <w:tc>
          <w:tcPr>
            <w:tcW w:w="704" w:type="dxa"/>
            <w:vMerge w:val="continue"/>
            <w:tcBorders>
              <w:left w:val="single" w:color="000000" w:sz="4" w:space="0"/>
              <w:right w:val="single" w:color="000000" w:sz="4" w:space="0"/>
            </w:tcBorders>
            <w:vAlign w:val="center"/>
          </w:tcPr>
          <w:p w14:paraId="3CC801A9">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37CDBD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024F6A5">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78259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5E84A16">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筛选条件：选中“任意区间”，起止时间选择“2023年1月1日至2024年9月30日”，机构类型选择“证券”，债券分类选择“私募债”，主体评级选择“AAA”，“企业性质”选择“地方国有企业”“地域分类”选择“河北”，主体口径选择“穿透信用主体”，勾选“联主实际比例”，以“合并母子公司”数据为准。</w:t>
            </w:r>
          </w:p>
        </w:tc>
      </w:tr>
      <w:tr w14:paraId="0A8FC18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30B08CCA">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62D79E0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876BF0A">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8F1D4F">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741E9C8">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（3）</w:t>
            </w:r>
            <w:bookmarkStart w:id="10" w:name="OLE_LINK4"/>
            <w:r>
              <w:rPr>
                <w:rFonts w:hint="eastAsia" w:ascii="宋体" w:hAnsi="宋体" w:cs="宋体"/>
                <w:color w:val="000000"/>
                <w:kern w:val="0"/>
                <w:szCs w:val="21"/>
                <w:highlight w:val="none"/>
                <w:lang w:bidi="ar"/>
              </w:rPr>
              <w:t>下列筛选条件不进行筛选：“概念板块”、“上市地点”</w:t>
            </w:r>
            <w:bookmarkEnd w:id="10"/>
            <w:r>
              <w:rPr>
                <w:rFonts w:hint="eastAsia" w:ascii="宋体" w:hAnsi="宋体" w:cs="宋体"/>
                <w:color w:val="000000"/>
                <w:kern w:val="0"/>
                <w:szCs w:val="21"/>
                <w:highlight w:val="none"/>
                <w:lang w:bidi="ar"/>
              </w:rPr>
              <w:t>。</w:t>
            </w:r>
          </w:p>
        </w:tc>
      </w:tr>
      <w:tr w14:paraId="50869FA6">
        <w:tblPrEx>
          <w:tblCellMar>
            <w:top w:w="0" w:type="dxa"/>
            <w:left w:w="108" w:type="dxa"/>
            <w:bottom w:w="0" w:type="dxa"/>
            <w:right w:w="108" w:type="dxa"/>
          </w:tblCellMar>
        </w:tblPrEx>
        <w:trPr>
          <w:trHeight w:val="517" w:hRule="atLeast"/>
        </w:trPr>
        <w:tc>
          <w:tcPr>
            <w:tcW w:w="704" w:type="dxa"/>
            <w:vMerge w:val="continue"/>
            <w:tcBorders>
              <w:left w:val="single" w:color="000000" w:sz="4" w:space="0"/>
              <w:right w:val="single" w:color="000000" w:sz="4" w:space="0"/>
            </w:tcBorders>
            <w:vAlign w:val="center"/>
          </w:tcPr>
          <w:p w14:paraId="7C7F7B1E">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E62D02C">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9345C04">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B2F19B">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24C7C4D">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（4）点击“提取数据”，可看到wind债券总承销金额及只数情况。</w:t>
            </w:r>
          </w:p>
        </w:tc>
      </w:tr>
      <w:bookmarkEnd w:id="9"/>
      <w:tr w14:paraId="7C76C9F1">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1AF07B3D">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257D7A9">
            <w:pPr>
              <w:jc w:val="center"/>
              <w:rPr>
                <w:rFonts w:ascii="宋体" w:hAnsi="宋体" w:cs="宋体"/>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022E256">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分类评级</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3A0647C">
            <w:pPr>
              <w:widowControl/>
              <w:jc w:val="center"/>
              <w:textAlignment w:val="center"/>
              <w:rPr>
                <w:rFonts w:ascii="宋体" w:hAnsi="宋体" w:cs="宋体"/>
                <w:szCs w:val="21"/>
                <w:highlight w:val="none"/>
              </w:rPr>
            </w:pPr>
            <w:r>
              <w:rPr>
                <w:rFonts w:hint="eastAsia" w:ascii="宋体" w:hAnsi="宋体" w:cs="宋体"/>
                <w:szCs w:val="21"/>
                <w:highlight w:val="none"/>
              </w:rPr>
              <w:t>3</w:t>
            </w:r>
          </w:p>
        </w:tc>
        <w:tc>
          <w:tcPr>
            <w:tcW w:w="6360" w:type="dxa"/>
            <w:tcBorders>
              <w:top w:val="single" w:color="000000" w:sz="4" w:space="0"/>
              <w:left w:val="single" w:color="000000" w:sz="4" w:space="0"/>
              <w:bottom w:val="single" w:color="000000" w:sz="4" w:space="0"/>
              <w:right w:val="single" w:color="000000" w:sz="4" w:space="0"/>
            </w:tcBorders>
            <w:vAlign w:val="center"/>
          </w:tcPr>
          <w:p w14:paraId="4982EF35">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近三年（2021-2023年）评级均为AA级及以上，得3分；近三年（2021-2023年）有两年评级为AA级及以上，得2分；近三年（2021-2023年）有一年评级为AA级及以上，得1分。</w:t>
            </w:r>
          </w:p>
        </w:tc>
      </w:tr>
      <w:tr w14:paraId="54228D01">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4D178A8">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3B92F29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auto" w:sz="4" w:space="0"/>
              <w:right w:val="single" w:color="000000" w:sz="4" w:space="0"/>
            </w:tcBorders>
            <w:vAlign w:val="center"/>
          </w:tcPr>
          <w:p w14:paraId="097D0719">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auto" w:sz="4" w:space="0"/>
              <w:right w:val="single" w:color="000000" w:sz="4" w:space="0"/>
            </w:tcBorders>
            <w:vAlign w:val="center"/>
          </w:tcPr>
          <w:p w14:paraId="7EE11FD3">
            <w:pPr>
              <w:widowControl/>
              <w:jc w:val="center"/>
              <w:textAlignment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D0D913D">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注：以证监会公布的证券公司分类结果或地方证监局发的一对一通知为准，</w:t>
            </w:r>
            <w:r>
              <w:rPr>
                <w:rFonts w:hint="eastAsia" w:ascii="宋体" w:hAnsi="宋体" w:cs="宋体"/>
                <w:color w:val="000000"/>
                <w:kern w:val="0"/>
                <w:szCs w:val="21"/>
                <w:highlight w:val="none"/>
                <w:lang w:eastAsia="zh-CN" w:bidi="ar"/>
              </w:rPr>
              <w:t>需提供</w:t>
            </w:r>
            <w:r>
              <w:rPr>
                <w:rFonts w:hint="eastAsia" w:ascii="宋体" w:hAnsi="宋体" w:cs="宋体"/>
                <w:color w:val="000000"/>
                <w:kern w:val="0"/>
                <w:szCs w:val="21"/>
                <w:highlight w:val="none"/>
                <w:lang w:bidi="ar"/>
              </w:rPr>
              <w:t>证监会公布的证券公司分类结果或地方证监局发的一对一通知</w:t>
            </w:r>
            <w:r>
              <w:rPr>
                <w:rFonts w:hint="eastAsia" w:ascii="宋体" w:hAnsi="宋体" w:cs="宋体"/>
                <w:color w:val="000000"/>
                <w:kern w:val="0"/>
                <w:szCs w:val="21"/>
                <w:highlight w:val="none"/>
                <w:lang w:val="en-US" w:eastAsia="zh-CN" w:bidi="ar"/>
              </w:rPr>
              <w:t>的复印件</w:t>
            </w:r>
            <w:r>
              <w:rPr>
                <w:rFonts w:hint="eastAsia" w:ascii="宋体" w:hAnsi="宋体" w:cs="宋体"/>
                <w:color w:val="000000"/>
                <w:kern w:val="0"/>
                <w:szCs w:val="21"/>
                <w:highlight w:val="none"/>
                <w:lang w:bidi="ar"/>
              </w:rPr>
              <w:t>。</w:t>
            </w:r>
          </w:p>
        </w:tc>
      </w:tr>
      <w:tr w14:paraId="6EB2D42A">
        <w:tblPrEx>
          <w:tblCellMar>
            <w:top w:w="0" w:type="dxa"/>
            <w:left w:w="108" w:type="dxa"/>
            <w:bottom w:w="0" w:type="dxa"/>
            <w:right w:w="108" w:type="dxa"/>
          </w:tblCellMar>
        </w:tblPrEx>
        <w:trPr>
          <w:trHeight w:val="1042" w:hRule="atLeast"/>
        </w:trPr>
        <w:tc>
          <w:tcPr>
            <w:tcW w:w="704" w:type="dxa"/>
            <w:vMerge w:val="continue"/>
            <w:tcBorders>
              <w:left w:val="single" w:color="000000" w:sz="4" w:space="0"/>
              <w:right w:val="single" w:color="000000" w:sz="4" w:space="0"/>
            </w:tcBorders>
            <w:vAlign w:val="center"/>
          </w:tcPr>
          <w:p w14:paraId="5D82166A">
            <w:pPr>
              <w:jc w:val="center"/>
              <w:rPr>
                <w:rFonts w:ascii="宋体" w:hAnsi="宋体" w:cs="宋体"/>
                <w:szCs w:val="21"/>
                <w:highlight w:val="none"/>
              </w:rPr>
            </w:pPr>
          </w:p>
        </w:tc>
        <w:tc>
          <w:tcPr>
            <w:tcW w:w="675" w:type="dxa"/>
            <w:vMerge w:val="continue"/>
            <w:tcBorders>
              <w:left w:val="single" w:color="000000" w:sz="4" w:space="0"/>
              <w:right w:val="single" w:color="auto" w:sz="4" w:space="0"/>
            </w:tcBorders>
            <w:vAlign w:val="center"/>
          </w:tcPr>
          <w:p w14:paraId="3066283D">
            <w:pPr>
              <w:jc w:val="center"/>
              <w:rPr>
                <w:rFonts w:ascii="宋体" w:hAnsi="宋体" w:cs="宋体"/>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47855C25">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取消发行的债券数量</w:t>
            </w:r>
          </w:p>
        </w:tc>
        <w:tc>
          <w:tcPr>
            <w:tcW w:w="585" w:type="dxa"/>
            <w:vMerge w:val="restart"/>
            <w:tcBorders>
              <w:top w:val="single" w:color="auto" w:sz="4" w:space="0"/>
              <w:left w:val="single" w:color="auto" w:sz="4" w:space="0"/>
              <w:right w:val="single" w:color="auto" w:sz="4" w:space="0"/>
            </w:tcBorders>
            <w:vAlign w:val="center"/>
          </w:tcPr>
          <w:p w14:paraId="054A47A6">
            <w:pPr>
              <w:widowControl/>
              <w:jc w:val="center"/>
              <w:textAlignment w:val="center"/>
              <w:rPr>
                <w:rFonts w:ascii="宋体" w:hAnsi="宋体" w:cs="宋体"/>
                <w:szCs w:val="21"/>
                <w:highlight w:val="none"/>
              </w:rPr>
            </w:pPr>
            <w:r>
              <w:rPr>
                <w:rFonts w:ascii="宋体" w:hAnsi="宋体" w:cs="宋体"/>
                <w:szCs w:val="21"/>
                <w:highlight w:val="none"/>
              </w:rPr>
              <w:t>3</w:t>
            </w:r>
          </w:p>
        </w:tc>
        <w:tc>
          <w:tcPr>
            <w:tcW w:w="6360" w:type="dxa"/>
            <w:tcBorders>
              <w:top w:val="single" w:color="000000" w:sz="4" w:space="0"/>
              <w:left w:val="single" w:color="auto" w:sz="4" w:space="0"/>
              <w:bottom w:val="single" w:color="000000" w:sz="4" w:space="0"/>
              <w:right w:val="single" w:color="000000" w:sz="4" w:space="0"/>
            </w:tcBorders>
            <w:vAlign w:val="center"/>
          </w:tcPr>
          <w:p w14:paraId="758B0FDF">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2023年1月1日-2024年9月30日，投标人作为主承销商发行债券取消发行公司债情况，取消0只得3分，取消1-5只得2分，取消</w:t>
            </w:r>
            <w:r>
              <w:rPr>
                <w:rFonts w:ascii="宋体" w:hAnsi="宋体" w:cs="宋体"/>
                <w:color w:val="000000"/>
                <w:kern w:val="0"/>
                <w:szCs w:val="21"/>
                <w:highlight w:val="none"/>
                <w:lang w:bidi="ar"/>
              </w:rPr>
              <w:t>6</w:t>
            </w:r>
            <w:r>
              <w:rPr>
                <w:rFonts w:hint="eastAsia" w:ascii="宋体" w:hAnsi="宋体" w:cs="宋体"/>
                <w:color w:val="000000"/>
                <w:kern w:val="0"/>
                <w:szCs w:val="21"/>
                <w:highlight w:val="none"/>
                <w:lang w:bidi="ar"/>
              </w:rPr>
              <w:t>只以上得1分。</w:t>
            </w:r>
          </w:p>
        </w:tc>
      </w:tr>
      <w:tr w14:paraId="584A0DBD">
        <w:tblPrEx>
          <w:tblCellMar>
            <w:top w:w="0" w:type="dxa"/>
            <w:left w:w="108" w:type="dxa"/>
            <w:bottom w:w="0" w:type="dxa"/>
            <w:right w:w="108" w:type="dxa"/>
          </w:tblCellMar>
        </w:tblPrEx>
        <w:trPr>
          <w:trHeight w:val="1871" w:hRule="atLeast"/>
        </w:trPr>
        <w:tc>
          <w:tcPr>
            <w:tcW w:w="704" w:type="dxa"/>
            <w:vMerge w:val="continue"/>
            <w:tcBorders>
              <w:left w:val="single" w:color="000000" w:sz="4" w:space="0"/>
              <w:right w:val="single" w:color="000000" w:sz="4" w:space="0"/>
            </w:tcBorders>
            <w:vAlign w:val="center"/>
          </w:tcPr>
          <w:p w14:paraId="21B949D1">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18D9C855">
            <w:pPr>
              <w:jc w:val="center"/>
              <w:rPr>
                <w:rFonts w:ascii="宋体" w:hAnsi="宋体" w:cs="宋体"/>
                <w:szCs w:val="21"/>
                <w:highlight w:val="none"/>
              </w:rPr>
            </w:pPr>
          </w:p>
        </w:tc>
        <w:tc>
          <w:tcPr>
            <w:tcW w:w="675" w:type="dxa"/>
            <w:vMerge w:val="continue"/>
            <w:tcBorders>
              <w:left w:val="single" w:color="auto" w:sz="4" w:space="0"/>
              <w:bottom w:val="single" w:color="000000" w:sz="4" w:space="0"/>
              <w:right w:val="single" w:color="auto" w:sz="4" w:space="0"/>
            </w:tcBorders>
            <w:vAlign w:val="center"/>
          </w:tcPr>
          <w:p w14:paraId="62183C7C">
            <w:pPr>
              <w:widowControl/>
              <w:jc w:val="center"/>
              <w:textAlignment w:val="center"/>
              <w:rPr>
                <w:rFonts w:hint="eastAsia" w:ascii="宋体" w:hAnsi="宋体" w:cs="宋体"/>
                <w:color w:val="000000"/>
                <w:kern w:val="0"/>
                <w:szCs w:val="21"/>
                <w:highlight w:val="none"/>
                <w:lang w:bidi="ar"/>
              </w:rPr>
            </w:pPr>
          </w:p>
        </w:tc>
        <w:tc>
          <w:tcPr>
            <w:tcW w:w="585" w:type="dxa"/>
            <w:vMerge w:val="continue"/>
            <w:tcBorders>
              <w:left w:val="single" w:color="auto" w:sz="4" w:space="0"/>
              <w:bottom w:val="single" w:color="000000" w:sz="4" w:space="0"/>
              <w:right w:val="single" w:color="auto" w:sz="4" w:space="0"/>
            </w:tcBorders>
            <w:vAlign w:val="center"/>
          </w:tcPr>
          <w:p w14:paraId="4AFE3EB7">
            <w:pPr>
              <w:widowControl/>
              <w:jc w:val="center"/>
              <w:textAlignment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77162C8">
            <w:pPr>
              <w:pStyle w:val="18"/>
              <w:rPr>
                <w:sz w:val="21"/>
                <w:szCs w:val="21"/>
                <w:highlight w:val="none"/>
                <w:lang w:bidi="ar"/>
              </w:rPr>
            </w:pPr>
            <w:r>
              <w:rPr>
                <w:rFonts w:hint="eastAsia"/>
                <w:sz w:val="21"/>
                <w:szCs w:val="21"/>
                <w:highlight w:val="none"/>
                <w:lang w:bidi="ar"/>
              </w:rPr>
              <w:t>注：需附</w:t>
            </w:r>
            <w:r>
              <w:rPr>
                <w:rFonts w:hint="eastAsia"/>
                <w:sz w:val="21"/>
                <w:szCs w:val="21"/>
                <w:highlight w:val="none"/>
                <w:lang w:eastAsia="zh-CN" w:bidi="ar"/>
              </w:rPr>
              <w:t>Wind资讯金融终端</w:t>
            </w:r>
            <w:r>
              <w:rPr>
                <w:rFonts w:hint="eastAsia"/>
                <w:sz w:val="21"/>
                <w:szCs w:val="21"/>
                <w:highlight w:val="none"/>
                <w:lang w:bidi="ar"/>
              </w:rPr>
              <w:t>导出数据截图</w:t>
            </w:r>
          </w:p>
          <w:p w14:paraId="34024FE4">
            <w:pPr>
              <w:pStyle w:val="18"/>
              <w:rPr>
                <w:sz w:val="21"/>
                <w:szCs w:val="21"/>
                <w:highlight w:val="none"/>
                <w:lang w:bidi="ar"/>
              </w:rPr>
            </w:pPr>
            <w:r>
              <w:rPr>
                <w:rFonts w:hint="eastAsia"/>
                <w:sz w:val="21"/>
                <w:szCs w:val="21"/>
                <w:highlight w:val="none"/>
                <w:lang w:bidi="ar"/>
              </w:rPr>
              <w:t>数据请通过</w:t>
            </w:r>
            <w:r>
              <w:rPr>
                <w:rFonts w:hint="eastAsia"/>
                <w:sz w:val="21"/>
                <w:szCs w:val="21"/>
                <w:highlight w:val="none"/>
                <w:lang w:eastAsia="zh-CN" w:bidi="ar"/>
              </w:rPr>
              <w:t>Wind资讯金融终端</w:t>
            </w:r>
            <w:r>
              <w:rPr>
                <w:rFonts w:hint="eastAsia"/>
                <w:sz w:val="21"/>
                <w:szCs w:val="21"/>
                <w:highlight w:val="none"/>
                <w:lang w:bidi="ar"/>
              </w:rPr>
              <w:t>导出，导出路径如下：</w:t>
            </w:r>
          </w:p>
          <w:p w14:paraId="1105FAF4">
            <w:pPr>
              <w:pStyle w:val="18"/>
              <w:rPr>
                <w:sz w:val="21"/>
                <w:szCs w:val="21"/>
                <w:highlight w:val="none"/>
                <w:lang w:bidi="ar"/>
              </w:rPr>
            </w:pPr>
            <w:r>
              <w:rPr>
                <w:rFonts w:hint="eastAsia"/>
                <w:sz w:val="21"/>
                <w:szCs w:val="21"/>
                <w:highlight w:val="none"/>
                <w:lang w:bidi="ar"/>
              </w:rPr>
              <w:t>（1）选择债券专题-一级市场-推迟或取消发行债券。</w:t>
            </w:r>
          </w:p>
          <w:p w14:paraId="55AD0545">
            <w:pPr>
              <w:pStyle w:val="18"/>
              <w:rPr>
                <w:sz w:val="21"/>
                <w:szCs w:val="21"/>
                <w:highlight w:val="none"/>
                <w:lang w:bidi="ar"/>
              </w:rPr>
            </w:pPr>
            <w:r>
              <w:rPr>
                <w:rFonts w:hint="eastAsia"/>
                <w:sz w:val="21"/>
                <w:szCs w:val="21"/>
                <w:highlight w:val="none"/>
                <w:lang w:bidi="ar"/>
              </w:rPr>
              <w:t>（2）筛选条件：起止时间选择“2023年1月1日至2024年9月30日”，事件类型选择“取消发行”，</w:t>
            </w:r>
            <w:r>
              <w:rPr>
                <w:rFonts w:hint="eastAsia" w:hAnsi="宋体"/>
                <w:sz w:val="21"/>
                <w:szCs w:val="18"/>
                <w:highlight w:val="none"/>
                <w:lang w:bidi="ar"/>
              </w:rPr>
              <w:t>债券类型选择“公司债（包括一般公司债和私募债）”</w:t>
            </w:r>
            <w:r>
              <w:rPr>
                <w:rFonts w:hint="eastAsia"/>
                <w:sz w:val="21"/>
                <w:szCs w:val="21"/>
                <w:highlight w:val="none"/>
                <w:lang w:bidi="ar"/>
              </w:rPr>
              <w:t>。</w:t>
            </w:r>
          </w:p>
          <w:p w14:paraId="25026AB9">
            <w:pPr>
              <w:widowControl/>
              <w:jc w:val="left"/>
              <w:textAlignment w:val="center"/>
              <w:rPr>
                <w:rFonts w:hAnsi="宋体"/>
                <w:szCs w:val="18"/>
                <w:highlight w:val="none"/>
                <w:lang w:bidi="ar"/>
              </w:rPr>
            </w:pPr>
            <w:r>
              <w:rPr>
                <w:rFonts w:hint="eastAsia" w:hAnsi="宋体"/>
                <w:szCs w:val="18"/>
                <w:highlight w:val="none"/>
                <w:lang w:bidi="ar"/>
              </w:rPr>
              <w:t>（3）下列筛选条件不进行筛选：“上市地点”。</w:t>
            </w:r>
          </w:p>
          <w:p w14:paraId="2CCF7A18">
            <w:pPr>
              <w:widowControl/>
              <w:jc w:val="left"/>
              <w:textAlignment w:val="center"/>
              <w:rPr>
                <w:rFonts w:hint="eastAsia" w:ascii="宋体" w:hAnsi="宋体" w:cs="宋体"/>
                <w:color w:val="000000"/>
                <w:kern w:val="0"/>
                <w:szCs w:val="21"/>
                <w:highlight w:val="none"/>
                <w:lang w:bidi="ar"/>
              </w:rPr>
            </w:pPr>
            <w:r>
              <w:rPr>
                <w:rFonts w:hint="eastAsia" w:hAnsi="宋体"/>
                <w:szCs w:val="18"/>
                <w:highlight w:val="none"/>
                <w:lang w:bidi="ar"/>
              </w:rPr>
              <w:t>（4）点击“提取数据”，可看到取消发行债券明细，通过筛选主承销商列，获取投标人取消发行债券</w:t>
            </w:r>
            <w:r>
              <w:rPr>
                <w:rFonts w:hint="eastAsia" w:ascii="宋体" w:hAnsi="宋体" w:cs="宋体"/>
                <w:color w:val="000000"/>
                <w:kern w:val="0"/>
                <w:szCs w:val="21"/>
                <w:highlight w:val="none"/>
                <w:lang w:bidi="ar"/>
              </w:rPr>
              <w:t>只</w:t>
            </w:r>
            <w:r>
              <w:rPr>
                <w:rFonts w:hint="eastAsia" w:hAnsi="宋体"/>
                <w:szCs w:val="18"/>
                <w:highlight w:val="none"/>
                <w:lang w:bidi="ar"/>
              </w:rPr>
              <w:t>数。</w:t>
            </w:r>
          </w:p>
        </w:tc>
      </w:tr>
      <w:tr w14:paraId="31226795">
        <w:tblPrEx>
          <w:tblCellMar>
            <w:top w:w="0" w:type="dxa"/>
            <w:left w:w="108" w:type="dxa"/>
            <w:bottom w:w="0" w:type="dxa"/>
            <w:right w:w="108" w:type="dxa"/>
          </w:tblCellMar>
        </w:tblPrEx>
        <w:trPr>
          <w:trHeight w:val="360" w:hRule="atLeast"/>
        </w:trPr>
        <w:tc>
          <w:tcPr>
            <w:tcW w:w="704" w:type="dxa"/>
            <w:vMerge w:val="continue"/>
            <w:tcBorders>
              <w:left w:val="single" w:color="000000" w:sz="4" w:space="0"/>
              <w:bottom w:val="single" w:color="000000" w:sz="4" w:space="0"/>
              <w:right w:val="single" w:color="000000" w:sz="4" w:space="0"/>
            </w:tcBorders>
            <w:vAlign w:val="center"/>
          </w:tcPr>
          <w:p w14:paraId="03163CCB">
            <w:pPr>
              <w:jc w:val="center"/>
              <w:rPr>
                <w:rFonts w:ascii="宋体" w:hAnsi="宋体" w:cs="宋体"/>
                <w:szCs w:val="21"/>
                <w:highlight w:val="none"/>
              </w:rPr>
            </w:pPr>
          </w:p>
        </w:tc>
        <w:tc>
          <w:tcPr>
            <w:tcW w:w="675" w:type="dxa"/>
            <w:vMerge w:val="continue"/>
            <w:tcBorders>
              <w:left w:val="single" w:color="000000" w:sz="4" w:space="0"/>
              <w:bottom w:val="single" w:color="000000" w:sz="4" w:space="0"/>
              <w:right w:val="single" w:color="000000" w:sz="4" w:space="0"/>
            </w:tcBorders>
            <w:vAlign w:val="center"/>
          </w:tcPr>
          <w:p w14:paraId="5B1D07A4">
            <w:pPr>
              <w:jc w:val="center"/>
              <w:rPr>
                <w:rFonts w:ascii="宋体" w:hAnsi="宋体" w:cs="宋体"/>
                <w:szCs w:val="21"/>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57E0E38">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受处罚情况</w:t>
            </w:r>
          </w:p>
        </w:tc>
        <w:tc>
          <w:tcPr>
            <w:tcW w:w="585" w:type="dxa"/>
            <w:tcBorders>
              <w:top w:val="single" w:color="000000" w:sz="4" w:space="0"/>
              <w:left w:val="single" w:color="000000" w:sz="4" w:space="0"/>
              <w:bottom w:val="single" w:color="000000" w:sz="4" w:space="0"/>
              <w:right w:val="single" w:color="000000" w:sz="4" w:space="0"/>
            </w:tcBorders>
            <w:vAlign w:val="center"/>
          </w:tcPr>
          <w:p w14:paraId="751D0F53">
            <w:pPr>
              <w:widowControl/>
              <w:jc w:val="center"/>
              <w:textAlignment w:val="center"/>
              <w:rPr>
                <w:rFonts w:ascii="宋体" w:hAnsi="宋体" w:cs="宋体"/>
                <w:szCs w:val="21"/>
                <w:highlight w:val="none"/>
              </w:rPr>
            </w:pPr>
            <w:r>
              <w:rPr>
                <w:rFonts w:hint="eastAsia" w:ascii="宋体" w:hAnsi="宋体" w:cs="宋体"/>
                <w:szCs w:val="21"/>
                <w:highlight w:val="none"/>
              </w:rPr>
              <w:t>4</w:t>
            </w:r>
          </w:p>
        </w:tc>
        <w:tc>
          <w:tcPr>
            <w:tcW w:w="6360" w:type="dxa"/>
            <w:tcBorders>
              <w:top w:val="single" w:color="000000" w:sz="4" w:space="0"/>
              <w:left w:val="single" w:color="000000" w:sz="4" w:space="0"/>
              <w:bottom w:val="single" w:color="000000" w:sz="4" w:space="0"/>
              <w:right w:val="single" w:color="000000" w:sz="4" w:space="0"/>
            </w:tcBorders>
            <w:vAlign w:val="center"/>
          </w:tcPr>
          <w:p w14:paraId="25572359">
            <w:pPr>
              <w:widowControl/>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2021年1月1日至2024年9月30日，投标人</w:t>
            </w:r>
            <w:r>
              <w:rPr>
                <w:rFonts w:hint="eastAsia" w:ascii="宋体" w:hAnsi="宋体" w:cs="宋体"/>
                <w:color w:val="000000"/>
                <w:kern w:val="0"/>
                <w:szCs w:val="21"/>
                <w:highlight w:val="none"/>
                <w:lang w:val="en-US" w:eastAsia="zh-CN" w:bidi="ar"/>
              </w:rPr>
              <w:t>受到</w:t>
            </w:r>
            <w:r>
              <w:rPr>
                <w:rFonts w:hint="eastAsia" w:ascii="宋体" w:hAnsi="宋体" w:cs="宋体"/>
                <w:color w:val="000000"/>
                <w:kern w:val="0"/>
                <w:szCs w:val="21"/>
                <w:highlight w:val="none"/>
                <w:lang w:bidi="ar"/>
              </w:rPr>
              <w:t>证监会行政监管措施的得0分，未</w:t>
            </w:r>
            <w:r>
              <w:rPr>
                <w:rFonts w:hint="eastAsia" w:ascii="宋体" w:hAnsi="宋体" w:cs="宋体"/>
                <w:color w:val="000000"/>
                <w:kern w:val="0"/>
                <w:szCs w:val="21"/>
                <w:highlight w:val="none"/>
                <w:lang w:val="en-US" w:eastAsia="zh-CN" w:bidi="ar"/>
              </w:rPr>
              <w:t>受到</w:t>
            </w:r>
            <w:r>
              <w:rPr>
                <w:rFonts w:hint="eastAsia" w:ascii="宋体" w:hAnsi="宋体" w:cs="宋体"/>
                <w:color w:val="000000"/>
                <w:kern w:val="0"/>
                <w:szCs w:val="21"/>
                <w:highlight w:val="none"/>
                <w:lang w:bidi="ar"/>
              </w:rPr>
              <w:t>过</w:t>
            </w:r>
            <w:r>
              <w:rPr>
                <w:rFonts w:hint="eastAsia" w:ascii="宋体" w:hAnsi="宋体" w:cs="宋体"/>
                <w:color w:val="000000"/>
                <w:kern w:val="0"/>
                <w:szCs w:val="21"/>
                <w:highlight w:val="none"/>
                <w:lang w:val="en-US" w:eastAsia="zh-CN" w:bidi="ar"/>
              </w:rPr>
              <w:t>证监会</w:t>
            </w:r>
            <w:r>
              <w:rPr>
                <w:rFonts w:hint="eastAsia" w:ascii="宋体" w:hAnsi="宋体" w:cs="宋体"/>
                <w:color w:val="000000"/>
                <w:kern w:val="0"/>
                <w:szCs w:val="21"/>
                <w:highlight w:val="none"/>
                <w:lang w:bidi="ar"/>
              </w:rPr>
              <w:t>行政监管措施的得4分。</w:t>
            </w:r>
            <w:r>
              <w:rPr>
                <w:rFonts w:hint="eastAsia" w:ascii="宋体" w:hAnsi="宋体" w:cs="宋体"/>
                <w:color w:val="000000"/>
                <w:kern w:val="0"/>
                <w:szCs w:val="21"/>
                <w:highlight w:val="none"/>
                <w:lang w:val="en-US" w:eastAsia="zh-CN" w:bidi="ar"/>
              </w:rPr>
              <w:t>需提供</w:t>
            </w:r>
            <w:r>
              <w:rPr>
                <w:rFonts w:hint="eastAsia" w:ascii="宋体" w:hAnsi="宋体" w:cs="宋体"/>
                <w:color w:val="000000"/>
                <w:kern w:val="0"/>
                <w:szCs w:val="21"/>
                <w:highlight w:val="none"/>
                <w:lang w:bidi="ar"/>
              </w:rPr>
              <w:t>“证监会网站（http://www.csrc.gov.cn/csrc/c101925/zfxxgk_zdgk.shtml）-主动公开目录-按主题查看-行政执法-行政监管措施”截图。</w:t>
            </w:r>
          </w:p>
        </w:tc>
      </w:tr>
      <w:tr w14:paraId="321E23B4">
        <w:tblPrEx>
          <w:tblCellMar>
            <w:top w:w="0" w:type="dxa"/>
            <w:left w:w="108" w:type="dxa"/>
            <w:bottom w:w="0" w:type="dxa"/>
            <w:right w:w="108" w:type="dxa"/>
          </w:tblCellMar>
        </w:tblPrEx>
        <w:trPr>
          <w:trHeight w:val="704"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6F7A0B7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服务方案部分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4D81ADC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40分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4D658AF7">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bidi="ar"/>
              </w:rPr>
              <w:t>项目</w:t>
            </w:r>
            <w:r>
              <w:rPr>
                <w:rFonts w:hint="eastAsia" w:ascii="宋体" w:hAnsi="宋体" w:cs="宋体"/>
                <w:kern w:val="0"/>
                <w:szCs w:val="21"/>
                <w:highlight w:val="none"/>
                <w:lang w:bidi="ar"/>
              </w:rPr>
              <w:t>方案</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421BFC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4BBB6665">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根据本项目特点和发行要求，制定项目方案，包括但不限于政策环境分析、可行性分析、时间安排、相关保障服务（包括不限于余额包销和自主投资能力等）等进行综合评价。</w:t>
            </w:r>
          </w:p>
        </w:tc>
      </w:tr>
      <w:tr w14:paraId="176FE0EC">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4DAA187">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6108B7B">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27536E0">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2F23D67">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5D13E434">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第一档方案详细完整、针对性强，可行性高、保障措施完备的，得8-10分；</w:t>
            </w:r>
          </w:p>
        </w:tc>
      </w:tr>
      <w:tr w14:paraId="6C7A0224">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52C3C9DD">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AE3603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55C21F5">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0230D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54C1E772">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第二档方案基本完整、针对性较强，可行性较高、保障措施较好的，得6-8分</w:t>
            </w:r>
          </w:p>
        </w:tc>
      </w:tr>
      <w:tr w14:paraId="189D5E2D">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0F20465">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C15C852">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84D735B">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9F1F543">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6D073873">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第三档方案基本完整、针对性一般、可行性一般、保障措施一般的，得6分。</w:t>
            </w:r>
          </w:p>
        </w:tc>
      </w:tr>
      <w:tr w14:paraId="0115C88A">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F068B94">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C4E9F9B">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02E39B7">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C7358DA">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E601B4F">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缺项得0分。</w:t>
            </w:r>
          </w:p>
        </w:tc>
      </w:tr>
      <w:tr w14:paraId="0C86A378">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02DF0A3">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0292F58">
            <w:pPr>
              <w:jc w:val="center"/>
              <w:rPr>
                <w:rFonts w:ascii="宋体" w:hAnsi="宋体" w:cs="宋体"/>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5112F3B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项目团队配置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E05003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3BE721BC">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项目团队配置：</w:t>
            </w:r>
          </w:p>
        </w:tc>
      </w:tr>
      <w:tr w14:paraId="1509D8CA">
        <w:tblPrEx>
          <w:tblCellMar>
            <w:top w:w="0" w:type="dxa"/>
            <w:left w:w="108" w:type="dxa"/>
            <w:bottom w:w="0" w:type="dxa"/>
            <w:right w:w="108" w:type="dxa"/>
          </w:tblCellMar>
        </w:tblPrEx>
        <w:trPr>
          <w:trHeight w:val="1418"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9CE4FF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6C86AF8">
            <w:pPr>
              <w:jc w:val="center"/>
              <w:rPr>
                <w:rFonts w:ascii="宋体" w:hAnsi="宋体" w:cs="宋体"/>
                <w:szCs w:val="21"/>
                <w:highlight w:val="none"/>
              </w:rPr>
            </w:pPr>
          </w:p>
        </w:tc>
        <w:tc>
          <w:tcPr>
            <w:tcW w:w="675" w:type="dxa"/>
            <w:vMerge w:val="continue"/>
            <w:tcBorders>
              <w:left w:val="single" w:color="000000" w:sz="4" w:space="0"/>
              <w:right w:val="single" w:color="000000" w:sz="4" w:space="0"/>
            </w:tcBorders>
            <w:vAlign w:val="center"/>
          </w:tcPr>
          <w:p w14:paraId="2232BEBC">
            <w:pPr>
              <w:widowControl/>
              <w:jc w:val="center"/>
              <w:textAlignment w:val="center"/>
              <w:rPr>
                <w:rFonts w:ascii="宋体" w:hAnsi="宋体" w:cs="宋体"/>
                <w:kern w:val="0"/>
                <w:szCs w:val="21"/>
                <w:highlight w:val="none"/>
                <w:lang w:bidi="ar"/>
              </w:rPr>
            </w:pPr>
          </w:p>
        </w:tc>
        <w:tc>
          <w:tcPr>
            <w:tcW w:w="585" w:type="dxa"/>
            <w:vMerge w:val="continue"/>
            <w:tcBorders>
              <w:left w:val="single" w:color="000000" w:sz="4" w:space="0"/>
              <w:right w:val="single" w:color="000000" w:sz="4" w:space="0"/>
            </w:tcBorders>
            <w:vAlign w:val="center"/>
          </w:tcPr>
          <w:p w14:paraId="6FD898ED">
            <w:pPr>
              <w:widowControl/>
              <w:jc w:val="center"/>
              <w:textAlignment w:val="center"/>
              <w:rPr>
                <w:rFonts w:ascii="宋体" w:hAnsi="宋体" w:cs="宋体"/>
                <w:kern w:val="0"/>
                <w:szCs w:val="21"/>
                <w:highlight w:val="none"/>
                <w:lang w:bidi="ar"/>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85EA8A1">
            <w:pPr>
              <w:widowControl/>
              <w:jc w:val="left"/>
              <w:textAlignment w:val="center"/>
              <w:rPr>
                <w:highlight w:val="none"/>
              </w:rPr>
            </w:pPr>
            <w:r>
              <w:rPr>
                <w:rFonts w:hint="eastAsia"/>
                <w:highlight w:val="none"/>
              </w:rPr>
              <w:t>项目团队人员具备</w:t>
            </w:r>
            <w:r>
              <w:rPr>
                <w:rFonts w:hint="eastAsia" w:ascii="宋体" w:hAnsi="宋体" w:cs="宋体"/>
                <w:color w:val="000000"/>
                <w:kern w:val="0"/>
                <w:szCs w:val="21"/>
                <w:highlight w:val="none"/>
                <w:lang w:bidi="ar"/>
              </w:rPr>
              <w:t>地方国有企业私募债</w:t>
            </w:r>
            <w:r>
              <w:rPr>
                <w:rFonts w:hint="eastAsia"/>
                <w:highlight w:val="none"/>
              </w:rPr>
              <w:t>发行经验，有过Wind行业（二级）为“运输”债券发行（独主或牵头主）经验，根据项目团队人员配置、专业资格、项目经验、工作经历等客观因素进行综合评价，最高得4分。</w:t>
            </w:r>
          </w:p>
          <w:p w14:paraId="3227FBA5">
            <w:pPr>
              <w:pStyle w:val="2"/>
              <w:ind w:left="0" w:leftChars="0" w:firstLine="0" w:firstLineChars="0"/>
              <w:rPr>
                <w:rFonts w:hint="default" w:eastAsia="宋体"/>
                <w:highlight w:val="none"/>
                <w:lang w:val="en-US" w:eastAsia="zh-CN"/>
              </w:rPr>
            </w:pPr>
            <w:r>
              <w:rPr>
                <w:rFonts w:hint="eastAsia"/>
                <w:highlight w:val="none"/>
              </w:rPr>
              <w:t>注：</w:t>
            </w:r>
            <w:r>
              <w:rPr>
                <w:rFonts w:hint="eastAsia"/>
                <w:highlight w:val="none"/>
                <w:lang w:val="en-US" w:eastAsia="zh-CN"/>
              </w:rPr>
              <w:t>需提供</w:t>
            </w:r>
            <w:r>
              <w:rPr>
                <w:rFonts w:hint="eastAsia"/>
                <w:highlight w:val="none"/>
              </w:rPr>
              <w:t>募集说明书签字页或主承销商联系人页面</w:t>
            </w:r>
            <w:r>
              <w:rPr>
                <w:rFonts w:hint="eastAsia"/>
                <w:highlight w:val="none"/>
                <w:lang w:val="en-US" w:eastAsia="zh-CN"/>
              </w:rPr>
              <w:t>的复印件。</w:t>
            </w:r>
          </w:p>
        </w:tc>
      </w:tr>
      <w:tr w14:paraId="25EBCB1D">
        <w:tblPrEx>
          <w:tblCellMar>
            <w:top w:w="0" w:type="dxa"/>
            <w:left w:w="108" w:type="dxa"/>
            <w:bottom w:w="0" w:type="dxa"/>
            <w:right w:w="108" w:type="dxa"/>
          </w:tblCellMar>
        </w:tblPrEx>
        <w:trPr>
          <w:trHeight w:val="672"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B2F3650">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9268692">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198A529">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5B7371B">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06EDE5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项目团队人员中每有一人持有注册会计师证或法律职业资格证书得2分，最高得6分。</w:t>
            </w:r>
          </w:p>
          <w:p w14:paraId="6C7108B0">
            <w:pPr>
              <w:pStyle w:val="9"/>
              <w:rPr>
                <w:highlight w:val="none"/>
              </w:rPr>
            </w:pPr>
            <w:r>
              <w:rPr>
                <w:rFonts w:hint="eastAsia" w:ascii="宋体" w:hAnsi="宋体" w:cs="宋体"/>
                <w:kern w:val="0"/>
                <w:szCs w:val="21"/>
                <w:highlight w:val="none"/>
                <w:lang w:bidi="ar"/>
              </w:rPr>
              <w:t>注：附注册会计师证书</w:t>
            </w:r>
            <w:r>
              <w:rPr>
                <w:rFonts w:hint="eastAsia" w:ascii="宋体" w:hAnsi="宋体" w:cs="宋体"/>
                <w:kern w:val="0"/>
                <w:szCs w:val="21"/>
                <w:highlight w:val="none"/>
                <w:lang w:val="en-US" w:eastAsia="zh-CN" w:bidi="ar"/>
              </w:rPr>
              <w:t>复印件</w:t>
            </w:r>
            <w:r>
              <w:rPr>
                <w:rFonts w:hint="eastAsia" w:ascii="宋体" w:hAnsi="宋体" w:cs="宋体"/>
                <w:kern w:val="0"/>
                <w:szCs w:val="21"/>
                <w:highlight w:val="none"/>
                <w:lang w:bidi="ar"/>
              </w:rPr>
              <w:t>或法律职业资格证书</w:t>
            </w:r>
            <w:r>
              <w:rPr>
                <w:rFonts w:hint="eastAsia" w:ascii="宋体" w:hAnsi="宋体" w:cs="宋体"/>
                <w:kern w:val="0"/>
                <w:szCs w:val="21"/>
                <w:highlight w:val="none"/>
                <w:lang w:val="en-US" w:eastAsia="zh-CN" w:bidi="ar"/>
              </w:rPr>
              <w:t>复印件</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一人最多只能得2分。</w:t>
            </w:r>
          </w:p>
        </w:tc>
      </w:tr>
      <w:tr w14:paraId="65E75994">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FF9386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C4ACDC5">
            <w:pPr>
              <w:jc w:val="center"/>
              <w:rPr>
                <w:rFonts w:ascii="宋体" w:hAnsi="宋体" w:cs="宋体"/>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1A3729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发行保障措施</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D7D701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49485C28">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发行保障措施：</w:t>
            </w:r>
          </w:p>
        </w:tc>
      </w:tr>
      <w:tr w14:paraId="6CE18A6A">
        <w:tblPrEx>
          <w:tblCellMar>
            <w:top w:w="0" w:type="dxa"/>
            <w:left w:w="108" w:type="dxa"/>
            <w:bottom w:w="0" w:type="dxa"/>
            <w:right w:w="108" w:type="dxa"/>
          </w:tblCellMar>
        </w:tblPrEx>
        <w:trPr>
          <w:trHeight w:val="1397"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9E0F7DC">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000CBDF">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FB11D4E">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497970">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5B58222A">
            <w:pPr>
              <w:widowControl/>
              <w:jc w:val="left"/>
              <w:textAlignment w:val="center"/>
              <w:rPr>
                <w:highlight w:val="none"/>
              </w:rPr>
            </w:pPr>
            <w:r>
              <w:rPr>
                <w:rFonts w:hint="eastAsia"/>
                <w:highlight w:val="none"/>
              </w:rPr>
              <w:t>对宏观市场分析，近期利率走势，本期债券定价，及余额包销能力相关措施</w:t>
            </w:r>
          </w:p>
          <w:p w14:paraId="3815ECDF">
            <w:pPr>
              <w:widowControl/>
              <w:jc w:val="left"/>
              <w:textAlignment w:val="center"/>
              <w:rPr>
                <w:highlight w:val="none"/>
              </w:rPr>
            </w:pPr>
            <w:r>
              <w:rPr>
                <w:rFonts w:hint="eastAsia"/>
                <w:highlight w:val="none"/>
              </w:rPr>
              <w:t>1.措施完善、合理可行，能较好的满足本项目要求得8-10分；</w:t>
            </w:r>
          </w:p>
          <w:p w14:paraId="4097E0B8">
            <w:pPr>
              <w:widowControl/>
              <w:jc w:val="left"/>
              <w:textAlignment w:val="center"/>
              <w:rPr>
                <w:highlight w:val="none"/>
              </w:rPr>
            </w:pPr>
            <w:r>
              <w:rPr>
                <w:rFonts w:hint="eastAsia"/>
                <w:highlight w:val="none"/>
              </w:rPr>
              <w:t>2.较合理完善，可行性一般，能满足本项目要求得6-8分；</w:t>
            </w:r>
          </w:p>
          <w:p w14:paraId="69D200D9">
            <w:pPr>
              <w:widowControl/>
              <w:jc w:val="left"/>
              <w:textAlignment w:val="center"/>
              <w:rPr>
                <w:highlight w:val="none"/>
              </w:rPr>
            </w:pPr>
            <w:r>
              <w:rPr>
                <w:rFonts w:hint="eastAsia"/>
                <w:highlight w:val="none"/>
              </w:rPr>
              <w:t>3.合理性一般，可操作性一般得 6分。</w:t>
            </w:r>
          </w:p>
          <w:p w14:paraId="6677886B">
            <w:pPr>
              <w:pStyle w:val="2"/>
              <w:ind w:left="0" w:leftChars="0" w:firstLine="0" w:firstLineChars="0"/>
              <w:rPr>
                <w:highlight w:val="none"/>
              </w:rPr>
            </w:pPr>
            <w:r>
              <w:rPr>
                <w:rFonts w:hint="eastAsia"/>
                <w:highlight w:val="none"/>
              </w:rPr>
              <w:t>缺项得0分</w:t>
            </w:r>
          </w:p>
        </w:tc>
      </w:tr>
      <w:tr w14:paraId="26706CAC">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8194946">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50A530">
            <w:pPr>
              <w:jc w:val="center"/>
              <w:rPr>
                <w:rFonts w:ascii="宋体" w:hAnsi="宋体" w:cs="宋体"/>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5994A31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服务及存续期管理措施</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3911F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79EA43FE">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服务及存续期管理措施：</w:t>
            </w:r>
          </w:p>
        </w:tc>
      </w:tr>
      <w:tr w14:paraId="37EEA0DE">
        <w:tblPrEx>
          <w:tblCellMar>
            <w:top w:w="0" w:type="dxa"/>
            <w:left w:w="108" w:type="dxa"/>
            <w:bottom w:w="0" w:type="dxa"/>
            <w:right w:w="108" w:type="dxa"/>
          </w:tblCellMar>
        </w:tblPrEx>
        <w:trPr>
          <w:trHeight w:val="105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C480D4D">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61AD9F9">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29D8B36">
            <w:pPr>
              <w:jc w:val="center"/>
              <w:rPr>
                <w:rFonts w:ascii="宋体" w:hAnsi="宋体" w:cs="宋体"/>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A5519A7">
            <w:pPr>
              <w:jc w:val="center"/>
              <w:rPr>
                <w:rFonts w:ascii="宋体" w:hAnsi="宋体" w:cs="宋体"/>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86C6336">
            <w:pPr>
              <w:widowControl/>
              <w:jc w:val="left"/>
              <w:textAlignment w:val="center"/>
              <w:rPr>
                <w:highlight w:val="none"/>
              </w:rPr>
            </w:pPr>
            <w:r>
              <w:rPr>
                <w:rFonts w:hint="eastAsia"/>
                <w:highlight w:val="none"/>
              </w:rPr>
              <w:t>1.措施完善、合理可行，能较好的满足本项目要求得8-10分；</w:t>
            </w:r>
          </w:p>
          <w:p w14:paraId="299D5E41">
            <w:pPr>
              <w:widowControl/>
              <w:jc w:val="left"/>
              <w:textAlignment w:val="center"/>
              <w:rPr>
                <w:highlight w:val="none"/>
              </w:rPr>
            </w:pPr>
            <w:r>
              <w:rPr>
                <w:rFonts w:hint="eastAsia"/>
                <w:highlight w:val="none"/>
              </w:rPr>
              <w:t>2.较合理完善，可行性一般，能满足本项目要求得6-8分；</w:t>
            </w:r>
          </w:p>
          <w:p w14:paraId="337F2A7C">
            <w:pPr>
              <w:widowControl/>
              <w:jc w:val="left"/>
              <w:textAlignment w:val="center"/>
              <w:rPr>
                <w:highlight w:val="none"/>
              </w:rPr>
            </w:pPr>
            <w:r>
              <w:rPr>
                <w:rFonts w:hint="eastAsia"/>
                <w:highlight w:val="none"/>
              </w:rPr>
              <w:t>3.合理性欠佳，可操作性一般得6分。</w:t>
            </w:r>
          </w:p>
          <w:p w14:paraId="16F33CF7">
            <w:pPr>
              <w:pStyle w:val="2"/>
              <w:ind w:left="0" w:leftChars="0" w:firstLine="0" w:firstLineChars="0"/>
              <w:rPr>
                <w:highlight w:val="none"/>
              </w:rPr>
            </w:pPr>
            <w:r>
              <w:rPr>
                <w:rFonts w:hint="eastAsia"/>
                <w:highlight w:val="none"/>
              </w:rPr>
              <w:t>缺项得0分</w:t>
            </w:r>
          </w:p>
        </w:tc>
      </w:tr>
      <w:tr w14:paraId="0C2324B8">
        <w:tblPrEx>
          <w:tblCellMar>
            <w:top w:w="0" w:type="dxa"/>
            <w:left w:w="108" w:type="dxa"/>
            <w:bottom w:w="0" w:type="dxa"/>
            <w:right w:w="108" w:type="dxa"/>
          </w:tblCellMar>
        </w:tblPrEx>
        <w:trPr>
          <w:trHeight w:val="703"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0515754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6158F7D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30分</w:t>
            </w: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71560E4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评标价得分计算公式：</w:t>
            </w:r>
          </w:p>
          <w:p w14:paraId="358116AC">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本次报价上限为不超过0.05%/年（含），超过报价上限为无效报价。</w:t>
            </w:r>
          </w:p>
        </w:tc>
      </w:tr>
      <w:tr w14:paraId="4B68B44B">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B793192">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5494CE4">
            <w:pPr>
              <w:jc w:val="center"/>
              <w:rPr>
                <w:rFonts w:ascii="宋体" w:hAnsi="宋体" w:cs="宋体"/>
                <w:szCs w:val="21"/>
                <w:highlight w:val="none"/>
              </w:rPr>
            </w:pP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644254B4">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（1）如果投标人的评标价＞评标基准价，则评标价得分=F-（投标人评标价一评标基准价）×10000×E1；</w:t>
            </w:r>
          </w:p>
        </w:tc>
      </w:tr>
      <w:tr w14:paraId="2C030CAC">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B76866D">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2472746">
            <w:pPr>
              <w:jc w:val="center"/>
              <w:rPr>
                <w:rFonts w:ascii="宋体" w:hAnsi="宋体" w:cs="宋体"/>
                <w:szCs w:val="21"/>
                <w:highlight w:val="none"/>
              </w:rPr>
            </w:pP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76F34565">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（2）如果投标人的评标价≤评标基准价，则评标价得分=F+（投标人评标价一评标基准价）×10000×E2。</w:t>
            </w:r>
          </w:p>
        </w:tc>
      </w:tr>
      <w:tr w14:paraId="3F19F8B2">
        <w:tblPrEx>
          <w:tblCellMar>
            <w:top w:w="0" w:type="dxa"/>
            <w:left w:w="108" w:type="dxa"/>
            <w:bottom w:w="0" w:type="dxa"/>
            <w:right w:w="108" w:type="dxa"/>
          </w:tblCellMar>
        </w:tblPrEx>
        <w:trPr>
          <w:trHeight w:val="70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E7367F1">
            <w:pPr>
              <w:jc w:val="center"/>
              <w:rPr>
                <w:rFonts w:ascii="宋体" w:hAnsi="宋体" w:cs="宋体"/>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782D367">
            <w:pPr>
              <w:jc w:val="center"/>
              <w:rPr>
                <w:rFonts w:ascii="宋体" w:hAnsi="宋体" w:cs="宋体"/>
                <w:szCs w:val="21"/>
                <w:highlight w:val="none"/>
              </w:rPr>
            </w:pP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5DB9F4EA">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其中，F=30；E1=0.2；E2=0.1。</w:t>
            </w:r>
          </w:p>
          <w:p w14:paraId="1910B951">
            <w:pPr>
              <w:pStyle w:val="18"/>
              <w:rPr>
                <w:color w:val="auto"/>
                <w:highlight w:val="none"/>
              </w:rPr>
            </w:pPr>
            <w:r>
              <w:rPr>
                <w:rFonts w:hint="eastAsia" w:hAnsi="宋体"/>
                <w:color w:val="auto"/>
                <w:sz w:val="21"/>
                <w:szCs w:val="21"/>
                <w:highlight w:val="none"/>
              </w:rPr>
              <w:t>评标价得分保留小数点后两位，小数点后第三位四舍五入</w:t>
            </w:r>
          </w:p>
        </w:tc>
      </w:tr>
    </w:tbl>
    <w:p w14:paraId="7E0D17AE">
      <w:pPr>
        <w:rPr>
          <w:highlight w:val="none"/>
        </w:rPr>
      </w:pPr>
      <w:r>
        <w:rPr>
          <w:rFonts w:hint="eastAsia" w:ascii="宋体" w:hAnsi="宋体" w:cs="宋体"/>
          <w:bCs/>
          <w:highlight w:val="none"/>
        </w:rPr>
        <w:t>详细评审因素</w:t>
      </w:r>
      <w:r>
        <w:rPr>
          <w:rFonts w:hint="eastAsia" w:ascii="宋体" w:hAnsi="宋体" w:cs="宋体"/>
          <w:bCs/>
          <w:kern w:val="0"/>
          <w:szCs w:val="21"/>
          <w:highlight w:val="none"/>
        </w:rPr>
        <w:t>注解：各评分因素得分以评标委员会各成员打分的算术平均值确定(打分保留一位小数，计算得分保留两位小数，第三位四舍五入。</w:t>
      </w:r>
    </w:p>
    <w:p w14:paraId="6F63E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30A64350"/>
    <w:rsid w:val="09024631"/>
    <w:rsid w:val="30A6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200" w:leftChars="200"/>
    </w:pPr>
  </w:style>
  <w:style w:type="paragraph" w:styleId="4">
    <w:name w:val="toc 8"/>
    <w:basedOn w:val="1"/>
    <w:next w:val="1"/>
    <w:qFormat/>
    <w:uiPriority w:val="39"/>
    <w:pPr>
      <w:ind w:left="1470"/>
    </w:pPr>
    <w:rPr>
      <w:sz w:val="18"/>
      <w:szCs w:val="18"/>
    </w:rPr>
  </w:style>
  <w:style w:type="paragraph" w:styleId="5">
    <w:name w:val="annotation text"/>
    <w:basedOn w:val="1"/>
    <w:next w:val="6"/>
    <w:qFormat/>
    <w:uiPriority w:val="0"/>
    <w:pPr>
      <w:jc w:val="left"/>
    </w:pPr>
  </w:style>
  <w:style w:type="paragraph" w:styleId="6">
    <w:name w:val="table of authorities"/>
    <w:basedOn w:val="1"/>
    <w:next w:val="1"/>
    <w:qFormat/>
    <w:uiPriority w:val="99"/>
    <w:pPr>
      <w:spacing w:line="400" w:lineRule="exact"/>
      <w:ind w:firstLine="420" w:firstLineChars="200"/>
    </w:pPr>
    <w:rPr>
      <w:rFonts w:ascii="宋体" w:hAnsi="宋体" w:cs="宋体"/>
      <w:bCs/>
      <w:color w:val="000000"/>
      <w:szCs w:val="21"/>
    </w:rPr>
  </w:style>
  <w:style w:type="paragraph" w:styleId="9">
    <w:name w:val="Body Text"/>
    <w:basedOn w:val="1"/>
    <w:next w:val="10"/>
    <w:qFormat/>
    <w:uiPriority w:val="0"/>
    <w:pPr>
      <w:spacing w:after="120"/>
    </w:pPr>
  </w:style>
  <w:style w:type="paragraph" w:customStyle="1" w:styleId="10">
    <w:name w:val="正文部分 Char Char Char"/>
    <w:basedOn w:val="9"/>
    <w:next w:val="11"/>
    <w:qFormat/>
    <w:uiPriority w:val="0"/>
    <w:pPr>
      <w:spacing w:line="460" w:lineRule="exact"/>
      <w:textAlignment w:val="baseline"/>
    </w:pPr>
    <w:rPr>
      <w:rFonts w:ascii="等线" w:hAnsi="等线" w:eastAsia="等线"/>
    </w:rPr>
  </w:style>
  <w:style w:type="paragraph" w:customStyle="1" w:styleId="11">
    <w:name w:val="章标题"/>
    <w:basedOn w:val="12"/>
    <w:qFormat/>
    <w:uiPriority w:val="0"/>
    <w:rPr>
      <w:rFonts w:ascii="等线" w:hAnsi="等线"/>
    </w:rPr>
  </w:style>
  <w:style w:type="paragraph" w:styleId="1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5">
    <w:name w:val="目录4 Char Char"/>
    <w:link w:val="16"/>
    <w:qFormat/>
    <w:uiPriority w:val="0"/>
    <w:rPr>
      <w:rFonts w:ascii="黑体" w:eastAsia="黑体"/>
      <w:sz w:val="24"/>
    </w:rPr>
  </w:style>
  <w:style w:type="paragraph" w:customStyle="1" w:styleId="16">
    <w:name w:val="目录4"/>
    <w:basedOn w:val="1"/>
    <w:link w:val="15"/>
    <w:qFormat/>
    <w:uiPriority w:val="0"/>
    <w:pPr>
      <w:spacing w:beforeLines="50" w:afterLines="50" w:line="400" w:lineRule="exact"/>
    </w:pPr>
    <w:rPr>
      <w:rFonts w:ascii="黑体" w:eastAsia="黑体"/>
      <w:sz w:val="24"/>
    </w:rPr>
  </w:style>
  <w:style w:type="paragraph" w:customStyle="1" w:styleId="17">
    <w:name w:val="1正文"/>
    <w:basedOn w:val="1"/>
    <w:qFormat/>
    <w:uiPriority w:val="0"/>
    <w:pPr>
      <w:spacing w:line="360" w:lineRule="auto"/>
      <w:ind w:firstLine="480" w:firstLineChars="200"/>
    </w:pPr>
    <w:rPr>
      <w:sz w:val="24"/>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6514</Words>
  <Characters>7088</Characters>
  <Lines>0</Lines>
  <Paragraphs>0</Paragraphs>
  <TotalTime>0</TotalTime>
  <ScaleCrop>false</ScaleCrop>
  <LinksUpToDate>false</LinksUpToDate>
  <CharactersWithSpaces>7135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2024-11-22T07:23:00Z</dcterms:created>
  <dc:creator>11942</dc:creator>
  <cp:lastModifiedBy>李娜</cp:lastModifiedBy>
  <dcterms:modified xsi:type="dcterms:W3CDTF">2024-11-22T07:30:45Z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67D4D82A0D624A85BDD0ADEA46514193</vt:lpwstr>
  </property>
</Properties>
</file>