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89C7E" w14:textId="77777777" w:rsidR="00430AF8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24"/>
        </w:rPr>
      </w:pPr>
      <w:bookmarkStart w:id="0" w:name="_Hlk175583346"/>
      <w:r>
        <w:rPr>
          <w:rFonts w:ascii="宋体" w:eastAsia="宋体" w:hAnsi="宋体" w:cs="宋体" w:hint="eastAsia"/>
          <w:b/>
          <w:bCs/>
          <w:sz w:val="24"/>
        </w:rPr>
        <w:t>G95首都地区环线高速公路廊坊至涿州段改扩建工程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地上物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评估服务</w:t>
      </w:r>
      <w:bookmarkEnd w:id="0"/>
      <w:r>
        <w:rPr>
          <w:rFonts w:ascii="宋体" w:eastAsia="宋体" w:hAnsi="宋体" w:cs="宋体" w:hint="eastAsia"/>
          <w:b/>
          <w:bCs/>
          <w:sz w:val="24"/>
        </w:rPr>
        <w:t>中标候选人公示</w:t>
      </w:r>
    </w:p>
    <w:p w14:paraId="4765F2C9" w14:textId="77777777" w:rsidR="00430AF8" w:rsidRDefault="00000000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招标项目名称：G95首都地区环线高速公路廊坊至涿州段改扩建工程</w:t>
      </w:r>
      <w:proofErr w:type="gramStart"/>
      <w:r>
        <w:rPr>
          <w:rFonts w:ascii="宋体" w:eastAsia="宋体" w:hAnsi="宋体" w:cs="宋体" w:hint="eastAsia"/>
          <w:kern w:val="0"/>
          <w:sz w:val="24"/>
        </w:rPr>
        <w:t>地上物</w:t>
      </w:r>
      <w:proofErr w:type="gramEnd"/>
      <w:r>
        <w:rPr>
          <w:rFonts w:ascii="宋体" w:eastAsia="宋体" w:hAnsi="宋体" w:cs="宋体" w:hint="eastAsia"/>
          <w:kern w:val="0"/>
          <w:sz w:val="24"/>
        </w:rPr>
        <w:t>评估服务</w:t>
      </w:r>
    </w:p>
    <w:p w14:paraId="4E1FFDB7" w14:textId="77777777" w:rsidR="00430AF8" w:rsidRDefault="00000000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招标项目编号：JT-FW-2024-075</w:t>
      </w:r>
    </w:p>
    <w:p w14:paraId="03E0F67C" w14:textId="77777777" w:rsidR="00430AF8" w:rsidRDefault="00000000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公示名称：G95首都地区环线高速公路廊坊至涿州段改扩建工程</w:t>
      </w:r>
      <w:proofErr w:type="gramStart"/>
      <w:r>
        <w:rPr>
          <w:rFonts w:ascii="宋体" w:eastAsia="宋体" w:hAnsi="宋体" w:cs="宋体" w:hint="eastAsia"/>
          <w:kern w:val="0"/>
          <w:sz w:val="24"/>
        </w:rPr>
        <w:t>地上物</w:t>
      </w:r>
      <w:proofErr w:type="gramEnd"/>
      <w:r>
        <w:rPr>
          <w:rFonts w:ascii="宋体" w:eastAsia="宋体" w:hAnsi="宋体" w:cs="宋体" w:hint="eastAsia"/>
          <w:kern w:val="0"/>
          <w:sz w:val="24"/>
        </w:rPr>
        <w:t>评估服务中标候选人公示</w:t>
      </w:r>
    </w:p>
    <w:p w14:paraId="4491263D" w14:textId="77777777" w:rsidR="00430AF8" w:rsidRDefault="00000000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公示编号：JT-FW-2024-075</w:t>
      </w:r>
    </w:p>
    <w:p w14:paraId="5DAB660A" w14:textId="77777777" w:rsidR="00430AF8" w:rsidRDefault="00000000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公示内容：</w:t>
      </w:r>
    </w:p>
    <w:tbl>
      <w:tblPr>
        <w:tblW w:w="98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3"/>
        <w:gridCol w:w="5738"/>
      </w:tblGrid>
      <w:tr w:rsidR="00430AF8" w14:paraId="52CE25DF" w14:textId="77777777">
        <w:trPr>
          <w:trHeight w:val="337"/>
        </w:trPr>
        <w:tc>
          <w:tcPr>
            <w:tcW w:w="9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DCEE4" w14:textId="77777777" w:rsidR="00430AF8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标段：G95首都地区环线高速公路廊坊至涿州段改扩建工程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地上物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评估服务</w:t>
            </w:r>
          </w:p>
        </w:tc>
      </w:tr>
      <w:tr w:rsidR="00430AF8" w14:paraId="35265401" w14:textId="77777777">
        <w:trPr>
          <w:trHeight w:val="322"/>
        </w:trPr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32D07" w14:textId="77777777" w:rsidR="00430AF8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所属行业：交通运输</w:t>
            </w:r>
          </w:p>
        </w:tc>
        <w:tc>
          <w:tcPr>
            <w:tcW w:w="5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8D7DF" w14:textId="77777777" w:rsidR="00430AF8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所属地区：固安县、涿州市</w:t>
            </w:r>
          </w:p>
        </w:tc>
      </w:tr>
      <w:tr w:rsidR="00430AF8" w14:paraId="5508EC92" w14:textId="77777777">
        <w:trPr>
          <w:trHeight w:val="322"/>
        </w:trPr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A33B9" w14:textId="77777777" w:rsidR="00430AF8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开标时间：2024年11月15日9:00</w:t>
            </w:r>
          </w:p>
        </w:tc>
        <w:tc>
          <w:tcPr>
            <w:tcW w:w="5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8C2E7" w14:textId="77777777" w:rsidR="00430AF8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开标地点：石家庄市建设南大街269号河北师大科技园B座11层瑞和安惠项目管理集团有限公司会议室</w:t>
            </w:r>
          </w:p>
        </w:tc>
      </w:tr>
      <w:tr w:rsidR="00430AF8" w14:paraId="506EC1D2" w14:textId="77777777">
        <w:trPr>
          <w:trHeight w:val="322"/>
        </w:trPr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26D1E" w14:textId="77777777" w:rsidR="00430AF8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公示开始日期：2024年11月16日</w:t>
            </w:r>
          </w:p>
        </w:tc>
        <w:tc>
          <w:tcPr>
            <w:tcW w:w="5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0DA36" w14:textId="77777777" w:rsidR="00430AF8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公示截止日期：2024年11月18日</w:t>
            </w:r>
          </w:p>
        </w:tc>
      </w:tr>
    </w:tbl>
    <w:p w14:paraId="70484845" w14:textId="77777777" w:rsidR="00430AF8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1.中标候选人名单 </w:t>
      </w:r>
    </w:p>
    <w:tbl>
      <w:tblPr>
        <w:tblW w:w="97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025"/>
        <w:gridCol w:w="1150"/>
        <w:gridCol w:w="1038"/>
        <w:gridCol w:w="2396"/>
        <w:gridCol w:w="1466"/>
        <w:gridCol w:w="1082"/>
      </w:tblGrid>
      <w:tr w:rsidR="00430AF8" w14:paraId="2344CC6B" w14:textId="77777777">
        <w:trPr>
          <w:trHeight w:val="304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1C3CB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排序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B756A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中标候选人单位名称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D8562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投标价格（元）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6E5EA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评标价格（元）</w:t>
            </w:r>
          </w:p>
        </w:tc>
        <w:tc>
          <w:tcPr>
            <w:tcW w:w="2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3DAC1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服务期限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76E02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质量要求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A911E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安全目标</w:t>
            </w:r>
          </w:p>
        </w:tc>
      </w:tr>
      <w:tr w:rsidR="00430AF8" w14:paraId="3C4208C5" w14:textId="77777777">
        <w:trPr>
          <w:trHeight w:val="304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A455C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F3D7B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河北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泰和正信资产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评估服务有限公司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32197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850000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C721E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850000</w:t>
            </w:r>
          </w:p>
        </w:tc>
        <w:tc>
          <w:tcPr>
            <w:tcW w:w="2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1F494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自合同签订生效之日起180天内出具正式评估报告，直至全部地上附着物拆迁工作完成。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179B5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符合国家及行业规范标准，满足招标文件发包人要求。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506791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不发生安全生产责任事故。</w:t>
            </w:r>
          </w:p>
        </w:tc>
      </w:tr>
      <w:tr w:rsidR="00430AF8" w14:paraId="335DF137" w14:textId="77777777">
        <w:trPr>
          <w:trHeight w:val="319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555E9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6C89D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河北天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华资产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评估有限责任公司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6C909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690000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E0464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690000</w:t>
            </w:r>
          </w:p>
        </w:tc>
        <w:tc>
          <w:tcPr>
            <w:tcW w:w="2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B42BF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自合同签订生效之日起180天内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125E6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符合国家及行业规范标准，满足招标文件发包人要求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DD1E1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不发生安全生产责任事故</w:t>
            </w:r>
          </w:p>
        </w:tc>
      </w:tr>
      <w:tr w:rsidR="00430AF8" w14:paraId="0F0DE92D" w14:textId="77777777">
        <w:trPr>
          <w:trHeight w:val="304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1EA35D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06253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北京百汇方兴资产评估有限公司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C20BD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880000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B4397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880000</w:t>
            </w:r>
          </w:p>
        </w:tc>
        <w:tc>
          <w:tcPr>
            <w:tcW w:w="2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C8926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自合同签订生效之日起180天内出具正式评估报告，直至全部地上附着物拆迁工作完成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2F67A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符合国家及行业规范标准，满足招标文件发包人要求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581F5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不发生安全生产责任事故</w:t>
            </w:r>
          </w:p>
        </w:tc>
      </w:tr>
    </w:tbl>
    <w:p w14:paraId="77E7F89A" w14:textId="77777777" w:rsidR="00430AF8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2.中标候选人项目负责人 </w:t>
      </w:r>
    </w:p>
    <w:tbl>
      <w:tblPr>
        <w:tblW w:w="98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2457"/>
        <w:gridCol w:w="1721"/>
        <w:gridCol w:w="1017"/>
        <w:gridCol w:w="1972"/>
        <w:gridCol w:w="1985"/>
      </w:tblGrid>
      <w:tr w:rsidR="00430AF8" w14:paraId="0F6ED22A" w14:textId="77777777">
        <w:trPr>
          <w:trHeight w:val="36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582B4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排序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193DE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中标候选人单位名称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6B31F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项目负责人姓名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8CD571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613BE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相关证书名称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7B865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相关证书编号</w:t>
            </w:r>
          </w:p>
        </w:tc>
      </w:tr>
      <w:tr w:rsidR="00430AF8" w14:paraId="77FAB2FE" w14:textId="77777777">
        <w:trPr>
          <w:trHeight w:val="708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4AF5FC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8D2A6B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河北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泰和正信资产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评估服务有限公司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944C9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郭彩霞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157A5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74880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注册资产评估师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2A7F1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14130067</w:t>
            </w:r>
          </w:p>
        </w:tc>
      </w:tr>
      <w:tr w:rsidR="00430AF8" w14:paraId="51C49D9C" w14:textId="77777777">
        <w:trPr>
          <w:trHeight w:val="708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B8FEBE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15B127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河北天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华资产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评估有限责任公司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6C3C9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张长辉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3C391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35EF7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注册资产评估师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7C07C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130000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eastAsia="宋体" w:hAnsi="宋体" w:cs="宋体"/>
                <w:kern w:val="0"/>
                <w:sz w:val="24"/>
              </w:rPr>
              <w:t>0</w:t>
            </w:r>
          </w:p>
        </w:tc>
      </w:tr>
      <w:tr w:rsidR="00430AF8" w14:paraId="1EE01DB1" w14:textId="77777777">
        <w:trPr>
          <w:trHeight w:val="708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479520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253AE1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北京百汇方兴资产评估有限公司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686AF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陈娟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556B9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9297C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注册资产评估师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EF4FB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14030053</w:t>
            </w:r>
          </w:p>
        </w:tc>
      </w:tr>
    </w:tbl>
    <w:p w14:paraId="57021DE7" w14:textId="77777777" w:rsidR="00430AF8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3.中标候选人响应招标文件要求的资格能力条件 </w:t>
      </w:r>
    </w:p>
    <w:tbl>
      <w:tblPr>
        <w:tblW w:w="97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4248"/>
        <w:gridCol w:w="4635"/>
      </w:tblGrid>
      <w:tr w:rsidR="00430AF8" w14:paraId="7F8418B2" w14:textId="77777777">
        <w:trPr>
          <w:trHeight w:val="496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9D651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排序 </w:t>
            </w:r>
          </w:p>
        </w:tc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65F43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中标候选人名称 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2D124A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响应情况 </w:t>
            </w:r>
          </w:p>
        </w:tc>
      </w:tr>
      <w:tr w:rsidR="00430AF8" w14:paraId="03764192" w14:textId="77777777">
        <w:trPr>
          <w:trHeight w:val="496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BF87D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1 </w:t>
            </w:r>
          </w:p>
        </w:tc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CA8536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河北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泰和正信资产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评估服务有限公司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399F2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合格</w:t>
            </w:r>
          </w:p>
        </w:tc>
      </w:tr>
      <w:tr w:rsidR="00430AF8" w14:paraId="0AC9B261" w14:textId="77777777">
        <w:trPr>
          <w:trHeight w:val="496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542C7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 xml:space="preserve">2 </w:t>
            </w:r>
          </w:p>
        </w:tc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64DFE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河北天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华资产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评估有限责任公司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83DAA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合格</w:t>
            </w:r>
          </w:p>
        </w:tc>
      </w:tr>
      <w:tr w:rsidR="00430AF8" w14:paraId="145F98AF" w14:textId="77777777">
        <w:trPr>
          <w:trHeight w:val="526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43111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3 </w:t>
            </w:r>
          </w:p>
        </w:tc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2973C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北京百汇方兴资产评估有限公司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C12F6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合格</w:t>
            </w:r>
          </w:p>
        </w:tc>
      </w:tr>
    </w:tbl>
    <w:p w14:paraId="072BBC1F" w14:textId="77777777" w:rsidR="00430AF8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4.（1）中标候选人企业业绩 </w:t>
      </w:r>
    </w:p>
    <w:tbl>
      <w:tblPr>
        <w:tblW w:w="97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878"/>
        <w:gridCol w:w="2333"/>
        <w:gridCol w:w="1533"/>
        <w:gridCol w:w="1625"/>
        <w:gridCol w:w="1625"/>
      </w:tblGrid>
      <w:tr w:rsidR="00430AF8" w14:paraId="0DD76550" w14:textId="77777777"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1AD6A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序号 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D8EEC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中标候选人名称 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65D54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中标工程名称 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51249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建设单位 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D1F41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合同签订时间 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E8040E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合同签订金额 </w:t>
            </w:r>
          </w:p>
        </w:tc>
      </w:tr>
      <w:tr w:rsidR="00430AF8" w14:paraId="53979F37" w14:textId="77777777">
        <w:tc>
          <w:tcPr>
            <w:tcW w:w="7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198535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CCD677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河北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泰和正信资产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评估服务有限公司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4C11A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密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涿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高速公路廊坊至北三县(三河)段三河与平谷交界项目地上附着物评估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2324B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河北高速公路集团有限公司廊坊分公司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09ECB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2021年8月2 日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F87D8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360000元</w:t>
            </w:r>
          </w:p>
        </w:tc>
      </w:tr>
      <w:tr w:rsidR="00430AF8" w14:paraId="3F295B35" w14:textId="77777777">
        <w:trPr>
          <w:trHeight w:val="524"/>
        </w:trPr>
        <w:tc>
          <w:tcPr>
            <w:tcW w:w="7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98C235" w14:textId="77777777" w:rsidR="00430AF8" w:rsidRDefault="00430AF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956947" w14:textId="77777777" w:rsidR="00430AF8" w:rsidRDefault="00430AF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379DC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荣乌高速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新线京台高速至京港澳高速段建设项目（廊坊段）地上附着物评估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18061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廊坊市高速公路建设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指挥部荣乌新线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地方工作办公室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14198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2019年10月20日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B4BA0" w14:textId="7438D720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民房企业评估收费为比选文件规定收费标准的 100%；除民房企业外(苗木、大田作物及其他地上附着物等)评估收费为比选文件规定收费标准的 48%。</w:t>
            </w:r>
          </w:p>
        </w:tc>
      </w:tr>
      <w:tr w:rsidR="00430AF8" w14:paraId="2B0A48D7" w14:textId="77777777">
        <w:trPr>
          <w:trHeight w:val="524"/>
        </w:trPr>
        <w:tc>
          <w:tcPr>
            <w:tcW w:w="7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E520C5" w14:textId="77777777" w:rsidR="00430AF8" w:rsidRDefault="00430AF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151836" w14:textId="77777777" w:rsidR="00430AF8" w:rsidRDefault="00430AF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062B4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北京新机场至德州高速公路京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冀界至津石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高速段建设项目（廊坊段）地上附着物评估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66ADC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廊坊市高速公路建设指挥部京德高速地方工作办公室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6AD01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2019年10月11日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0DB94" w14:textId="3224872A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民房企业评估收费为比选文件规定收费标准的 100%；除民房企业外(苗木、大田作物及其他地上附着物等)评估收费为比选文件规定收费标准的 66%。</w:t>
            </w:r>
          </w:p>
        </w:tc>
      </w:tr>
      <w:tr w:rsidR="00430AF8" w14:paraId="2A8AF5F3" w14:textId="77777777">
        <w:tc>
          <w:tcPr>
            <w:tcW w:w="7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1D1AB3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4E55EA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河北天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华资产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评估有限责任公司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0A29F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</w:rPr>
              <w:t>荣乌高速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</w:rPr>
              <w:t>新线固安段改线改渠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</w:rPr>
              <w:t>地上物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</w:rPr>
              <w:t>补偿价格评估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3FF8D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固安县高速公路建设地方工作指挥部办公室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0CBBE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2020年9月3日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0F561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289000元</w:t>
            </w:r>
          </w:p>
        </w:tc>
      </w:tr>
      <w:tr w:rsidR="00430AF8" w14:paraId="525F29B7" w14:textId="77777777">
        <w:tc>
          <w:tcPr>
            <w:tcW w:w="7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D7F452" w14:textId="77777777" w:rsidR="00430AF8" w:rsidRDefault="00430AF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142F41" w14:textId="77777777" w:rsidR="00430AF8" w:rsidRDefault="00430AF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28061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延崇高速公路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太子城服务区土地及地上附属物拆迁补偿费审核、评估项目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69858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河北省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高速公路延崇筹建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处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98BBB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2022年4月8日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D83864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280000元</w:t>
            </w:r>
          </w:p>
        </w:tc>
      </w:tr>
      <w:tr w:rsidR="00430AF8" w14:paraId="3A267E13" w14:textId="77777777">
        <w:tc>
          <w:tcPr>
            <w:tcW w:w="7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F7166C" w14:textId="77777777" w:rsidR="00430AF8" w:rsidRDefault="00430AF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3B3A6B" w14:textId="77777777" w:rsidR="00430AF8" w:rsidRDefault="00430AF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2DFA6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邢和铁路征地拆迁费用清理咨询服务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2E166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邢台市邢和铁路项目协调推进领导小组办公室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CB0C2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2020年5月15日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23962" w14:textId="60748AF9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EF05E8">
              <w:rPr>
                <w:rFonts w:ascii="宋体" w:eastAsia="宋体" w:hAnsi="宋体" w:cs="宋体" w:hint="eastAsia"/>
                <w:kern w:val="0"/>
                <w:sz w:val="24"/>
              </w:rPr>
              <w:t>500000元</w:t>
            </w:r>
          </w:p>
        </w:tc>
      </w:tr>
      <w:tr w:rsidR="00430AF8" w14:paraId="22A78B9E" w14:textId="77777777">
        <w:tc>
          <w:tcPr>
            <w:tcW w:w="7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EF28CC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3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5EBE78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北京百汇方兴资产评估有限公司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F60538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重庆交通建设(集团)有限责任公司北京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至雄安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新区高速公路河北段SG2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标资产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评估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A9DFD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重庆交通建设(集团)有限责任公司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52ABB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2020年6月15日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72679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240000元</w:t>
            </w:r>
          </w:p>
        </w:tc>
      </w:tr>
    </w:tbl>
    <w:p w14:paraId="3268E949" w14:textId="77777777" w:rsidR="00430AF8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4.（2）中标候选人项目负责人业绩 </w:t>
      </w:r>
    </w:p>
    <w:tbl>
      <w:tblPr>
        <w:tblW w:w="97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558"/>
        <w:gridCol w:w="1397"/>
        <w:gridCol w:w="2076"/>
        <w:gridCol w:w="1537"/>
        <w:gridCol w:w="1110"/>
        <w:gridCol w:w="1340"/>
      </w:tblGrid>
      <w:tr w:rsidR="00430AF8" w14:paraId="4E81D908" w14:textId="77777777"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4DD58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17277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中标候选人名称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15B78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2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45922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中标工程名称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38081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建设单位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374D2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合同签订</w:t>
            </w:r>
          </w:p>
          <w:p w14:paraId="43FA148A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C364C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合同签订</w:t>
            </w:r>
          </w:p>
          <w:p w14:paraId="15C4A003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金额</w:t>
            </w:r>
          </w:p>
        </w:tc>
      </w:tr>
      <w:tr w:rsidR="00EF05E8" w14:paraId="100DC9D9" w14:textId="77777777"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3DDB3E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4CC29C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河北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泰和正信资产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评估服务有限公司</w:t>
            </w:r>
          </w:p>
        </w:tc>
        <w:tc>
          <w:tcPr>
            <w:tcW w:w="13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6F76A3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郭彩霞</w:t>
            </w:r>
          </w:p>
        </w:tc>
        <w:tc>
          <w:tcPr>
            <w:tcW w:w="2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29493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密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涿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高速公路廊坊至北三县(三河)段三河与平谷交界项目地上附着物评估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488A8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河北高速公路集团有限公司廊坊分公司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DF7B5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2021年8月2 日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DDC33" w14:textId="5B4815EB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360000元</w:t>
            </w:r>
          </w:p>
        </w:tc>
      </w:tr>
      <w:tr w:rsidR="00EF05E8" w14:paraId="6E0A13F1" w14:textId="77777777"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A2F8BC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503D9C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3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8F23F6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B9AE5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荣乌高速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新线京台高速至京港澳高速段建设项目（廊坊段）地上附着物评估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C2D83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廊坊市高速公路建设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指挥部荣乌新线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地方工作办公室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87AB4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2019年10月20日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C6837" w14:textId="2BD7370B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民房企业评估收费为比选文件规定收费标准的 100%；除民房企业外(苗木、大田作物及其他地上附着物等)评估收费为比选文件规定收费标准的 48%。</w:t>
            </w:r>
          </w:p>
        </w:tc>
      </w:tr>
      <w:tr w:rsidR="00EF05E8" w14:paraId="18B24C8E" w14:textId="77777777"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FC1DC0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205D55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3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83BB31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93739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北京新机场至德州高速公路京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冀界至津石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高速段建设项目（廊坊段）地上附着物评估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C9BA7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廊坊市高速公路建设指挥部京德高速地方工作办公室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B3056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2019年10月11日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8781E" w14:textId="69BBB0A5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民房企业评估收费为比选文件规定收费标准的 100%；除民房企业外(苗木、大田作物及其他地上附着物等)评估收费为比选文件规定收费标准的 66%。</w:t>
            </w:r>
          </w:p>
        </w:tc>
      </w:tr>
      <w:tr w:rsidR="00EF05E8" w14:paraId="6B1022FD" w14:textId="77777777"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83BE8A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DBFFCC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河北天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华资产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评估有限责任公司</w:t>
            </w:r>
          </w:p>
        </w:tc>
        <w:tc>
          <w:tcPr>
            <w:tcW w:w="13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DB69A1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张长辉</w:t>
            </w:r>
          </w:p>
        </w:tc>
        <w:tc>
          <w:tcPr>
            <w:tcW w:w="2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FA74B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</w:rPr>
              <w:t>荣乌高速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</w:rPr>
              <w:t>新线固安段改线改渠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</w:rPr>
              <w:t>地上物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</w:rPr>
              <w:t>补偿价格评估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22346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固安县高速公路建设地方工作指挥部办公室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F4CC5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2020年9月3日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75F92" w14:textId="636F8E44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289000元</w:t>
            </w:r>
          </w:p>
        </w:tc>
      </w:tr>
      <w:tr w:rsidR="00EF05E8" w14:paraId="5123EDE1" w14:textId="77777777"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BA0CDF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0EE3D3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3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E4C72C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09567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延崇高速公路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太子城服务区土地及地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上附属物拆迁补偿费审核、评估项目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9FDFB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河北省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高速公路延崇筹建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处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EC602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2022年4月8日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35F0B" w14:textId="3FE714F8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280000元</w:t>
            </w:r>
          </w:p>
        </w:tc>
      </w:tr>
      <w:tr w:rsidR="00EF05E8" w14:paraId="7AD2644E" w14:textId="77777777"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E77F28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809FE5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3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DDFCF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A47DB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邢和铁路征地拆迁费用清理咨询服务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E4F69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邢台市邢和铁路项目协调推进领导小组办公室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53E1C" w14:textId="77777777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2020年5月15日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86801" w14:textId="1948A149" w:rsidR="00EF05E8" w:rsidRDefault="00EF05E8" w:rsidP="00EF05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EF05E8">
              <w:rPr>
                <w:rFonts w:ascii="宋体" w:eastAsia="宋体" w:hAnsi="宋体" w:cs="宋体" w:hint="eastAsia"/>
                <w:kern w:val="0"/>
                <w:sz w:val="24"/>
              </w:rPr>
              <w:t>500000元</w:t>
            </w:r>
          </w:p>
        </w:tc>
      </w:tr>
      <w:tr w:rsidR="00430AF8" w14:paraId="3B28AA67" w14:textId="77777777">
        <w:tc>
          <w:tcPr>
            <w:tcW w:w="7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AB4883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686A61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北京百汇方兴资产评估有限公司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2EB292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陈娟</w:t>
            </w:r>
          </w:p>
        </w:tc>
        <w:tc>
          <w:tcPr>
            <w:tcW w:w="2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4FAD9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重庆交通建设(集团)有限责任公司北京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至雄安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新区高速公路河北段SG2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标资产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评估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6F404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重庆交通建设(集团)有限责任公司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A43A6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2020年6月15日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6EDE9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240000元</w:t>
            </w:r>
          </w:p>
        </w:tc>
      </w:tr>
    </w:tbl>
    <w:p w14:paraId="1F42CF68" w14:textId="77777777" w:rsidR="00430AF8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5.（1）所有投标人商务标评分情况 </w:t>
      </w:r>
    </w:p>
    <w:tbl>
      <w:tblPr>
        <w:tblW w:w="96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3937"/>
        <w:gridCol w:w="1001"/>
        <w:gridCol w:w="1027"/>
        <w:gridCol w:w="1091"/>
        <w:gridCol w:w="977"/>
        <w:gridCol w:w="1043"/>
      </w:tblGrid>
      <w:tr w:rsidR="00430AF8" w14:paraId="08431FE5" w14:textId="77777777">
        <w:trPr>
          <w:trHeight w:val="327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B506B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6A5A5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73D05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评委A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766A8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评委B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039929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评委C 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AF9A3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评委D 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A49B8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评委E </w:t>
            </w:r>
          </w:p>
        </w:tc>
      </w:tr>
      <w:tr w:rsidR="003871A9" w14:paraId="7E2896FB" w14:textId="77777777">
        <w:trPr>
          <w:trHeight w:val="297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FCA50" w14:textId="58FA864F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1</w:t>
            </w:r>
          </w:p>
        </w:tc>
        <w:tc>
          <w:tcPr>
            <w:tcW w:w="3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E5248" w14:textId="6D5E31D0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河北</w:t>
            </w:r>
            <w:proofErr w:type="gramStart"/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泰和正信资产</w:t>
            </w:r>
            <w:proofErr w:type="gramEnd"/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评估服务有限公司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781BF2" w14:textId="452B7627" w:rsid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45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AFFF9" w14:textId="48DC9E92" w:rsid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45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7F29A" w14:textId="34BFAE44" w:rsid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45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0C729A" w14:textId="22402349" w:rsid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45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64021" w14:textId="07D46B7F" w:rsid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45</w:t>
            </w:r>
          </w:p>
        </w:tc>
      </w:tr>
      <w:tr w:rsidR="003871A9" w14:paraId="3410F2D2" w14:textId="77777777">
        <w:trPr>
          <w:trHeight w:val="327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2AA41" w14:textId="7F99D5E1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2</w:t>
            </w:r>
          </w:p>
        </w:tc>
        <w:tc>
          <w:tcPr>
            <w:tcW w:w="3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A6A141" w14:textId="16DB4D32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河北天</w:t>
            </w:r>
            <w:proofErr w:type="gramStart"/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华资产</w:t>
            </w:r>
            <w:proofErr w:type="gramEnd"/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评估有限责任公司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0481C" w14:textId="2777652B" w:rsid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36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D0372" w14:textId="52BC2779" w:rsid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36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B8750" w14:textId="388D42DE" w:rsid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36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07831" w14:textId="11967C0B" w:rsid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36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8ABE4" w14:textId="7B2C9211" w:rsid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36</w:t>
            </w:r>
          </w:p>
        </w:tc>
      </w:tr>
      <w:tr w:rsidR="003871A9" w14:paraId="3767001E" w14:textId="77777777">
        <w:trPr>
          <w:trHeight w:val="346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45389" w14:textId="3EDABAF7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3</w:t>
            </w:r>
          </w:p>
        </w:tc>
        <w:tc>
          <w:tcPr>
            <w:tcW w:w="3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7B4BD" w14:textId="7CDFD3EF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北京百汇方兴资产评估有限公司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1078F" w14:textId="6825DEC6" w:rsid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27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0D75C" w14:textId="17431E08" w:rsid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27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E587E" w14:textId="1E4B0229" w:rsid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27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0249A3" w14:textId="55216146" w:rsid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27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235B7" w14:textId="77EC9972" w:rsid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27</w:t>
            </w:r>
          </w:p>
        </w:tc>
      </w:tr>
      <w:tr w:rsidR="003871A9" w14:paraId="181AFCB8" w14:textId="77777777">
        <w:trPr>
          <w:trHeight w:val="346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83FB8" w14:textId="71340338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4</w:t>
            </w:r>
          </w:p>
        </w:tc>
        <w:tc>
          <w:tcPr>
            <w:tcW w:w="3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F19B47" w14:textId="234B2181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廊坊市</w:t>
            </w:r>
            <w:proofErr w:type="gramStart"/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中泰诚资产</w:t>
            </w:r>
            <w:proofErr w:type="gramEnd"/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评估有限公司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9D139" w14:textId="26AF6C55" w:rsid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27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E0981" w14:textId="04E3E0EB" w:rsid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27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67E16" w14:textId="3E9EAB9F" w:rsid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27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6D35D" w14:textId="7C9DABDE" w:rsid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27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99CD7" w14:textId="4AC7B39C" w:rsid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27</w:t>
            </w:r>
          </w:p>
        </w:tc>
      </w:tr>
      <w:tr w:rsidR="003871A9" w14:paraId="6268474A" w14:textId="77777777">
        <w:trPr>
          <w:trHeight w:val="346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76390" w14:textId="14510C89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5</w:t>
            </w:r>
          </w:p>
        </w:tc>
        <w:tc>
          <w:tcPr>
            <w:tcW w:w="3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35C89" w14:textId="045A9FDE" w:rsidR="003871A9" w:rsidRP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河北致远房地产资产评估有限公司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1C9B7" w14:textId="12E75544" w:rsid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27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43212" w14:textId="353839D7" w:rsid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27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1A60C" w14:textId="682ACC99" w:rsid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27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0BD51B" w14:textId="47D76400" w:rsid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27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FB2FDE" w14:textId="6A4231A0" w:rsid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27</w:t>
            </w:r>
          </w:p>
        </w:tc>
      </w:tr>
    </w:tbl>
    <w:p w14:paraId="4FB05979" w14:textId="77777777" w:rsidR="00430AF8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5.（2）所有投标人技术标评分情况</w:t>
      </w:r>
    </w:p>
    <w:tbl>
      <w:tblPr>
        <w:tblW w:w="96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3937"/>
        <w:gridCol w:w="1001"/>
        <w:gridCol w:w="1027"/>
        <w:gridCol w:w="1091"/>
        <w:gridCol w:w="977"/>
        <w:gridCol w:w="1043"/>
      </w:tblGrid>
      <w:tr w:rsidR="00430AF8" w14:paraId="0ED92704" w14:textId="77777777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A3345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1E275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26396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评委A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8730B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评委B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2C70C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评委C 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3398C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评委D 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CDB1D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评委E </w:t>
            </w:r>
          </w:p>
        </w:tc>
      </w:tr>
      <w:tr w:rsidR="003871A9" w14:paraId="7AB068CE" w14:textId="77777777" w:rsidTr="00BC78F9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D4406" w14:textId="1895B4BC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1</w:t>
            </w:r>
          </w:p>
        </w:tc>
        <w:tc>
          <w:tcPr>
            <w:tcW w:w="3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8C313" w14:textId="424345CC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河北</w:t>
            </w:r>
            <w:proofErr w:type="gramStart"/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泰和正信资产</w:t>
            </w:r>
            <w:proofErr w:type="gramEnd"/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评估服务有限公司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14E003" w14:textId="2DDD3F54" w:rsidR="003871A9" w:rsidRP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71A9">
              <w:rPr>
                <w:rFonts w:ascii="宋体" w:eastAsia="宋体" w:hAnsi="宋体" w:cs="宋体" w:hint="eastAsia"/>
                <w:sz w:val="24"/>
              </w:rPr>
              <w:t xml:space="preserve">41.00 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888E88" w14:textId="1BD33815" w:rsidR="003871A9" w:rsidRP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71A9">
              <w:rPr>
                <w:rFonts w:ascii="宋体" w:eastAsia="宋体" w:hAnsi="宋体" w:cs="宋体" w:hint="eastAsia"/>
                <w:sz w:val="24"/>
              </w:rPr>
              <w:t xml:space="preserve">36.00 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B08BE5" w14:textId="111B4ACF" w:rsidR="003871A9" w:rsidRP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71A9">
              <w:rPr>
                <w:rFonts w:ascii="宋体" w:eastAsia="宋体" w:hAnsi="宋体" w:cs="宋体" w:hint="eastAsia"/>
                <w:sz w:val="24"/>
              </w:rPr>
              <w:t xml:space="preserve">40.00 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B196BA" w14:textId="5F119E1F" w:rsidR="003871A9" w:rsidRP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71A9">
              <w:rPr>
                <w:rFonts w:ascii="宋体" w:eastAsia="宋体" w:hAnsi="宋体" w:cs="宋体" w:hint="eastAsia"/>
                <w:sz w:val="24"/>
              </w:rPr>
              <w:t xml:space="preserve">42.60 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A10152" w14:textId="41EBEA92" w:rsidR="003871A9" w:rsidRP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71A9">
              <w:rPr>
                <w:rFonts w:ascii="宋体" w:eastAsia="宋体" w:hAnsi="宋体" w:cs="宋体" w:hint="eastAsia"/>
                <w:sz w:val="24"/>
              </w:rPr>
              <w:t xml:space="preserve">39.50 </w:t>
            </w:r>
          </w:p>
        </w:tc>
      </w:tr>
      <w:tr w:rsidR="003871A9" w14:paraId="741C1A4D" w14:textId="77777777" w:rsidTr="00BC78F9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C8771" w14:textId="15D51C63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2</w:t>
            </w:r>
          </w:p>
        </w:tc>
        <w:tc>
          <w:tcPr>
            <w:tcW w:w="3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C458B" w14:textId="2BAEB3F2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河北天</w:t>
            </w:r>
            <w:proofErr w:type="gramStart"/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华资产</w:t>
            </w:r>
            <w:proofErr w:type="gramEnd"/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评估有限责任公司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8AE01F" w14:textId="1292BEAE" w:rsidR="003871A9" w:rsidRP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71A9">
              <w:rPr>
                <w:rFonts w:ascii="宋体" w:eastAsia="宋体" w:hAnsi="宋体" w:cs="宋体" w:hint="eastAsia"/>
                <w:sz w:val="24"/>
              </w:rPr>
              <w:t xml:space="preserve">37.00 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23527D" w14:textId="22A9D24F" w:rsidR="003871A9" w:rsidRP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71A9">
              <w:rPr>
                <w:rFonts w:ascii="宋体" w:eastAsia="宋体" w:hAnsi="宋体" w:cs="宋体" w:hint="eastAsia"/>
                <w:sz w:val="24"/>
              </w:rPr>
              <w:t xml:space="preserve">34.50 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7FAC3B" w14:textId="67F5E3E8" w:rsidR="003871A9" w:rsidRP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71A9">
              <w:rPr>
                <w:rFonts w:ascii="宋体" w:eastAsia="宋体" w:hAnsi="宋体" w:cs="宋体" w:hint="eastAsia"/>
                <w:sz w:val="24"/>
              </w:rPr>
              <w:t xml:space="preserve">36.50 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38870C" w14:textId="5F3538DC" w:rsidR="003871A9" w:rsidRP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71A9">
              <w:rPr>
                <w:rFonts w:ascii="宋体" w:eastAsia="宋体" w:hAnsi="宋体" w:cs="宋体" w:hint="eastAsia"/>
                <w:sz w:val="24"/>
              </w:rPr>
              <w:t xml:space="preserve">43.80 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C6FCF4" w14:textId="17D33A3F" w:rsidR="003871A9" w:rsidRP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71A9">
              <w:rPr>
                <w:rFonts w:ascii="宋体" w:eastAsia="宋体" w:hAnsi="宋体" w:cs="宋体" w:hint="eastAsia"/>
                <w:sz w:val="24"/>
              </w:rPr>
              <w:t xml:space="preserve">33.50 </w:t>
            </w:r>
          </w:p>
        </w:tc>
      </w:tr>
      <w:tr w:rsidR="003871A9" w14:paraId="0C8CE086" w14:textId="77777777" w:rsidTr="00BC78F9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0FB63" w14:textId="14C429C9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3</w:t>
            </w:r>
          </w:p>
        </w:tc>
        <w:tc>
          <w:tcPr>
            <w:tcW w:w="3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9551A" w14:textId="4483CAC0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北京百汇方兴资产评估有限公司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2F3B3B" w14:textId="1D6E5310" w:rsidR="003871A9" w:rsidRP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71A9">
              <w:rPr>
                <w:rFonts w:ascii="宋体" w:eastAsia="宋体" w:hAnsi="宋体" w:cs="宋体" w:hint="eastAsia"/>
                <w:sz w:val="24"/>
              </w:rPr>
              <w:t xml:space="preserve">33.00 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18F601" w14:textId="2C754DED" w:rsidR="003871A9" w:rsidRP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71A9">
              <w:rPr>
                <w:rFonts w:ascii="宋体" w:eastAsia="宋体" w:hAnsi="宋体" w:cs="宋体" w:hint="eastAsia"/>
                <w:sz w:val="24"/>
              </w:rPr>
              <w:t xml:space="preserve">33.00 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71987E" w14:textId="2B3B5105" w:rsidR="003871A9" w:rsidRP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71A9">
              <w:rPr>
                <w:rFonts w:ascii="宋体" w:eastAsia="宋体" w:hAnsi="宋体" w:cs="宋体" w:hint="eastAsia"/>
                <w:sz w:val="24"/>
              </w:rPr>
              <w:t xml:space="preserve">33.80 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0ACEEB" w14:textId="1D9FF114" w:rsidR="003871A9" w:rsidRP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71A9">
              <w:rPr>
                <w:rFonts w:ascii="宋体" w:eastAsia="宋体" w:hAnsi="宋体" w:cs="宋体" w:hint="eastAsia"/>
                <w:sz w:val="24"/>
              </w:rPr>
              <w:t xml:space="preserve">41.70 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EEDF97" w14:textId="1BF051F4" w:rsidR="003871A9" w:rsidRP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71A9">
              <w:rPr>
                <w:rFonts w:ascii="宋体" w:eastAsia="宋体" w:hAnsi="宋体" w:cs="宋体" w:hint="eastAsia"/>
                <w:sz w:val="24"/>
              </w:rPr>
              <w:t xml:space="preserve">33.00 </w:t>
            </w:r>
          </w:p>
        </w:tc>
      </w:tr>
      <w:tr w:rsidR="003871A9" w14:paraId="026BFD53" w14:textId="77777777" w:rsidTr="00BC78F9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64463" w14:textId="7729B07C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4</w:t>
            </w:r>
          </w:p>
        </w:tc>
        <w:tc>
          <w:tcPr>
            <w:tcW w:w="3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12BA2" w14:textId="15648D32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廊坊市</w:t>
            </w:r>
            <w:proofErr w:type="gramStart"/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中泰诚资产</w:t>
            </w:r>
            <w:proofErr w:type="gramEnd"/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评估有限公司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B6A1ED" w14:textId="6D84AE44" w:rsidR="003871A9" w:rsidRP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71A9">
              <w:rPr>
                <w:rFonts w:ascii="宋体" w:eastAsia="宋体" w:hAnsi="宋体" w:cs="宋体" w:hint="eastAsia"/>
                <w:sz w:val="24"/>
              </w:rPr>
              <w:t xml:space="preserve">33.00 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4DF655" w14:textId="161E627D" w:rsidR="003871A9" w:rsidRP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71A9">
              <w:rPr>
                <w:rFonts w:ascii="宋体" w:eastAsia="宋体" w:hAnsi="宋体" w:cs="宋体" w:hint="eastAsia"/>
                <w:sz w:val="24"/>
              </w:rPr>
              <w:t xml:space="preserve">33.00 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EB4CDD" w14:textId="26B50B96" w:rsidR="003871A9" w:rsidRP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71A9">
              <w:rPr>
                <w:rFonts w:ascii="宋体" w:eastAsia="宋体" w:hAnsi="宋体" w:cs="宋体" w:hint="eastAsia"/>
                <w:sz w:val="24"/>
              </w:rPr>
              <w:t xml:space="preserve">33.80 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078958" w14:textId="0A8A397C" w:rsidR="003871A9" w:rsidRP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71A9">
              <w:rPr>
                <w:rFonts w:ascii="宋体" w:eastAsia="宋体" w:hAnsi="宋体" w:cs="宋体" w:hint="eastAsia"/>
                <w:sz w:val="24"/>
              </w:rPr>
              <w:t xml:space="preserve">42.40 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BF842E" w14:textId="73CC022A" w:rsidR="003871A9" w:rsidRP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71A9">
              <w:rPr>
                <w:rFonts w:ascii="宋体" w:eastAsia="宋体" w:hAnsi="宋体" w:cs="宋体" w:hint="eastAsia"/>
                <w:sz w:val="24"/>
              </w:rPr>
              <w:t xml:space="preserve">32.00 </w:t>
            </w:r>
          </w:p>
        </w:tc>
      </w:tr>
      <w:tr w:rsidR="003871A9" w14:paraId="65F7A515" w14:textId="77777777" w:rsidTr="00BC78F9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7D0DE" w14:textId="4D896C4A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5</w:t>
            </w:r>
          </w:p>
        </w:tc>
        <w:tc>
          <w:tcPr>
            <w:tcW w:w="3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4C6EA" w14:textId="2C0C2468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河北致远房地产资产评估有限公司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8FD8EB" w14:textId="747C0755" w:rsidR="003871A9" w:rsidRP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71A9">
              <w:rPr>
                <w:rFonts w:ascii="宋体" w:eastAsia="宋体" w:hAnsi="宋体" w:cs="宋体" w:hint="eastAsia"/>
                <w:sz w:val="24"/>
              </w:rPr>
              <w:t xml:space="preserve">33.00 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81AE60" w14:textId="55322E4E" w:rsidR="003871A9" w:rsidRP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71A9">
              <w:rPr>
                <w:rFonts w:ascii="宋体" w:eastAsia="宋体" w:hAnsi="宋体" w:cs="宋体" w:hint="eastAsia"/>
                <w:sz w:val="24"/>
              </w:rPr>
              <w:t xml:space="preserve">31.50 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0B6E38" w14:textId="01274BDE" w:rsidR="003871A9" w:rsidRP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71A9">
              <w:rPr>
                <w:rFonts w:ascii="宋体" w:eastAsia="宋体" w:hAnsi="宋体" w:cs="宋体" w:hint="eastAsia"/>
                <w:sz w:val="24"/>
              </w:rPr>
              <w:t xml:space="preserve">33.00 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902FE9" w14:textId="5B963BD8" w:rsidR="003871A9" w:rsidRP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71A9">
              <w:rPr>
                <w:rFonts w:ascii="宋体" w:eastAsia="宋体" w:hAnsi="宋体" w:cs="宋体" w:hint="eastAsia"/>
                <w:sz w:val="24"/>
              </w:rPr>
              <w:t xml:space="preserve">43.00 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8AE81E" w14:textId="2D82B027" w:rsidR="003871A9" w:rsidRPr="003871A9" w:rsidRDefault="003871A9" w:rsidP="003871A9">
            <w:pPr>
              <w:widowControl/>
              <w:spacing w:line="27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71A9">
              <w:rPr>
                <w:rFonts w:ascii="宋体" w:eastAsia="宋体" w:hAnsi="宋体" w:cs="宋体" w:hint="eastAsia"/>
                <w:sz w:val="24"/>
              </w:rPr>
              <w:t xml:space="preserve">29.50 </w:t>
            </w:r>
          </w:p>
        </w:tc>
      </w:tr>
    </w:tbl>
    <w:p w14:paraId="656F1E22" w14:textId="77777777" w:rsidR="00430AF8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5.（3）所有投标人或供应商总得分情况</w:t>
      </w:r>
    </w:p>
    <w:tbl>
      <w:tblPr>
        <w:tblW w:w="4918" w:type="pct"/>
        <w:tblInd w:w="1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4683"/>
        <w:gridCol w:w="2481"/>
        <w:gridCol w:w="1810"/>
      </w:tblGrid>
      <w:tr w:rsidR="00430AF8" w14:paraId="03058107" w14:textId="77777777">
        <w:trPr>
          <w:trHeight w:val="57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7D955F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8B0F33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89CE34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报价得分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501D16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总得分</w:t>
            </w:r>
          </w:p>
        </w:tc>
      </w:tr>
      <w:tr w:rsidR="003871A9" w14:paraId="57A52E5C" w14:textId="77777777">
        <w:trPr>
          <w:trHeight w:val="29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8AA4C4" w14:textId="77777777" w:rsidR="003871A9" w:rsidRDefault="003871A9" w:rsidP="003871A9">
            <w:pPr>
              <w:jc w:val="center"/>
              <w:rPr>
                <w:rFonts w:ascii="宋体" w:eastAsia="宋体" w:hAnsi="宋体" w:cs="宋体" w:hint="eastAsia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8B65C8" w14:textId="67F1FE8B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河北</w:t>
            </w:r>
            <w:proofErr w:type="gramStart"/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泰和正信资产</w:t>
            </w:r>
            <w:proofErr w:type="gramEnd"/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评估服务有限公司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9B690E" w14:textId="68D48F4A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8.93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DED046" w14:textId="6FFD2A57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93.75</w:t>
            </w:r>
          </w:p>
        </w:tc>
      </w:tr>
      <w:tr w:rsidR="003871A9" w14:paraId="3669B1CB" w14:textId="77777777">
        <w:trPr>
          <w:trHeight w:val="29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B301B8" w14:textId="77777777" w:rsidR="003871A9" w:rsidRDefault="003871A9" w:rsidP="003871A9">
            <w:pPr>
              <w:jc w:val="center"/>
              <w:rPr>
                <w:rFonts w:ascii="宋体" w:eastAsia="宋体" w:hAnsi="宋体" w:cs="宋体" w:hint="eastAsia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0E327C" w14:textId="41B56A9E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河北天</w:t>
            </w:r>
            <w:proofErr w:type="gramStart"/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华资产</w:t>
            </w:r>
            <w:proofErr w:type="gramEnd"/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评估有限责任公司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9E1ED" w14:textId="79833B30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8.55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97775F" w14:textId="40F79E4A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81.61</w:t>
            </w:r>
          </w:p>
        </w:tc>
      </w:tr>
      <w:tr w:rsidR="003871A9" w14:paraId="0899712C" w14:textId="77777777">
        <w:trPr>
          <w:trHeight w:val="29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3233F1" w14:textId="77777777" w:rsidR="003871A9" w:rsidRDefault="003871A9" w:rsidP="003871A9">
            <w:pPr>
              <w:jc w:val="center"/>
              <w:rPr>
                <w:rFonts w:ascii="宋体" w:eastAsia="宋体" w:hAnsi="宋体" w:cs="宋体" w:hint="eastAsia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3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E8CF82" w14:textId="7D6559DE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北京百汇方兴资产评估有限公司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9EACEE" w14:textId="31588DBD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8.18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AA460D" w14:textId="64F80B4B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70.08</w:t>
            </w:r>
          </w:p>
        </w:tc>
      </w:tr>
      <w:tr w:rsidR="003871A9" w14:paraId="53C9ED53" w14:textId="77777777">
        <w:trPr>
          <w:trHeight w:val="29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94F190" w14:textId="77777777" w:rsidR="003871A9" w:rsidRDefault="003871A9" w:rsidP="003871A9">
            <w:pPr>
              <w:jc w:val="center"/>
              <w:rPr>
                <w:rFonts w:ascii="宋体" w:eastAsia="宋体" w:hAnsi="宋体" w:cs="宋体" w:hint="eastAsia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4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C7290" w14:textId="0608E135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廊坊市</w:t>
            </w:r>
            <w:proofErr w:type="gramStart"/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中泰诚资产</w:t>
            </w:r>
            <w:proofErr w:type="gramEnd"/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评估有限公司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291087" w14:textId="260DEE25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8.18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6E7D5E" w14:textId="62AD2167" w:rsid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70.02</w:t>
            </w:r>
          </w:p>
        </w:tc>
      </w:tr>
      <w:tr w:rsidR="003871A9" w14:paraId="5655D1C1" w14:textId="77777777">
        <w:trPr>
          <w:trHeight w:val="29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98BAE9" w14:textId="355CBEB8" w:rsidR="003871A9" w:rsidRDefault="003871A9" w:rsidP="003871A9">
            <w:pPr>
              <w:jc w:val="center"/>
              <w:rPr>
                <w:rFonts w:ascii="宋体" w:eastAsia="宋体" w:hAnsi="宋体" w:cs="宋体" w:hint="eastAsia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5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476A58" w14:textId="1DB45BD0" w:rsidR="003871A9" w:rsidRP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河北致远房地产资产评估有限公司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C76273" w14:textId="26E7528C" w:rsidR="003871A9" w:rsidRP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7.93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189D43" w14:textId="13568E71" w:rsidR="003871A9" w:rsidRPr="003871A9" w:rsidRDefault="003871A9" w:rsidP="00387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3871A9">
              <w:rPr>
                <w:rFonts w:ascii="宋体" w:eastAsia="宋体" w:hAnsi="宋体" w:cs="宋体" w:hint="eastAsia"/>
                <w:kern w:val="0"/>
                <w:sz w:val="24"/>
              </w:rPr>
              <w:t>68.93</w:t>
            </w:r>
          </w:p>
        </w:tc>
      </w:tr>
    </w:tbl>
    <w:p w14:paraId="2DE8DB45" w14:textId="77777777" w:rsidR="00430AF8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6.投标文件被否决的投标人名称、否决原因 </w:t>
      </w:r>
    </w:p>
    <w:tbl>
      <w:tblPr>
        <w:tblW w:w="97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4032"/>
        <w:gridCol w:w="4949"/>
      </w:tblGrid>
      <w:tr w:rsidR="00430AF8" w14:paraId="09D2FF87" w14:textId="77777777"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F531C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6CEF0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投标人名称</w:t>
            </w:r>
          </w:p>
        </w:tc>
        <w:tc>
          <w:tcPr>
            <w:tcW w:w="4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275CB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否决原因</w:t>
            </w:r>
          </w:p>
        </w:tc>
      </w:tr>
      <w:tr w:rsidR="00430AF8" w14:paraId="7CC8D251" w14:textId="77777777"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CC549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FFCFF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4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1A5F4" w14:textId="77777777" w:rsidR="00430AF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无</w:t>
            </w:r>
          </w:p>
        </w:tc>
      </w:tr>
    </w:tbl>
    <w:p w14:paraId="52B0D809" w14:textId="11588776" w:rsidR="00430AF8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7.提出异议的渠道和方式：投标人或其他利害关系人对本招标项目的评标结果有异议的，可在公示期向招标人或招标代理机构提出。</w:t>
      </w:r>
    </w:p>
    <w:p w14:paraId="6716F508" w14:textId="77777777" w:rsidR="00430AF8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联系方式 </w:t>
      </w:r>
    </w:p>
    <w:tbl>
      <w:tblPr>
        <w:tblW w:w="102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4"/>
        <w:gridCol w:w="5355"/>
      </w:tblGrid>
      <w:tr w:rsidR="00430AF8" w14:paraId="2CED7D79" w14:textId="77777777">
        <w:trPr>
          <w:trHeight w:val="378"/>
        </w:trPr>
        <w:tc>
          <w:tcPr>
            <w:tcW w:w="4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CAED4" w14:textId="77777777" w:rsidR="00430AF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招标人：河北高速公路集团有限公司</w:t>
            </w:r>
          </w:p>
        </w:tc>
        <w:tc>
          <w:tcPr>
            <w:tcW w:w="5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C0555" w14:textId="77777777" w:rsidR="00430AF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招标代理机构：瑞和安惠项目管理集团有限公司</w:t>
            </w:r>
          </w:p>
        </w:tc>
      </w:tr>
      <w:tr w:rsidR="00430AF8" w14:paraId="3A6FDA34" w14:textId="77777777">
        <w:trPr>
          <w:trHeight w:val="378"/>
        </w:trPr>
        <w:tc>
          <w:tcPr>
            <w:tcW w:w="4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C60C1" w14:textId="77777777" w:rsidR="00430AF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地址：河北省石家庄市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裕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华东路509号</w:t>
            </w:r>
          </w:p>
        </w:tc>
        <w:tc>
          <w:tcPr>
            <w:tcW w:w="5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98D5E" w14:textId="77777777" w:rsidR="00430AF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地址:石家庄市建设南大街269号河北师大科技园B座12层</w:t>
            </w:r>
          </w:p>
        </w:tc>
      </w:tr>
      <w:tr w:rsidR="00430AF8" w14:paraId="78C8417F" w14:textId="77777777">
        <w:trPr>
          <w:trHeight w:val="378"/>
        </w:trPr>
        <w:tc>
          <w:tcPr>
            <w:tcW w:w="4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1724D" w14:textId="77777777" w:rsidR="00430AF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联系人：丁女士、李女士、乔先生</w:t>
            </w:r>
          </w:p>
        </w:tc>
        <w:tc>
          <w:tcPr>
            <w:tcW w:w="5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219AA" w14:textId="77777777" w:rsidR="00430AF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联系人：苗永超、张成、高加强</w:t>
            </w:r>
          </w:p>
        </w:tc>
      </w:tr>
      <w:tr w:rsidR="00430AF8" w14:paraId="37A87DE6" w14:textId="77777777">
        <w:trPr>
          <w:trHeight w:val="378"/>
        </w:trPr>
        <w:tc>
          <w:tcPr>
            <w:tcW w:w="4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88CA3" w14:textId="77777777" w:rsidR="00430AF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电话：0311-6672672</w:t>
            </w:r>
          </w:p>
        </w:tc>
        <w:tc>
          <w:tcPr>
            <w:tcW w:w="5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4889A" w14:textId="77777777" w:rsidR="00430AF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电话：0316-5912139</w:t>
            </w:r>
          </w:p>
        </w:tc>
      </w:tr>
      <w:tr w:rsidR="00430AF8" w14:paraId="19EC5C81" w14:textId="77777777">
        <w:trPr>
          <w:trHeight w:val="401"/>
        </w:trPr>
        <w:tc>
          <w:tcPr>
            <w:tcW w:w="4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6798B" w14:textId="77777777" w:rsidR="00430AF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电子邮箱：/</w:t>
            </w:r>
          </w:p>
        </w:tc>
        <w:tc>
          <w:tcPr>
            <w:tcW w:w="5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5455D" w14:textId="77777777" w:rsidR="00430AF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电子邮箱：rhahlf@126.com</w:t>
            </w:r>
          </w:p>
        </w:tc>
      </w:tr>
    </w:tbl>
    <w:p w14:paraId="70801D00" w14:textId="77777777" w:rsidR="00430AF8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8.其他公示内容：无</w:t>
      </w:r>
    </w:p>
    <w:sectPr w:rsidR="00430AF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YzZTk1YTVlZGJlMDcxMDdlMjI5ZDM0MDdjYjY4ZjMifQ=="/>
  </w:docVars>
  <w:rsids>
    <w:rsidRoot w:val="00C90940"/>
    <w:rsid w:val="000753BA"/>
    <w:rsid w:val="000D1141"/>
    <w:rsid w:val="003871A9"/>
    <w:rsid w:val="00430AF8"/>
    <w:rsid w:val="004532BE"/>
    <w:rsid w:val="004B532C"/>
    <w:rsid w:val="004F5ACB"/>
    <w:rsid w:val="005705B9"/>
    <w:rsid w:val="006462B0"/>
    <w:rsid w:val="006E0E24"/>
    <w:rsid w:val="00907073"/>
    <w:rsid w:val="00927624"/>
    <w:rsid w:val="00951D69"/>
    <w:rsid w:val="009971B2"/>
    <w:rsid w:val="00A24681"/>
    <w:rsid w:val="00AB2C4C"/>
    <w:rsid w:val="00AB68D6"/>
    <w:rsid w:val="00C55332"/>
    <w:rsid w:val="00C90940"/>
    <w:rsid w:val="00CE6F1A"/>
    <w:rsid w:val="00D10345"/>
    <w:rsid w:val="00EF05E8"/>
    <w:rsid w:val="00EF3B9D"/>
    <w:rsid w:val="00FB027F"/>
    <w:rsid w:val="00FB2682"/>
    <w:rsid w:val="00FE34AC"/>
    <w:rsid w:val="01E91A44"/>
    <w:rsid w:val="0226120E"/>
    <w:rsid w:val="034070BC"/>
    <w:rsid w:val="035148F2"/>
    <w:rsid w:val="03587E02"/>
    <w:rsid w:val="041B4092"/>
    <w:rsid w:val="048C3708"/>
    <w:rsid w:val="049A3DD9"/>
    <w:rsid w:val="05ED086E"/>
    <w:rsid w:val="063876A4"/>
    <w:rsid w:val="06D870D9"/>
    <w:rsid w:val="08420CAE"/>
    <w:rsid w:val="09816133"/>
    <w:rsid w:val="0A145C1C"/>
    <w:rsid w:val="0B092A8A"/>
    <w:rsid w:val="0B1526A9"/>
    <w:rsid w:val="0D31155B"/>
    <w:rsid w:val="0D533015"/>
    <w:rsid w:val="0D7C2A37"/>
    <w:rsid w:val="0DD15714"/>
    <w:rsid w:val="0EF26BE2"/>
    <w:rsid w:val="0F586C59"/>
    <w:rsid w:val="0F744163"/>
    <w:rsid w:val="0FEE5763"/>
    <w:rsid w:val="100920B1"/>
    <w:rsid w:val="10284C2D"/>
    <w:rsid w:val="12986351"/>
    <w:rsid w:val="13EE0D17"/>
    <w:rsid w:val="14C173FE"/>
    <w:rsid w:val="169D3553"/>
    <w:rsid w:val="17B34241"/>
    <w:rsid w:val="18A32208"/>
    <w:rsid w:val="19894A37"/>
    <w:rsid w:val="1B747F0B"/>
    <w:rsid w:val="1DDE2DCF"/>
    <w:rsid w:val="1F5837E2"/>
    <w:rsid w:val="1F5C6639"/>
    <w:rsid w:val="20CE2C87"/>
    <w:rsid w:val="22416B0A"/>
    <w:rsid w:val="231177A3"/>
    <w:rsid w:val="23427276"/>
    <w:rsid w:val="23846785"/>
    <w:rsid w:val="241E5CD3"/>
    <w:rsid w:val="246F56CA"/>
    <w:rsid w:val="24AF7273"/>
    <w:rsid w:val="25090652"/>
    <w:rsid w:val="25113A8A"/>
    <w:rsid w:val="254D6A13"/>
    <w:rsid w:val="26263565"/>
    <w:rsid w:val="28072F22"/>
    <w:rsid w:val="286A1BF6"/>
    <w:rsid w:val="28B65EDD"/>
    <w:rsid w:val="28C05396"/>
    <w:rsid w:val="291E49C7"/>
    <w:rsid w:val="2A360824"/>
    <w:rsid w:val="2A9A0FFE"/>
    <w:rsid w:val="2B8A456D"/>
    <w:rsid w:val="2D486A1B"/>
    <w:rsid w:val="2DDA524D"/>
    <w:rsid w:val="2DF4595A"/>
    <w:rsid w:val="2F447611"/>
    <w:rsid w:val="2FBB7811"/>
    <w:rsid w:val="30536D05"/>
    <w:rsid w:val="30C23ADA"/>
    <w:rsid w:val="31AF08B2"/>
    <w:rsid w:val="325048E2"/>
    <w:rsid w:val="32BD0087"/>
    <w:rsid w:val="33556CEC"/>
    <w:rsid w:val="349F18F7"/>
    <w:rsid w:val="36B50719"/>
    <w:rsid w:val="370757A2"/>
    <w:rsid w:val="39913532"/>
    <w:rsid w:val="3A3C72B6"/>
    <w:rsid w:val="3A9F0731"/>
    <w:rsid w:val="3AA94D74"/>
    <w:rsid w:val="3BD77542"/>
    <w:rsid w:val="3C3976F6"/>
    <w:rsid w:val="3F4940F4"/>
    <w:rsid w:val="3F4D61EF"/>
    <w:rsid w:val="3F9F3D14"/>
    <w:rsid w:val="41C86349"/>
    <w:rsid w:val="43B04DA0"/>
    <w:rsid w:val="442F62DC"/>
    <w:rsid w:val="445F3A72"/>
    <w:rsid w:val="474918D0"/>
    <w:rsid w:val="47FD3159"/>
    <w:rsid w:val="48B325DE"/>
    <w:rsid w:val="48C4659A"/>
    <w:rsid w:val="4D0C49B3"/>
    <w:rsid w:val="4D3A57A5"/>
    <w:rsid w:val="4F480CDE"/>
    <w:rsid w:val="52072FF5"/>
    <w:rsid w:val="52DC2732"/>
    <w:rsid w:val="53BD6A07"/>
    <w:rsid w:val="54AF3C0F"/>
    <w:rsid w:val="554E519C"/>
    <w:rsid w:val="55FB651C"/>
    <w:rsid w:val="5838665C"/>
    <w:rsid w:val="59CF1242"/>
    <w:rsid w:val="59DE6C89"/>
    <w:rsid w:val="59DF0C90"/>
    <w:rsid w:val="5AC24111"/>
    <w:rsid w:val="5CE41815"/>
    <w:rsid w:val="5DBC1ADE"/>
    <w:rsid w:val="5E9A1E1F"/>
    <w:rsid w:val="5E9C2EDE"/>
    <w:rsid w:val="5EA33C5C"/>
    <w:rsid w:val="61BC46E6"/>
    <w:rsid w:val="61F743A5"/>
    <w:rsid w:val="62305D0D"/>
    <w:rsid w:val="62A62F50"/>
    <w:rsid w:val="63163B5F"/>
    <w:rsid w:val="63C808C1"/>
    <w:rsid w:val="63F7532D"/>
    <w:rsid w:val="645962D8"/>
    <w:rsid w:val="65553CD1"/>
    <w:rsid w:val="65C76335"/>
    <w:rsid w:val="65FB758B"/>
    <w:rsid w:val="67566AFF"/>
    <w:rsid w:val="67B563F3"/>
    <w:rsid w:val="67F20C4B"/>
    <w:rsid w:val="6894168D"/>
    <w:rsid w:val="694F2785"/>
    <w:rsid w:val="69636A84"/>
    <w:rsid w:val="696977F9"/>
    <w:rsid w:val="6A7D44CA"/>
    <w:rsid w:val="6A80797C"/>
    <w:rsid w:val="6AA524CB"/>
    <w:rsid w:val="6AD05083"/>
    <w:rsid w:val="6AFF0FA3"/>
    <w:rsid w:val="6B9C2722"/>
    <w:rsid w:val="6E9C573F"/>
    <w:rsid w:val="6F7915DC"/>
    <w:rsid w:val="70640CCF"/>
    <w:rsid w:val="736E51D0"/>
    <w:rsid w:val="73CA0EA9"/>
    <w:rsid w:val="741E6AC6"/>
    <w:rsid w:val="761A519B"/>
    <w:rsid w:val="76433C09"/>
    <w:rsid w:val="765C5EF1"/>
    <w:rsid w:val="76795419"/>
    <w:rsid w:val="777032C5"/>
    <w:rsid w:val="7984574E"/>
    <w:rsid w:val="79AF7ABE"/>
    <w:rsid w:val="79E043A5"/>
    <w:rsid w:val="79E60672"/>
    <w:rsid w:val="79E94D5A"/>
    <w:rsid w:val="7A7F0628"/>
    <w:rsid w:val="7C6F57E2"/>
    <w:rsid w:val="7EC14D4E"/>
    <w:rsid w:val="7F9A1827"/>
    <w:rsid w:val="7FE74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2D72"/>
  <w15:docId w15:val="{A11664A1-CF38-4DEC-857C-9566D3F1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qFormat/>
    <w:pPr>
      <w:ind w:firstLine="420"/>
    </w:pPr>
    <w:rPr>
      <w:sz w:val="20"/>
      <w:szCs w:val="20"/>
    </w:rPr>
  </w:style>
  <w:style w:type="paragraph" w:styleId="a4">
    <w:name w:val="Body Text"/>
    <w:basedOn w:val="a"/>
    <w:next w:val="a"/>
    <w:autoRedefine/>
    <w:qFormat/>
    <w:pPr>
      <w:spacing w:after="120"/>
    </w:p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pPr>
      <w:spacing w:before="75" w:after="75"/>
      <w:jc w:val="left"/>
    </w:pPr>
    <w:rPr>
      <w:rFonts w:cs="Times New Roman"/>
      <w:kern w:val="0"/>
      <w:sz w:val="24"/>
    </w:rPr>
  </w:style>
  <w:style w:type="paragraph" w:styleId="aa">
    <w:name w:val="Body Text First Indent"/>
    <w:basedOn w:val="a4"/>
    <w:autoRedefine/>
    <w:qFormat/>
    <w:pPr>
      <w:spacing w:line="312" w:lineRule="auto"/>
      <w:ind w:firstLine="420"/>
    </w:p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autoRedefine/>
    <w:qFormat/>
    <w:rPr>
      <w:b/>
      <w:bCs/>
    </w:rPr>
  </w:style>
  <w:style w:type="character" w:styleId="ad">
    <w:name w:val="FollowedHyperlink"/>
    <w:basedOn w:val="a0"/>
    <w:autoRedefine/>
    <w:qFormat/>
    <w:rPr>
      <w:color w:val="0072C6"/>
      <w:u w:val="none"/>
    </w:rPr>
  </w:style>
  <w:style w:type="character" w:styleId="HTML">
    <w:name w:val="HTML Definition"/>
    <w:basedOn w:val="a0"/>
    <w:autoRedefine/>
    <w:qFormat/>
    <w:rPr>
      <w:i/>
      <w:iCs/>
    </w:rPr>
  </w:style>
  <w:style w:type="character" w:styleId="ae">
    <w:name w:val="Hyperlink"/>
    <w:basedOn w:val="a0"/>
    <w:autoRedefine/>
    <w:qFormat/>
    <w:rPr>
      <w:color w:val="0072C6"/>
      <w:u w:val="none"/>
    </w:rPr>
  </w:style>
  <w:style w:type="character" w:styleId="HTML0">
    <w:name w:val="HTML Code"/>
    <w:basedOn w:val="a0"/>
    <w:autoRedefine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autoRedefine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autoRedefine/>
    <w:qFormat/>
    <w:rPr>
      <w:rFonts w:ascii="Consolas" w:eastAsia="Consolas" w:hAnsi="Consolas" w:cs="Consolas"/>
      <w:sz w:val="21"/>
      <w:szCs w:val="21"/>
    </w:rPr>
  </w:style>
  <w:style w:type="character" w:customStyle="1" w:styleId="a8">
    <w:name w:val="页眉 字符"/>
    <w:basedOn w:val="a0"/>
    <w:link w:val="a7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ui-icon13">
    <w:name w:val="ui-icon13"/>
    <w:basedOn w:val="a0"/>
    <w:autoRedefine/>
    <w:qFormat/>
  </w:style>
  <w:style w:type="character" w:customStyle="1" w:styleId="ui-icon14">
    <w:name w:val="ui-icon14"/>
    <w:basedOn w:val="a0"/>
    <w:autoRedefine/>
    <w:qFormat/>
  </w:style>
  <w:style w:type="character" w:customStyle="1" w:styleId="daibannum">
    <w:name w:val="daiban_num"/>
    <w:basedOn w:val="a0"/>
    <w:autoRedefine/>
    <w:qFormat/>
    <w:rPr>
      <w:b/>
      <w:bCs/>
      <w:color w:val="ED6D23"/>
      <w:sz w:val="30"/>
      <w:szCs w:val="30"/>
    </w:rPr>
  </w:style>
  <w:style w:type="character" w:customStyle="1" w:styleId="layui-layer-tabnow">
    <w:name w:val="layui-layer-tabnow"/>
    <w:basedOn w:val="a0"/>
    <w:autoRedefine/>
    <w:qFormat/>
    <w:rPr>
      <w:bdr w:val="single" w:sz="6" w:space="0" w:color="CCCCCC"/>
      <w:shd w:val="clear" w:color="auto" w:fill="FFFFFF"/>
    </w:rPr>
  </w:style>
  <w:style w:type="character" w:customStyle="1" w:styleId="first-child">
    <w:name w:val="first-child"/>
    <w:basedOn w:val="a0"/>
    <w:autoRedefine/>
    <w:qFormat/>
  </w:style>
  <w:style w:type="character" w:customStyle="1" w:styleId="hover12">
    <w:name w:val="hover12"/>
    <w:basedOn w:val="a0"/>
    <w:autoRedefine/>
    <w:qFormat/>
  </w:style>
  <w:style w:type="character" w:customStyle="1" w:styleId="active6">
    <w:name w:val="active6"/>
    <w:basedOn w:val="a0"/>
    <w:autoRedefine/>
    <w:qFormat/>
    <w:rPr>
      <w:color w:val="FFFFFF"/>
      <w:bdr w:val="single" w:sz="6" w:space="0" w:color="6DCFB0"/>
      <w:shd w:val="clear" w:color="auto" w:fill="6DCFB0"/>
    </w:rPr>
  </w:style>
  <w:style w:type="character" w:customStyle="1" w:styleId="biaozhu">
    <w:name w:val="biaozhu"/>
    <w:basedOn w:val="a0"/>
    <w:autoRedefine/>
    <w:qFormat/>
    <w:rPr>
      <w:color w:val="666666"/>
      <w:sz w:val="21"/>
      <w:szCs w:val="21"/>
    </w:rPr>
  </w:style>
  <w:style w:type="character" w:customStyle="1" w:styleId="error">
    <w:name w:val="error"/>
    <w:basedOn w:val="a0"/>
    <w:autoRedefine/>
    <w:qFormat/>
    <w:rPr>
      <w:color w:val="FF0000"/>
    </w:rPr>
  </w:style>
  <w:style w:type="character" w:customStyle="1" w:styleId="success">
    <w:name w:val="success"/>
    <w:basedOn w:val="a0"/>
    <w:autoRedefine/>
    <w:qFormat/>
    <w:rPr>
      <w:color w:val="999999"/>
    </w:rPr>
  </w:style>
  <w:style w:type="character" w:customStyle="1" w:styleId="tubiao">
    <w:name w:val="tubiao"/>
    <w:basedOn w:val="a0"/>
    <w:autoRedefine/>
    <w:qFormat/>
    <w:rPr>
      <w:color w:val="FFFFFF"/>
      <w:sz w:val="37"/>
      <w:szCs w:val="37"/>
      <w:shd w:val="clear" w:color="auto" w:fill="DFEAEE"/>
    </w:rPr>
  </w:style>
  <w:style w:type="character" w:customStyle="1" w:styleId="active3">
    <w:name w:val="active3"/>
    <w:basedOn w:val="a0"/>
    <w:autoRedefine/>
    <w:qFormat/>
    <w:rPr>
      <w:color w:val="FFFFFF"/>
      <w:bdr w:val="single" w:sz="6" w:space="0" w:color="6DCFB0"/>
      <w:shd w:val="clear" w:color="auto" w:fill="6DCFB0"/>
    </w:rPr>
  </w:style>
  <w:style w:type="character" w:customStyle="1" w:styleId="ui-icon19">
    <w:name w:val="ui-icon19"/>
    <w:basedOn w:val="a0"/>
    <w:autoRedefine/>
    <w:qFormat/>
  </w:style>
  <w:style w:type="character" w:customStyle="1" w:styleId="ui-icon20">
    <w:name w:val="ui-icon20"/>
    <w:basedOn w:val="a0"/>
    <w:autoRedefine/>
    <w:qFormat/>
  </w:style>
  <w:style w:type="character" w:customStyle="1" w:styleId="active4">
    <w:name w:val="active4"/>
    <w:basedOn w:val="a0"/>
    <w:autoRedefine/>
    <w:qFormat/>
    <w:rPr>
      <w:color w:val="FFFFFF"/>
      <w:bdr w:val="single" w:sz="6" w:space="0" w:color="6DCFB0"/>
      <w:shd w:val="clear" w:color="auto" w:fill="6DCFB0"/>
    </w:rPr>
  </w:style>
  <w:style w:type="character" w:customStyle="1" w:styleId="ui-icon21">
    <w:name w:val="ui-icon21"/>
    <w:basedOn w:val="a0"/>
    <w:autoRedefine/>
    <w:qFormat/>
  </w:style>
  <w:style w:type="character" w:customStyle="1" w:styleId="hover11">
    <w:name w:val="hover11"/>
    <w:basedOn w:val="a0"/>
    <w:autoRedefine/>
    <w:qFormat/>
  </w:style>
  <w:style w:type="character" w:customStyle="1" w:styleId="active2">
    <w:name w:val="active2"/>
    <w:basedOn w:val="a0"/>
    <w:autoRedefine/>
    <w:qFormat/>
    <w:rPr>
      <w:color w:val="FFFFFF"/>
      <w:bdr w:val="single" w:sz="6" w:space="0" w:color="6DCFB0"/>
      <w:shd w:val="clear" w:color="auto" w:fill="6DCFB0"/>
    </w:rPr>
  </w:style>
  <w:style w:type="character" w:customStyle="1" w:styleId="active">
    <w:name w:val="active"/>
    <w:basedOn w:val="a0"/>
    <w:autoRedefine/>
    <w:qFormat/>
    <w:rPr>
      <w:color w:val="FFFFFF"/>
      <w:bdr w:val="single" w:sz="6" w:space="0" w:color="6DCFB0"/>
      <w:shd w:val="clear" w:color="auto" w:fill="6DCFB0"/>
    </w:rPr>
  </w:style>
  <w:style w:type="character" w:customStyle="1" w:styleId="hover">
    <w:name w:val="hover"/>
    <w:basedOn w:val="a0"/>
    <w:autoRedefine/>
    <w:qFormat/>
  </w:style>
  <w:style w:type="character" w:customStyle="1" w:styleId="hover9">
    <w:name w:val="hover9"/>
    <w:basedOn w:val="a0"/>
    <w:autoRedefine/>
    <w:qFormat/>
  </w:style>
  <w:style w:type="character" w:customStyle="1" w:styleId="ui-icon">
    <w:name w:val="ui-icon"/>
    <w:basedOn w:val="a0"/>
    <w:autoRedefine/>
    <w:qFormat/>
  </w:style>
  <w:style w:type="character" w:customStyle="1" w:styleId="ui-icon1">
    <w:name w:val="ui-icon1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m</cp:lastModifiedBy>
  <cp:revision>24</cp:revision>
  <dcterms:created xsi:type="dcterms:W3CDTF">2023-05-16T06:30:00Z</dcterms:created>
  <dcterms:modified xsi:type="dcterms:W3CDTF">2024-11-15T11:50:00Z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88F4A230B46D4FE9AFC034C7182C2C70_13</vt:lpwstr>
  </property>
</Properties>
</file>