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A1B1A">
      <w:pPr>
        <w:widowControl w:val="0"/>
        <w:adjustRightInd/>
        <w:snapToGrid/>
        <w:spacing w:after="0"/>
        <w:jc w:val="both"/>
        <w:rPr>
          <w:rFonts w:hint="eastAsia" w:ascii="宋体" w:hAnsi="宋体" w:eastAsia="宋体" w:cs="宋体"/>
          <w:b/>
          <w:kern w:val="2"/>
          <w:sz w:val="28"/>
          <w:szCs w:val="28"/>
        </w:rPr>
      </w:pPr>
      <w:bookmarkStart w:id="2" w:name="_GoBack"/>
      <w:bookmarkEnd w:id="2"/>
      <w:r>
        <w:rPr>
          <w:rFonts w:hint="eastAsia" w:ascii="宋体" w:hAnsi="宋体" w:eastAsia="宋体" w:cs="宋体"/>
          <w:b/>
          <w:kern w:val="2"/>
          <w:sz w:val="28"/>
          <w:szCs w:val="28"/>
        </w:rPr>
        <w:t>附件1：资格审查条件</w:t>
      </w:r>
    </w:p>
    <w:p w14:paraId="7380C4EA">
      <w:pPr>
        <w:widowControl w:val="0"/>
        <w:adjustRightInd/>
        <w:snapToGrid/>
        <w:spacing w:after="0"/>
        <w:jc w:val="both"/>
        <w:rPr>
          <w:rFonts w:hint="eastAsia" w:ascii="宋体" w:hAnsi="宋体" w:eastAsia="宋体" w:cs="宋体"/>
          <w:b/>
          <w:kern w:val="2"/>
          <w:sz w:val="28"/>
          <w:szCs w:val="28"/>
        </w:rPr>
      </w:pPr>
    </w:p>
    <w:p w14:paraId="1C4DF8A9">
      <w:pPr>
        <w:widowControl w:val="0"/>
        <w:adjustRightInd/>
        <w:snapToGrid/>
        <w:spacing w:after="0"/>
        <w:jc w:val="center"/>
        <w:rPr>
          <w:rFonts w:ascii="宋体" w:hAnsi="宋体" w:eastAsia="宋体" w:cs="宋体"/>
          <w:b/>
          <w:kern w:val="2"/>
          <w:sz w:val="24"/>
        </w:rPr>
      </w:pPr>
      <w:r>
        <w:rPr>
          <w:rFonts w:hint="eastAsia" w:ascii="宋体" w:hAnsi="宋体" w:eastAsia="宋体" w:cs="宋体"/>
          <w:b/>
          <w:kern w:val="2"/>
          <w:sz w:val="24"/>
        </w:rPr>
        <w:t>附录1 资格审查条件（资质最低要求）</w:t>
      </w:r>
    </w:p>
    <w:tbl>
      <w:tblPr>
        <w:tblStyle w:val="4"/>
        <w:tblpPr w:leftFromText="181" w:rightFromText="181" w:vertAnchor="text" w:horzAnchor="margin" w:tblpXSpec="center" w:tblpY="30"/>
        <w:tblW w:w="93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84"/>
      </w:tblGrid>
      <w:tr w14:paraId="1454F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trPr>
        <w:tc>
          <w:tcPr>
            <w:tcW w:w="9384" w:type="dxa"/>
            <w:vAlign w:val="center"/>
          </w:tcPr>
          <w:p w14:paraId="35E2B06A">
            <w:pPr>
              <w:widowControl w:val="0"/>
              <w:spacing w:after="0"/>
              <w:jc w:val="center"/>
              <w:rPr>
                <w:rFonts w:hint="eastAsia" w:ascii="宋体" w:hAnsi="宋体" w:eastAsia="宋体" w:cs="宋体"/>
                <w:b/>
                <w:bCs/>
                <w:kern w:val="2"/>
                <w:sz w:val="21"/>
                <w:szCs w:val="21"/>
              </w:rPr>
            </w:pPr>
            <w:r>
              <w:rPr>
                <w:rFonts w:hint="eastAsia" w:ascii="宋体" w:hAnsi="宋体" w:eastAsia="宋体" w:cs="宋体"/>
                <w:b/>
                <w:bCs/>
                <w:kern w:val="2"/>
                <w:sz w:val="21"/>
                <w:szCs w:val="21"/>
              </w:rPr>
              <w:t>资质要求</w:t>
            </w:r>
          </w:p>
        </w:tc>
      </w:tr>
      <w:tr w14:paraId="6128C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042" w:hRule="atLeast"/>
        </w:trPr>
        <w:tc>
          <w:tcPr>
            <w:tcW w:w="9384" w:type="dxa"/>
            <w:vAlign w:val="center"/>
          </w:tcPr>
          <w:p w14:paraId="68A743C6">
            <w:pPr>
              <w:widowControl w:val="0"/>
              <w:adjustRightInd/>
              <w:snapToGrid/>
              <w:spacing w:after="0" w:line="360" w:lineRule="auto"/>
              <w:ind w:firstLine="420" w:firstLineChars="200"/>
              <w:jc w:val="both"/>
              <w:rPr>
                <w:rFonts w:hint="eastAsia" w:ascii="宋体" w:hAnsi="宋体" w:eastAsia="宋体" w:cs="宋体"/>
                <w:kern w:val="2"/>
                <w:sz w:val="21"/>
              </w:rPr>
            </w:pPr>
            <w:bookmarkStart w:id="0" w:name="OLE_LINK13"/>
            <w:bookmarkStart w:id="1" w:name="OLE_LINK14"/>
            <w:r>
              <w:rPr>
                <w:rFonts w:hint="eastAsia" w:ascii="宋体" w:hAnsi="宋体" w:eastAsia="宋体" w:cs="宋体"/>
                <w:kern w:val="2"/>
                <w:sz w:val="21"/>
              </w:rPr>
              <w:t>制造商：具有独立企业法人资格，具有有效的营业执照；</w:t>
            </w:r>
          </w:p>
          <w:p w14:paraId="389662D6">
            <w:pPr>
              <w:widowControl w:val="0"/>
              <w:adjustRightInd/>
              <w:snapToGrid/>
              <w:spacing w:after="0" w:line="360" w:lineRule="auto"/>
              <w:ind w:firstLine="420" w:firstLineChars="200"/>
              <w:jc w:val="both"/>
              <w:rPr>
                <w:rFonts w:hint="eastAsia" w:ascii="宋体" w:hAnsi="宋体" w:eastAsia="宋体" w:cs="宋体"/>
                <w:kern w:val="2"/>
                <w:sz w:val="21"/>
              </w:rPr>
            </w:pPr>
            <w:r>
              <w:rPr>
                <w:rFonts w:hint="eastAsia" w:ascii="宋体" w:hAnsi="宋体" w:eastAsia="宋体" w:cs="宋体"/>
                <w:kern w:val="2"/>
                <w:sz w:val="21"/>
              </w:rPr>
              <w:t>代理商：具有独立企业法人资格，具有有效的营业执照。</w:t>
            </w:r>
            <w:bookmarkEnd w:id="0"/>
            <w:bookmarkEnd w:id="1"/>
          </w:p>
        </w:tc>
      </w:tr>
    </w:tbl>
    <w:p w14:paraId="3DFF1A7E">
      <w:pPr>
        <w:widowControl w:val="0"/>
        <w:adjustRightInd/>
        <w:snapToGrid/>
        <w:spacing w:after="0"/>
        <w:jc w:val="center"/>
        <w:rPr>
          <w:rFonts w:hint="eastAsia" w:ascii="宋体" w:hAnsi="宋体" w:eastAsia="宋体" w:cs="宋体"/>
          <w:b/>
          <w:kern w:val="2"/>
          <w:sz w:val="24"/>
        </w:rPr>
      </w:pPr>
    </w:p>
    <w:p w14:paraId="28DF3A88">
      <w:pPr>
        <w:widowControl w:val="0"/>
        <w:adjustRightInd/>
        <w:snapToGrid/>
        <w:spacing w:after="0"/>
        <w:jc w:val="center"/>
        <w:rPr>
          <w:rFonts w:hint="eastAsia" w:ascii="宋体" w:hAnsi="宋体" w:eastAsia="宋体" w:cs="宋体"/>
          <w:b/>
          <w:kern w:val="2"/>
          <w:sz w:val="24"/>
        </w:rPr>
      </w:pPr>
    </w:p>
    <w:p w14:paraId="060290E9">
      <w:pPr>
        <w:widowControl w:val="0"/>
        <w:adjustRightInd/>
        <w:snapToGrid/>
        <w:spacing w:after="0"/>
        <w:jc w:val="center"/>
        <w:rPr>
          <w:rFonts w:hint="eastAsia" w:ascii="宋体" w:hAnsi="宋体" w:eastAsia="宋体" w:cs="宋体"/>
          <w:b/>
          <w:kern w:val="2"/>
          <w:sz w:val="24"/>
        </w:rPr>
      </w:pPr>
      <w:r>
        <w:rPr>
          <w:rFonts w:hint="eastAsia" w:ascii="宋体" w:hAnsi="宋体" w:eastAsia="宋体" w:cs="宋体"/>
          <w:b/>
          <w:kern w:val="2"/>
          <w:sz w:val="24"/>
        </w:rPr>
        <w:t>附录2 资格审查条件（业绩最低要求）</w:t>
      </w:r>
    </w:p>
    <w:tbl>
      <w:tblPr>
        <w:tblStyle w:val="4"/>
        <w:tblpPr w:leftFromText="180" w:rightFromText="180" w:vertAnchor="text" w:horzAnchor="page" w:tblpXSpec="center" w:tblpY="60"/>
        <w:tblOverlap w:val="never"/>
        <w:tblW w:w="51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09"/>
      </w:tblGrid>
      <w:tr w14:paraId="67F1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5000" w:type="pct"/>
            <w:vAlign w:val="center"/>
          </w:tcPr>
          <w:p w14:paraId="73149161">
            <w:pPr>
              <w:widowControl w:val="0"/>
              <w:wordWrap w:val="0"/>
              <w:spacing w:after="0"/>
              <w:jc w:val="center"/>
              <w:rPr>
                <w:rFonts w:hint="eastAsia" w:ascii="宋体" w:hAnsi="宋体" w:eastAsia="宋体" w:cs="宋体"/>
                <w:b/>
                <w:kern w:val="2"/>
                <w:sz w:val="21"/>
                <w:szCs w:val="21"/>
                <w:shd w:val="clear" w:color="auto" w:fill="FFFFFF"/>
              </w:rPr>
            </w:pPr>
            <w:r>
              <w:rPr>
                <w:rFonts w:hint="eastAsia" w:ascii="宋体" w:hAnsi="宋体" w:eastAsia="宋体" w:cs="宋体"/>
                <w:b/>
                <w:kern w:val="2"/>
                <w:sz w:val="21"/>
                <w:szCs w:val="21"/>
                <w:shd w:val="clear" w:color="auto" w:fill="FFFFFF"/>
              </w:rPr>
              <w:t>业绩要求</w:t>
            </w:r>
          </w:p>
        </w:tc>
      </w:tr>
      <w:tr w14:paraId="232E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5000" w:type="pct"/>
            <w:vAlign w:val="center"/>
          </w:tcPr>
          <w:p w14:paraId="15C3EABA">
            <w:pPr>
              <w:widowControl w:val="0"/>
              <w:spacing w:after="0" w:line="288" w:lineRule="auto"/>
              <w:ind w:firstLine="420" w:firstLineChars="200"/>
              <w:jc w:val="both"/>
              <w:rPr>
                <w:rFonts w:hint="eastAsia" w:ascii="宋体" w:hAnsi="宋体" w:eastAsia="宋体" w:cs="宋体"/>
                <w:kern w:val="2"/>
                <w:sz w:val="21"/>
                <w:szCs w:val="21"/>
                <w:shd w:val="clear" w:color="auto" w:fill="FFFFFF"/>
              </w:rPr>
            </w:pPr>
            <w:r>
              <w:rPr>
                <w:rFonts w:hint="eastAsia" w:ascii="宋体" w:hAnsi="宋体" w:eastAsia="宋体" w:cs="宋体"/>
                <w:kern w:val="2"/>
                <w:sz w:val="21"/>
                <w:szCs w:val="21"/>
                <w:shd w:val="clear" w:color="auto" w:fill="FFFFFF"/>
              </w:rPr>
              <w:t>近3年内(2021年11月1日至今，以合同签订时间为准)至少有1台泡沫消防车、1台水罐消防车所投品牌消防车的供货业绩。</w:t>
            </w:r>
          </w:p>
        </w:tc>
      </w:tr>
    </w:tbl>
    <w:p w14:paraId="06C00933">
      <w:pPr>
        <w:widowControl w:val="0"/>
        <w:adjustRightInd/>
        <w:snapToGrid/>
        <w:spacing w:after="0" w:line="288" w:lineRule="auto"/>
        <w:jc w:val="both"/>
        <w:rPr>
          <w:rFonts w:hint="eastAsia" w:ascii="宋体" w:hAnsi="宋体" w:eastAsia="宋体" w:cs="宋体"/>
          <w:kern w:val="2"/>
          <w:sz w:val="21"/>
          <w:szCs w:val="21"/>
        </w:rPr>
      </w:pPr>
      <w:r>
        <w:rPr>
          <w:rFonts w:hint="eastAsia" w:ascii="宋体" w:hAnsi="宋体" w:eastAsia="宋体" w:cs="宋体"/>
          <w:kern w:val="2"/>
          <w:sz w:val="21"/>
          <w:szCs w:val="21"/>
        </w:rPr>
        <w:t>注：1、代理商和制造商的业绩可互用。</w:t>
      </w:r>
    </w:p>
    <w:p w14:paraId="0889DCB4">
      <w:pPr>
        <w:widowControl w:val="0"/>
        <w:adjustRightInd/>
        <w:snapToGrid/>
        <w:spacing w:after="0"/>
        <w:jc w:val="both"/>
        <w:rPr>
          <w:rFonts w:hint="eastAsia" w:ascii="宋体" w:hAnsi="宋体" w:eastAsia="宋体" w:cs="宋体"/>
          <w:kern w:val="2"/>
          <w:sz w:val="21"/>
        </w:rPr>
      </w:pPr>
      <w:r>
        <w:rPr>
          <w:rFonts w:hint="eastAsia" w:ascii="宋体" w:hAnsi="宋体" w:eastAsia="宋体" w:cs="宋体"/>
          <w:kern w:val="2"/>
          <w:sz w:val="21"/>
          <w:szCs w:val="21"/>
        </w:rPr>
        <w:t>2、</w:t>
      </w:r>
      <w:r>
        <w:rPr>
          <w:rFonts w:hint="eastAsia" w:ascii="宋体" w:hAnsi="宋体" w:eastAsia="宋体" w:cs="宋体"/>
          <w:kern w:val="2"/>
          <w:sz w:val="21"/>
        </w:rPr>
        <w:t>以上业绩不包括制造商与代理商签订的合同业绩。</w:t>
      </w:r>
    </w:p>
    <w:p w14:paraId="0CF8FDD7">
      <w:pPr>
        <w:widowControl w:val="0"/>
        <w:adjustRightInd/>
        <w:snapToGrid/>
        <w:spacing w:after="0" w:line="40" w:lineRule="atLeast"/>
        <w:ind w:firstLine="537" w:firstLineChars="192"/>
        <w:jc w:val="both"/>
        <w:rPr>
          <w:rFonts w:hint="eastAsia" w:ascii="宋体" w:hAnsi="宋体" w:eastAsia="宋体" w:cs="Times New Roman"/>
          <w:kern w:val="2"/>
          <w:sz w:val="28"/>
          <w:szCs w:val="24"/>
        </w:rPr>
      </w:pPr>
    </w:p>
    <w:p w14:paraId="4E80C0AE">
      <w:pPr>
        <w:widowControl w:val="0"/>
        <w:adjustRightInd/>
        <w:snapToGrid/>
        <w:spacing w:after="0"/>
        <w:jc w:val="center"/>
        <w:rPr>
          <w:rFonts w:hint="eastAsia" w:ascii="宋体" w:hAnsi="宋体" w:eastAsia="宋体" w:cs="宋体"/>
          <w:b/>
          <w:kern w:val="2"/>
          <w:sz w:val="24"/>
        </w:rPr>
      </w:pPr>
    </w:p>
    <w:p w14:paraId="1C7EB225">
      <w:pPr>
        <w:widowControl w:val="0"/>
        <w:adjustRightInd/>
        <w:snapToGrid/>
        <w:spacing w:after="0"/>
        <w:jc w:val="center"/>
        <w:rPr>
          <w:rFonts w:hint="eastAsia" w:ascii="宋体" w:hAnsi="宋体" w:eastAsia="宋体" w:cs="宋体"/>
          <w:b/>
          <w:kern w:val="2"/>
          <w:sz w:val="24"/>
        </w:rPr>
      </w:pPr>
    </w:p>
    <w:p w14:paraId="5E712E84">
      <w:pPr>
        <w:widowControl w:val="0"/>
        <w:adjustRightInd/>
        <w:snapToGrid/>
        <w:spacing w:after="0"/>
        <w:jc w:val="center"/>
        <w:rPr>
          <w:rFonts w:hint="eastAsia" w:ascii="宋体" w:hAnsi="宋体" w:eastAsia="宋体" w:cs="宋体"/>
          <w:kern w:val="2"/>
          <w:sz w:val="21"/>
        </w:rPr>
      </w:pPr>
      <w:r>
        <w:rPr>
          <w:rFonts w:hint="eastAsia" w:ascii="宋体" w:hAnsi="宋体" w:eastAsia="宋体" w:cs="宋体"/>
          <w:b/>
          <w:kern w:val="2"/>
          <w:sz w:val="24"/>
        </w:rPr>
        <w:t xml:space="preserve">附录3 </w:t>
      </w:r>
      <w:r>
        <w:rPr>
          <w:rFonts w:ascii="宋体" w:hAnsi="宋体" w:eastAsia="宋体" w:cs="宋体"/>
          <w:b/>
          <w:kern w:val="2"/>
          <w:sz w:val="24"/>
        </w:rPr>
        <w:t xml:space="preserve"> </w:t>
      </w:r>
      <w:r>
        <w:rPr>
          <w:rFonts w:hint="eastAsia" w:ascii="宋体" w:hAnsi="宋体" w:eastAsia="宋体" w:cs="宋体"/>
          <w:b/>
          <w:kern w:val="2"/>
          <w:sz w:val="24"/>
        </w:rPr>
        <w:t>资格审查条件（信誉最低要求）</w:t>
      </w:r>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68"/>
      </w:tblGrid>
      <w:tr w14:paraId="3526FD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9368" w:type="dxa"/>
            <w:vAlign w:val="center"/>
          </w:tcPr>
          <w:p w14:paraId="71A56859">
            <w:pPr>
              <w:widowControl w:val="0"/>
              <w:spacing w:after="0"/>
              <w:jc w:val="center"/>
              <w:rPr>
                <w:rFonts w:hint="eastAsia" w:ascii="宋体" w:hAnsi="宋体" w:eastAsia="宋体" w:cs="宋体"/>
                <w:b/>
                <w:kern w:val="2"/>
                <w:sz w:val="21"/>
                <w:szCs w:val="21"/>
              </w:rPr>
            </w:pPr>
            <w:r>
              <w:rPr>
                <w:rFonts w:hint="eastAsia" w:ascii="宋体" w:hAnsi="宋体" w:eastAsia="宋体" w:cs="宋体"/>
                <w:b/>
                <w:kern w:val="2"/>
                <w:sz w:val="21"/>
                <w:szCs w:val="21"/>
              </w:rPr>
              <w:t>信誉要求</w:t>
            </w:r>
          </w:p>
        </w:tc>
      </w:tr>
      <w:tr w14:paraId="15632F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1073" w:hRule="atLeast"/>
          <w:jc w:val="center"/>
        </w:trPr>
        <w:tc>
          <w:tcPr>
            <w:tcW w:w="9368" w:type="dxa"/>
            <w:vAlign w:val="center"/>
          </w:tcPr>
          <w:p w14:paraId="23072094">
            <w:pPr>
              <w:widowControl w:val="0"/>
              <w:adjustRightInd/>
              <w:snapToGrid/>
              <w:spacing w:after="0" w:line="360" w:lineRule="auto"/>
              <w:ind w:firstLine="420" w:firstLineChars="200"/>
              <w:jc w:val="both"/>
              <w:rPr>
                <w:rFonts w:hint="eastAsia" w:ascii="宋体" w:hAnsi="宋体" w:eastAsia="宋体" w:cs="宋体"/>
                <w:kern w:val="2"/>
                <w:sz w:val="21"/>
              </w:rPr>
            </w:pPr>
            <w:r>
              <w:rPr>
                <w:rFonts w:hint="eastAsia" w:ascii="宋体" w:hAnsi="宋体" w:eastAsia="宋体" w:cs="宋体"/>
                <w:kern w:val="2"/>
                <w:sz w:val="21"/>
              </w:rPr>
              <w:t>投标人在过去1年中（2023年11月1日</w:t>
            </w:r>
            <w:r>
              <w:rPr>
                <w:rFonts w:hint="eastAsia" w:ascii="宋体" w:hAnsi="宋体" w:eastAsia="宋体" w:cs="宋体"/>
                <w:kern w:val="2"/>
                <w:sz w:val="21"/>
                <w:szCs w:val="21"/>
                <w:shd w:val="clear" w:color="auto" w:fill="FFFFFF"/>
              </w:rPr>
              <w:t>至今</w:t>
            </w:r>
            <w:r>
              <w:rPr>
                <w:rFonts w:hint="eastAsia" w:ascii="宋体" w:hAnsi="宋体" w:eastAsia="宋体" w:cs="宋体"/>
                <w:kern w:val="2"/>
                <w:sz w:val="21"/>
              </w:rPr>
              <w:t>）不曾在车辆供货合同中违约而被驱逐或因投标人自身的原因而使车辆供货合同被解除。</w:t>
            </w:r>
          </w:p>
        </w:tc>
      </w:tr>
    </w:tbl>
    <w:p w14:paraId="61F14D91">
      <w:pPr>
        <w:widowControl w:val="0"/>
        <w:adjustRightInd/>
        <w:snapToGrid/>
        <w:spacing w:after="0"/>
        <w:jc w:val="both"/>
        <w:rPr>
          <w:rFonts w:ascii="宋体" w:hAnsi="宋体" w:eastAsia="宋体" w:cs="宋体"/>
          <w:b/>
          <w:kern w:val="2"/>
          <w:sz w:val="28"/>
          <w:szCs w:val="28"/>
        </w:rPr>
      </w:pPr>
      <w:r>
        <w:rPr>
          <w:rFonts w:hint="eastAsia" w:ascii="宋体" w:hAnsi="宋体" w:eastAsia="宋体" w:cs="宋体"/>
          <w:b/>
          <w:kern w:val="2"/>
          <w:sz w:val="28"/>
          <w:szCs w:val="28"/>
        </w:rPr>
        <w:br w:type="page"/>
      </w:r>
      <w:r>
        <w:rPr>
          <w:rFonts w:hint="eastAsia" w:ascii="宋体" w:hAnsi="宋体" w:eastAsia="宋体" w:cs="宋体"/>
          <w:b/>
          <w:kern w:val="2"/>
          <w:sz w:val="28"/>
          <w:szCs w:val="28"/>
        </w:rPr>
        <w:t>附件</w:t>
      </w:r>
      <w:r>
        <w:rPr>
          <w:rFonts w:ascii="宋体" w:hAnsi="宋体" w:eastAsia="宋体" w:cs="宋体"/>
          <w:b/>
          <w:kern w:val="2"/>
          <w:sz w:val="28"/>
          <w:szCs w:val="28"/>
        </w:rPr>
        <w:t>2</w:t>
      </w:r>
      <w:r>
        <w:rPr>
          <w:rFonts w:hint="eastAsia" w:ascii="宋体" w:hAnsi="宋体" w:eastAsia="宋体" w:cs="宋体"/>
          <w:b/>
          <w:kern w:val="2"/>
          <w:sz w:val="28"/>
          <w:szCs w:val="28"/>
        </w:rPr>
        <w:t>：评标办法</w:t>
      </w:r>
    </w:p>
    <w:p w14:paraId="711F316F">
      <w:pPr>
        <w:widowControl w:val="0"/>
        <w:adjustRightInd/>
        <w:snapToGrid/>
        <w:spacing w:after="0"/>
        <w:jc w:val="both"/>
        <w:rPr>
          <w:rFonts w:hint="eastAsia" w:ascii="宋体" w:hAnsi="宋体" w:eastAsia="宋体" w:cs="宋体"/>
          <w:b/>
          <w:kern w:val="2"/>
          <w:sz w:val="28"/>
          <w:szCs w:val="28"/>
        </w:rPr>
      </w:pPr>
    </w:p>
    <w:p w14:paraId="0CF0E19B">
      <w:pPr>
        <w:keepNext/>
        <w:keepLines/>
        <w:widowControl w:val="0"/>
        <w:wordWrap w:val="0"/>
        <w:adjustRightInd/>
        <w:snapToGrid/>
        <w:spacing w:after="0" w:line="360" w:lineRule="auto"/>
        <w:jc w:val="both"/>
        <w:outlineLvl w:val="2"/>
        <w:rPr>
          <w:rFonts w:hint="eastAsia" w:ascii="宋体" w:hAnsi="宋体" w:eastAsia="宋体" w:cs="宋体"/>
          <w:b/>
          <w:bCs/>
          <w:spacing w:val="2"/>
          <w:sz w:val="24"/>
          <w:szCs w:val="24"/>
        </w:rPr>
      </w:pPr>
      <w:r>
        <w:rPr>
          <w:rFonts w:hint="eastAsia" w:ascii="宋体" w:hAnsi="宋体" w:eastAsia="宋体" w:cs="宋体"/>
          <w:b/>
          <w:bCs/>
          <w:spacing w:val="2"/>
          <w:sz w:val="24"/>
          <w:szCs w:val="24"/>
        </w:rPr>
        <w:t>评标办法前附表</w:t>
      </w:r>
    </w:p>
    <w:tbl>
      <w:tblPr>
        <w:tblStyle w:val="4"/>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681"/>
        <w:gridCol w:w="7097"/>
      </w:tblGrid>
      <w:tr w14:paraId="4684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757A0DCE">
            <w:pPr>
              <w:widowControl w:val="0"/>
              <w:adjustRightInd/>
              <w:snapToGrid/>
              <w:spacing w:after="0"/>
              <w:ind w:left="-209" w:leftChars="-95" w:right="-240" w:rightChars="-109" w:firstLine="260" w:firstLineChars="124"/>
              <w:rPr>
                <w:rFonts w:hint="eastAsia" w:ascii="宋体" w:hAnsi="宋体" w:eastAsia="宋体" w:cs="Times New Roman"/>
                <w:kern w:val="2"/>
                <w:sz w:val="21"/>
                <w:szCs w:val="21"/>
              </w:rPr>
            </w:pPr>
            <w:r>
              <w:rPr>
                <w:rFonts w:hint="eastAsia" w:ascii="宋体" w:hAnsi="宋体" w:eastAsia="宋体" w:cs="Times New Roman"/>
                <w:kern w:val="2"/>
                <w:sz w:val="21"/>
              </w:rPr>
              <w:t>条款号</w:t>
            </w:r>
          </w:p>
        </w:tc>
        <w:tc>
          <w:tcPr>
            <w:tcW w:w="8778" w:type="dxa"/>
            <w:gridSpan w:val="2"/>
            <w:tcBorders>
              <w:top w:val="single" w:color="auto" w:sz="4" w:space="0"/>
              <w:left w:val="nil"/>
              <w:bottom w:val="single" w:color="auto" w:sz="4" w:space="0"/>
              <w:right w:val="single" w:color="auto" w:sz="4" w:space="0"/>
            </w:tcBorders>
            <w:vAlign w:val="center"/>
          </w:tcPr>
          <w:p w14:paraId="425F0E26">
            <w:pPr>
              <w:widowControl w:val="0"/>
              <w:adjustRightInd/>
              <w:snapToGrid/>
              <w:spacing w:after="0"/>
              <w:jc w:val="center"/>
              <w:rPr>
                <w:rFonts w:hint="eastAsia" w:ascii="宋体" w:hAnsi="宋体" w:eastAsia="宋体" w:cs="Times New Roman"/>
                <w:b/>
                <w:bCs/>
                <w:kern w:val="2"/>
                <w:sz w:val="21"/>
              </w:rPr>
            </w:pPr>
            <w:r>
              <w:rPr>
                <w:rFonts w:hint="eastAsia" w:ascii="宋体" w:hAnsi="宋体" w:eastAsia="宋体" w:cs="Times New Roman"/>
                <w:b/>
                <w:bCs/>
                <w:kern w:val="2"/>
                <w:sz w:val="21"/>
              </w:rPr>
              <w:t>评审因素与标准</w:t>
            </w:r>
          </w:p>
        </w:tc>
      </w:tr>
      <w:tr w14:paraId="64D0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42366570">
            <w:pPr>
              <w:widowControl w:val="0"/>
              <w:adjustRightInd/>
              <w:snapToGrid/>
              <w:spacing w:after="0"/>
              <w:jc w:val="center"/>
              <w:rPr>
                <w:rFonts w:hint="eastAsia" w:ascii="宋体" w:hAnsi="宋体" w:eastAsia="宋体" w:cs="Times New Roman"/>
                <w:kern w:val="2"/>
                <w:sz w:val="21"/>
              </w:rPr>
            </w:pPr>
            <w:r>
              <w:rPr>
                <w:rFonts w:hint="eastAsia" w:ascii="宋体" w:hAnsi="宋体" w:eastAsia="宋体" w:cs="Times New Roman"/>
                <w:kern w:val="2"/>
                <w:sz w:val="21"/>
              </w:rPr>
              <w:t>1</w:t>
            </w:r>
          </w:p>
        </w:tc>
        <w:tc>
          <w:tcPr>
            <w:tcW w:w="1681" w:type="dxa"/>
            <w:tcBorders>
              <w:top w:val="single" w:color="auto" w:sz="4" w:space="0"/>
              <w:left w:val="nil"/>
              <w:bottom w:val="single" w:color="auto" w:sz="4" w:space="0"/>
              <w:right w:val="single" w:color="auto" w:sz="4" w:space="0"/>
            </w:tcBorders>
            <w:vAlign w:val="center"/>
          </w:tcPr>
          <w:p w14:paraId="304EF95F">
            <w:pPr>
              <w:widowControl w:val="0"/>
              <w:adjustRightInd/>
              <w:snapToGrid/>
              <w:spacing w:after="0"/>
              <w:jc w:val="center"/>
              <w:rPr>
                <w:rFonts w:hint="eastAsia" w:ascii="宋体" w:hAnsi="宋体" w:eastAsia="宋体" w:cs="Times New Roman"/>
                <w:kern w:val="2"/>
                <w:sz w:val="21"/>
              </w:rPr>
            </w:pPr>
            <w:r>
              <w:rPr>
                <w:rFonts w:hint="eastAsia" w:ascii="宋体" w:hAnsi="宋体" w:eastAsia="宋体" w:cs="Times New Roman"/>
                <w:kern w:val="2"/>
                <w:sz w:val="21"/>
              </w:rPr>
              <w:t>评标办法</w:t>
            </w:r>
          </w:p>
        </w:tc>
        <w:tc>
          <w:tcPr>
            <w:tcW w:w="7097" w:type="dxa"/>
            <w:tcBorders>
              <w:top w:val="single" w:color="auto" w:sz="4" w:space="0"/>
              <w:left w:val="nil"/>
              <w:bottom w:val="single" w:color="auto" w:sz="4" w:space="0"/>
              <w:right w:val="single" w:color="auto" w:sz="4" w:space="0"/>
            </w:tcBorders>
            <w:vAlign w:val="center"/>
          </w:tcPr>
          <w:p w14:paraId="38E6EAD7">
            <w:pPr>
              <w:widowControl w:val="0"/>
              <w:spacing w:after="0" w:line="288" w:lineRule="auto"/>
              <w:rPr>
                <w:rFonts w:hint="eastAsia" w:ascii="宋体" w:hAnsi="宋体" w:eastAsia="宋体" w:cs="Times New Roman"/>
                <w:kern w:val="2"/>
                <w:sz w:val="21"/>
              </w:rPr>
            </w:pPr>
            <w:r>
              <w:rPr>
                <w:rFonts w:hint="eastAsia" w:ascii="宋体" w:hAnsi="宋体" w:eastAsia="宋体" w:cs="Times New Roman"/>
                <w:kern w:val="2"/>
                <w:sz w:val="21"/>
              </w:rPr>
              <w:t>本条修改为：</w:t>
            </w:r>
          </w:p>
          <w:p w14:paraId="2A177542">
            <w:pPr>
              <w:widowControl w:val="0"/>
              <w:adjustRightInd/>
              <w:snapToGrid/>
              <w:spacing w:after="0" w:line="320" w:lineRule="exact"/>
              <w:ind w:firstLine="422" w:firstLineChars="200"/>
              <w:jc w:val="both"/>
              <w:rPr>
                <w:rFonts w:hint="eastAsia" w:ascii="宋体" w:hAnsi="宋体" w:eastAsia="宋体" w:cs="Times New Roman"/>
                <w:b/>
                <w:kern w:val="2"/>
                <w:sz w:val="21"/>
                <w:szCs w:val="21"/>
              </w:rPr>
            </w:pPr>
            <w:r>
              <w:rPr>
                <w:rFonts w:hint="eastAsia" w:ascii="宋体" w:hAnsi="宋体" w:eastAsia="宋体" w:cs="Times New Roman"/>
                <w:b/>
                <w:kern w:val="2"/>
                <w:sz w:val="21"/>
                <w:szCs w:val="21"/>
              </w:rPr>
              <w:t>本次评标采用技术评分最低标价法，双信封形式。</w:t>
            </w:r>
          </w:p>
          <w:p w14:paraId="6B55A852">
            <w:pPr>
              <w:widowControl w:val="0"/>
              <w:adjustRightInd/>
              <w:snapToGrid/>
              <w:spacing w:after="0" w:line="320" w:lineRule="exact"/>
              <w:ind w:firstLine="420" w:firstLineChars="200"/>
              <w:jc w:val="both"/>
              <w:rPr>
                <w:rFonts w:hint="eastAsia" w:ascii="宋体" w:hAnsi="宋体" w:eastAsia="宋体" w:cs="Times New Roman"/>
                <w:kern w:val="2"/>
                <w:sz w:val="21"/>
              </w:rPr>
            </w:pPr>
            <w:r>
              <w:rPr>
                <w:rFonts w:hint="eastAsia" w:ascii="宋体" w:hAnsi="宋体" w:eastAsia="宋体" w:cs="Times New Roman"/>
                <w:kern w:val="2"/>
                <w:sz w:val="21"/>
                <w:szCs w:val="21"/>
              </w:rPr>
              <w:t>评标委员会</w:t>
            </w:r>
            <w:r>
              <w:rPr>
                <w:rFonts w:hint="eastAsia" w:ascii="宋体" w:hAnsi="宋体" w:eastAsia="宋体" w:cs="宋体"/>
                <w:sz w:val="21"/>
                <w:szCs w:val="21"/>
              </w:rPr>
              <w:t>对第一个信封通过初步评审的投标文件，根据本章第 2.2 款规定的量化因素及量化标准进行评分，并按照综合得分由高到低顺序排序，</w:t>
            </w:r>
            <w:r>
              <w:rPr>
                <w:rFonts w:hint="eastAsia" w:ascii="宋体" w:hAnsi="宋体" w:eastAsia="宋体" w:cs="Times New Roman"/>
                <w:kern w:val="2"/>
                <w:sz w:val="21"/>
                <w:szCs w:val="21"/>
              </w:rPr>
              <w:t>确定前3名投标人进入第二个信封评审。综合得分相等时，以</w:t>
            </w:r>
            <w:r>
              <w:rPr>
                <w:rFonts w:hint="eastAsia" w:ascii="宋体" w:hAnsi="宋体" w:eastAsia="宋体" w:cs="Times New Roman"/>
                <w:kern w:val="2"/>
                <w:sz w:val="21"/>
              </w:rPr>
              <w:t>满足资格审查业绩最低要求累计设备数量较多的投标人优先</w:t>
            </w:r>
            <w:r>
              <w:rPr>
                <w:rFonts w:hint="eastAsia" w:ascii="宋体" w:hAnsi="宋体" w:eastAsia="宋体" w:cs="Times New Roman"/>
                <w:kern w:val="2"/>
                <w:sz w:val="21"/>
                <w:szCs w:val="21"/>
              </w:rPr>
              <w:t>。未通过第一个信封初步评审</w:t>
            </w:r>
            <w:r>
              <w:rPr>
                <w:rFonts w:hint="eastAsia" w:ascii="宋体" w:hAnsi="宋体" w:eastAsia="宋体" w:cs="Times New Roman"/>
                <w:kern w:val="2"/>
                <w:sz w:val="21"/>
              </w:rPr>
              <w:t>、详细评审和综合得分未进入前3名的投标人，其第二个信封不予开封。</w:t>
            </w:r>
          </w:p>
          <w:p w14:paraId="32FEE7AF">
            <w:pPr>
              <w:widowControl w:val="0"/>
              <w:adjustRightInd/>
              <w:snapToGrid/>
              <w:spacing w:after="0" w:line="320" w:lineRule="exact"/>
              <w:ind w:firstLine="420" w:firstLineChars="200"/>
              <w:jc w:val="both"/>
              <w:rPr>
                <w:rFonts w:hint="eastAsia" w:ascii="宋体" w:hAnsi="宋体" w:eastAsia="宋体" w:cs="Times New Roman"/>
                <w:kern w:val="2"/>
                <w:sz w:val="21"/>
              </w:rPr>
            </w:pPr>
            <w:r>
              <w:rPr>
                <w:rFonts w:hint="eastAsia" w:ascii="宋体" w:hAnsi="宋体" w:eastAsia="宋体" w:cs="Times New Roman"/>
                <w:kern w:val="2"/>
                <w:sz w:val="21"/>
              </w:rPr>
              <w:t>当通过第一个信封初步评审的投标人为3个时，评标委员会不再进行打分，均进入第二个信封评审；</w:t>
            </w:r>
          </w:p>
          <w:p w14:paraId="32E0B548">
            <w:pPr>
              <w:widowControl w:val="0"/>
              <w:adjustRightInd/>
              <w:snapToGrid/>
              <w:spacing w:after="0" w:line="320" w:lineRule="exact"/>
              <w:ind w:firstLine="420" w:firstLineChars="200"/>
              <w:jc w:val="both"/>
              <w:rPr>
                <w:rFonts w:hint="eastAsia" w:ascii="宋体" w:hAnsi="宋体" w:eastAsia="宋体" w:cs="Times New Roman"/>
                <w:kern w:val="2"/>
                <w:sz w:val="21"/>
              </w:rPr>
            </w:pPr>
            <w:r>
              <w:rPr>
                <w:rFonts w:hint="eastAsia" w:ascii="宋体" w:hAnsi="宋体" w:eastAsia="宋体" w:cs="Times New Roman"/>
                <w:kern w:val="2"/>
                <w:sz w:val="21"/>
              </w:rPr>
              <w:t>评标委员会按第二个信封经评审的评标价由低到高的顺序，向招标人推荐1-3名中标候选人。</w:t>
            </w:r>
          </w:p>
          <w:p w14:paraId="5975C715">
            <w:pPr>
              <w:widowControl w:val="0"/>
              <w:adjustRightInd/>
              <w:snapToGrid/>
              <w:spacing w:after="0" w:line="320" w:lineRule="exact"/>
              <w:ind w:firstLine="420" w:firstLineChars="200"/>
              <w:jc w:val="both"/>
              <w:rPr>
                <w:rFonts w:ascii="宋体" w:hAnsi="宋体" w:eastAsia="宋体" w:cs="Times New Roman"/>
                <w:kern w:val="2"/>
                <w:sz w:val="21"/>
              </w:rPr>
            </w:pPr>
            <w:r>
              <w:rPr>
                <w:rFonts w:ascii="宋体" w:hAnsi="宋体" w:eastAsia="宋体" w:cs="Times New Roman"/>
                <w:kern w:val="2"/>
                <w:sz w:val="21"/>
              </w:rPr>
              <w:t>评标价相等时，评标委员会依次按照以下优先顺序推荐中标候选人：</w:t>
            </w:r>
          </w:p>
          <w:p w14:paraId="45D32D38">
            <w:pPr>
              <w:widowControl w:val="0"/>
              <w:adjustRightInd/>
              <w:snapToGrid/>
              <w:spacing w:after="0" w:line="320" w:lineRule="exact"/>
              <w:ind w:firstLine="420" w:firstLineChars="200"/>
              <w:jc w:val="both"/>
              <w:rPr>
                <w:rFonts w:ascii="宋体" w:hAnsi="宋体" w:eastAsia="宋体" w:cs="Times New Roman"/>
                <w:kern w:val="2"/>
                <w:sz w:val="21"/>
              </w:rPr>
            </w:pPr>
            <w:r>
              <w:rPr>
                <w:rFonts w:ascii="宋体" w:hAnsi="宋体" w:eastAsia="宋体" w:cs="Times New Roman"/>
                <w:kern w:val="2"/>
                <w:sz w:val="21"/>
              </w:rPr>
              <w:t>（1）</w:t>
            </w:r>
            <w:r>
              <w:rPr>
                <w:rFonts w:hint="eastAsia" w:ascii="宋体" w:hAnsi="宋体" w:eastAsia="宋体" w:cs="Times New Roman"/>
                <w:kern w:val="2"/>
                <w:sz w:val="21"/>
              </w:rPr>
              <w:t>第一个信封综合得分较高的</w:t>
            </w:r>
            <w:r>
              <w:rPr>
                <w:rFonts w:ascii="宋体" w:hAnsi="宋体" w:eastAsia="宋体" w:cs="Times New Roman"/>
                <w:kern w:val="2"/>
                <w:sz w:val="21"/>
              </w:rPr>
              <w:t>优先；</w:t>
            </w:r>
          </w:p>
          <w:p w14:paraId="05584199">
            <w:pPr>
              <w:widowControl w:val="0"/>
              <w:adjustRightInd/>
              <w:snapToGrid/>
              <w:spacing w:after="0" w:line="320" w:lineRule="exact"/>
              <w:ind w:firstLine="420" w:firstLineChars="200"/>
              <w:jc w:val="both"/>
              <w:rPr>
                <w:rFonts w:ascii="宋体" w:hAnsi="宋体" w:eastAsia="宋体" w:cs="Times New Roman"/>
                <w:kern w:val="2"/>
                <w:sz w:val="21"/>
              </w:rPr>
            </w:pPr>
            <w:r>
              <w:rPr>
                <w:rFonts w:ascii="宋体" w:hAnsi="宋体" w:eastAsia="宋体" w:cs="Times New Roman"/>
                <w:kern w:val="2"/>
                <w:sz w:val="21"/>
              </w:rPr>
              <w:t>（2）</w:t>
            </w:r>
            <w:r>
              <w:rPr>
                <w:rFonts w:hint="eastAsia" w:ascii="宋体" w:hAnsi="宋体" w:eastAsia="宋体" w:cs="Times New Roman"/>
                <w:kern w:val="2"/>
                <w:sz w:val="21"/>
              </w:rPr>
              <w:t>满足资格审查业绩最低要求累计数量较多的投标人优先。</w:t>
            </w:r>
          </w:p>
          <w:p w14:paraId="0B65E1AC">
            <w:pPr>
              <w:widowControl w:val="0"/>
              <w:adjustRightInd/>
              <w:snapToGrid/>
              <w:spacing w:after="0" w:line="320" w:lineRule="exact"/>
              <w:ind w:firstLine="420" w:firstLineChars="200"/>
              <w:jc w:val="both"/>
              <w:rPr>
                <w:rFonts w:hint="eastAsia" w:ascii="宋体" w:hAnsi="宋体" w:eastAsia="宋体" w:cs="Times New Roman"/>
                <w:b/>
                <w:bCs/>
                <w:kern w:val="2"/>
                <w:sz w:val="21"/>
              </w:rPr>
            </w:pPr>
            <w:r>
              <w:rPr>
                <w:rFonts w:hint="eastAsia" w:ascii="宋体" w:hAnsi="宋体" w:eastAsia="宋体" w:cs="Times New Roman"/>
                <w:kern w:val="2"/>
                <w:sz w:val="21"/>
              </w:rPr>
              <w:t>（3）以投标文件递交时间在前的优先。</w:t>
            </w:r>
          </w:p>
        </w:tc>
      </w:tr>
      <w:tr w14:paraId="152E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14:paraId="07A5E70D">
            <w:pPr>
              <w:widowControl w:val="0"/>
              <w:adjustRightInd/>
              <w:snapToGrid/>
              <w:spacing w:after="0"/>
              <w:jc w:val="center"/>
              <w:rPr>
                <w:rFonts w:hint="eastAsia" w:ascii="宋体" w:hAnsi="宋体" w:eastAsia="宋体" w:cs="Times New Roman"/>
                <w:kern w:val="2"/>
                <w:sz w:val="21"/>
              </w:rPr>
            </w:pPr>
            <w:r>
              <w:rPr>
                <w:rFonts w:hint="eastAsia" w:ascii="宋体" w:hAnsi="宋体" w:eastAsia="宋体" w:cs="Times New Roman"/>
                <w:kern w:val="2"/>
                <w:sz w:val="21"/>
              </w:rPr>
              <w:t>2.1.1</w:t>
            </w:r>
          </w:p>
          <w:p w14:paraId="64D7BB08">
            <w:pPr>
              <w:widowControl w:val="0"/>
              <w:adjustRightInd/>
              <w:snapToGrid/>
              <w:spacing w:after="0"/>
              <w:jc w:val="center"/>
              <w:rPr>
                <w:rFonts w:hint="eastAsia" w:ascii="宋体" w:hAnsi="宋体" w:eastAsia="宋体" w:cs="Times New Roman"/>
                <w:kern w:val="2"/>
                <w:sz w:val="21"/>
              </w:rPr>
            </w:pPr>
            <w:r>
              <w:rPr>
                <w:rFonts w:hint="eastAsia" w:ascii="宋体" w:hAnsi="宋体" w:eastAsia="宋体" w:cs="Times New Roman"/>
                <w:kern w:val="2"/>
                <w:sz w:val="21"/>
              </w:rPr>
              <w:t>2.1.3</w:t>
            </w:r>
          </w:p>
        </w:tc>
        <w:tc>
          <w:tcPr>
            <w:tcW w:w="1681" w:type="dxa"/>
            <w:tcBorders>
              <w:top w:val="single" w:color="auto" w:sz="4" w:space="0"/>
              <w:left w:val="nil"/>
              <w:bottom w:val="single" w:color="auto" w:sz="4" w:space="0"/>
              <w:right w:val="single" w:color="auto" w:sz="4" w:space="0"/>
            </w:tcBorders>
            <w:vAlign w:val="center"/>
          </w:tcPr>
          <w:p w14:paraId="34846034">
            <w:pPr>
              <w:widowControl w:val="0"/>
              <w:adjustRightInd/>
              <w:snapToGrid/>
              <w:spacing w:after="0"/>
              <w:jc w:val="center"/>
              <w:rPr>
                <w:rFonts w:hint="eastAsia" w:ascii="宋体" w:hAnsi="宋体" w:eastAsia="宋体" w:cs="Times New Roman"/>
                <w:kern w:val="2"/>
                <w:sz w:val="21"/>
              </w:rPr>
            </w:pPr>
            <w:r>
              <w:rPr>
                <w:rFonts w:hint="eastAsia" w:ascii="宋体" w:hAnsi="宋体" w:eastAsia="宋体" w:cs="Times New Roman"/>
                <w:kern w:val="2"/>
                <w:sz w:val="21"/>
              </w:rPr>
              <w:t>形式评审与响应性评审标准</w:t>
            </w:r>
          </w:p>
        </w:tc>
        <w:tc>
          <w:tcPr>
            <w:tcW w:w="7097" w:type="dxa"/>
            <w:tcBorders>
              <w:top w:val="single" w:color="auto" w:sz="4" w:space="0"/>
              <w:left w:val="nil"/>
              <w:bottom w:val="single" w:color="auto" w:sz="4" w:space="0"/>
              <w:right w:val="single" w:color="auto" w:sz="4" w:space="0"/>
            </w:tcBorders>
          </w:tcPr>
          <w:p w14:paraId="0C3E67EC">
            <w:pPr>
              <w:widowControl w:val="0"/>
              <w:adjustRightInd/>
              <w:snapToGrid/>
              <w:spacing w:after="0" w:line="286" w:lineRule="exact"/>
              <w:ind w:firstLine="2" w:firstLineChars="1"/>
              <w:rPr>
                <w:rFonts w:hint="eastAsia" w:ascii="宋体" w:hAnsi="宋体" w:eastAsia="宋体" w:cs="Times New Roman"/>
                <w:kern w:val="2"/>
                <w:sz w:val="21"/>
              </w:rPr>
            </w:pPr>
            <w:r>
              <w:rPr>
                <w:rFonts w:hint="eastAsia" w:ascii="宋体" w:hAnsi="宋体" w:eastAsia="宋体" w:cs="Times New Roman"/>
                <w:kern w:val="2"/>
                <w:sz w:val="21"/>
              </w:rPr>
              <w:t>第一个信封(商务及技术文件)</w:t>
            </w:r>
          </w:p>
          <w:p w14:paraId="27467E5B">
            <w:pPr>
              <w:widowControl w:val="0"/>
              <w:adjustRightInd/>
              <w:snapToGrid/>
              <w:spacing w:after="0" w:line="288" w:lineRule="auto"/>
              <w:jc w:val="both"/>
              <w:rPr>
                <w:rFonts w:hint="eastAsia" w:ascii="宋体" w:hAnsi="宋体" w:eastAsia="宋体" w:cs="Times New Roman"/>
                <w:kern w:val="2"/>
                <w:sz w:val="21"/>
              </w:rPr>
            </w:pPr>
            <w:r>
              <w:rPr>
                <w:rFonts w:hint="eastAsia" w:ascii="宋体" w:hAnsi="宋体" w:eastAsia="宋体" w:cs="Times New Roman"/>
                <w:kern w:val="2"/>
                <w:sz w:val="21"/>
              </w:rPr>
              <w:t>（</w:t>
            </w:r>
            <w:r>
              <w:rPr>
                <w:rFonts w:ascii="宋体" w:hAnsi="宋体" w:eastAsia="宋体" w:cs="Times New Roman"/>
                <w:kern w:val="2"/>
                <w:sz w:val="21"/>
              </w:rPr>
              <w:t>1</w:t>
            </w:r>
            <w:r>
              <w:rPr>
                <w:rFonts w:hint="eastAsia" w:ascii="宋体" w:hAnsi="宋体" w:eastAsia="宋体" w:cs="Times New Roman"/>
                <w:kern w:val="2"/>
                <w:sz w:val="21"/>
              </w:rPr>
              <w:t>）投标文件按照招标文件规定的格式、内容填写，字迹清晰可辨：</w:t>
            </w:r>
          </w:p>
          <w:p w14:paraId="064E5C5C">
            <w:pPr>
              <w:widowControl w:val="0"/>
              <w:adjustRightInd/>
              <w:snapToGrid/>
              <w:spacing w:after="0" w:line="288" w:lineRule="auto"/>
              <w:jc w:val="both"/>
              <w:rPr>
                <w:rFonts w:hint="eastAsia" w:ascii="宋体" w:hAnsi="宋体" w:eastAsia="宋体" w:cs="Times New Roman"/>
                <w:kern w:val="2"/>
                <w:sz w:val="21"/>
              </w:rPr>
            </w:pPr>
            <w:r>
              <w:rPr>
                <w:rFonts w:hint="eastAsia" w:ascii="宋体" w:hAnsi="宋体" w:eastAsia="宋体" w:cs="Times New Roman"/>
                <w:kern w:val="2"/>
                <w:sz w:val="21"/>
              </w:rPr>
              <w:t>a．投标函按招标文件规定填报了补遗书编号（如有）和交货期、交货地点、质量要求；</w:t>
            </w:r>
          </w:p>
          <w:p w14:paraId="793D6C72">
            <w:pPr>
              <w:widowControl w:val="0"/>
              <w:adjustRightInd/>
              <w:snapToGrid/>
              <w:spacing w:after="0" w:line="288" w:lineRule="auto"/>
              <w:jc w:val="both"/>
              <w:rPr>
                <w:rFonts w:ascii="宋体" w:hAnsi="宋体" w:eastAsia="宋体" w:cs="Times New Roman"/>
                <w:kern w:val="2"/>
                <w:sz w:val="21"/>
              </w:rPr>
            </w:pPr>
            <w:r>
              <w:rPr>
                <w:rFonts w:hint="eastAsia" w:ascii="宋体" w:hAnsi="宋体" w:eastAsia="宋体" w:cs="Times New Roman"/>
                <w:kern w:val="2"/>
                <w:sz w:val="21"/>
              </w:rPr>
              <w:t>b．投标文件组成齐全完整，内容均按规定填写。</w:t>
            </w:r>
          </w:p>
          <w:p w14:paraId="6AFD926E">
            <w:pPr>
              <w:widowControl w:val="0"/>
              <w:adjustRightInd/>
              <w:snapToGrid/>
              <w:spacing w:after="0" w:line="288" w:lineRule="auto"/>
              <w:jc w:val="both"/>
              <w:rPr>
                <w:rFonts w:hint="eastAsia" w:ascii="宋体" w:hAnsi="宋体" w:eastAsia="宋体" w:cs="Times New Roman"/>
                <w:kern w:val="2"/>
                <w:sz w:val="21"/>
              </w:rPr>
            </w:pPr>
            <w:r>
              <w:rPr>
                <w:rFonts w:hint="eastAsia" w:ascii="宋体" w:hAnsi="宋体" w:eastAsia="宋体" w:cs="Times New Roman"/>
                <w:kern w:val="2"/>
                <w:sz w:val="21"/>
              </w:rPr>
              <w:t>（</w:t>
            </w:r>
            <w:r>
              <w:rPr>
                <w:rFonts w:ascii="宋体" w:hAnsi="宋体" w:eastAsia="宋体" w:cs="Times New Roman"/>
                <w:kern w:val="2"/>
                <w:sz w:val="21"/>
              </w:rPr>
              <w:t>2</w:t>
            </w:r>
            <w:r>
              <w:rPr>
                <w:rFonts w:hint="eastAsia" w:ascii="宋体" w:hAnsi="宋体" w:eastAsia="宋体" w:cs="Times New Roman"/>
                <w:kern w:val="2"/>
                <w:sz w:val="21"/>
              </w:rPr>
              <w:t xml:space="preserve">）投标文件上法定代表人或其委托代理人的签字、投标人的单位盖章齐全，符合招标文件规定。 </w:t>
            </w:r>
          </w:p>
          <w:p w14:paraId="2939FEE3">
            <w:pPr>
              <w:widowControl w:val="0"/>
              <w:adjustRightInd/>
              <w:snapToGrid/>
              <w:spacing w:after="0" w:line="288" w:lineRule="auto"/>
              <w:jc w:val="both"/>
              <w:rPr>
                <w:rFonts w:ascii="宋体" w:hAnsi="宋体" w:eastAsia="宋体" w:cs="Times New Roman"/>
                <w:kern w:val="2"/>
                <w:sz w:val="21"/>
              </w:rPr>
            </w:pPr>
            <w:r>
              <w:rPr>
                <w:rFonts w:hint="eastAsia" w:ascii="宋体" w:hAnsi="宋体" w:eastAsia="宋体" w:cs="Times New Roman"/>
                <w:kern w:val="2"/>
                <w:sz w:val="21"/>
              </w:rPr>
              <w:t>（3）投标人按照招标文件规定的金额、形式、时效和内容提供了投标保证金。</w:t>
            </w:r>
          </w:p>
          <w:p w14:paraId="12195798">
            <w:pPr>
              <w:widowControl w:val="0"/>
              <w:adjustRightInd/>
              <w:spacing w:after="0" w:line="288" w:lineRule="auto"/>
              <w:jc w:val="both"/>
              <w:rPr>
                <w:rFonts w:hint="eastAsia" w:ascii="宋体" w:hAnsi="宋体" w:eastAsia="宋体" w:cs="Times New Roman"/>
                <w:kern w:val="2"/>
                <w:sz w:val="21"/>
              </w:rPr>
            </w:pPr>
            <w:r>
              <w:rPr>
                <w:rFonts w:hint="eastAsia" w:ascii="宋体" w:hAnsi="宋体" w:eastAsia="宋体" w:cs="Times New Roman"/>
                <w:kern w:val="2"/>
                <w:sz w:val="21"/>
              </w:rPr>
              <w:t>（4）投标人法定代表人授权委托代理人签署投标文件的，须提交授权委托书，授权委托书符合招标文件规定。</w:t>
            </w:r>
          </w:p>
          <w:p w14:paraId="63177792">
            <w:pPr>
              <w:widowControl w:val="0"/>
              <w:adjustRightInd/>
              <w:spacing w:after="0" w:line="288" w:lineRule="auto"/>
              <w:jc w:val="both"/>
              <w:rPr>
                <w:rFonts w:ascii="宋体" w:hAnsi="宋体" w:eastAsia="宋体" w:cs="Times New Roman"/>
                <w:kern w:val="2"/>
                <w:sz w:val="21"/>
              </w:rPr>
            </w:pPr>
            <w:r>
              <w:rPr>
                <w:rFonts w:hint="eastAsia" w:ascii="宋体" w:hAnsi="宋体" w:eastAsia="宋体" w:cs="Times New Roman"/>
                <w:kern w:val="2"/>
                <w:sz w:val="21"/>
              </w:rPr>
              <w:t>（5）投标人法定代表人亲自签署投标文件的，提供了法定代表人身份证明，法定代表人身份证明符合招标文件规定。</w:t>
            </w:r>
          </w:p>
          <w:p w14:paraId="027E9994">
            <w:pPr>
              <w:widowControl w:val="0"/>
              <w:adjustRightInd/>
              <w:snapToGrid/>
              <w:spacing w:after="0" w:line="288" w:lineRule="auto"/>
              <w:textAlignment w:val="baseline"/>
              <w:rPr>
                <w:rFonts w:hint="eastAsia" w:ascii="宋体" w:hAnsi="宋体" w:eastAsia="宋体" w:cs="Times New Roman"/>
                <w:kern w:val="2"/>
                <w:sz w:val="21"/>
              </w:rPr>
            </w:pPr>
            <w:r>
              <w:rPr>
                <w:rFonts w:hint="eastAsia" w:ascii="宋体" w:hAnsi="宋体" w:eastAsia="宋体" w:cs="Times New Roman"/>
                <w:kern w:val="2"/>
                <w:sz w:val="21"/>
              </w:rPr>
              <w:t>（</w:t>
            </w:r>
            <w:r>
              <w:rPr>
                <w:rFonts w:ascii="宋体" w:hAnsi="宋体" w:eastAsia="宋体" w:cs="Times New Roman"/>
                <w:kern w:val="2"/>
                <w:sz w:val="21"/>
              </w:rPr>
              <w:t>6</w:t>
            </w:r>
            <w:r>
              <w:rPr>
                <w:rFonts w:hint="eastAsia" w:ascii="宋体" w:hAnsi="宋体" w:eastAsia="宋体" w:cs="Times New Roman"/>
                <w:kern w:val="2"/>
                <w:sz w:val="21"/>
              </w:rPr>
              <w:t>）投标人未以联合体形式投标。</w:t>
            </w:r>
          </w:p>
          <w:p w14:paraId="51F1B2A5">
            <w:pPr>
              <w:widowControl w:val="0"/>
              <w:adjustRightInd/>
              <w:snapToGrid/>
              <w:spacing w:after="0" w:line="288" w:lineRule="auto"/>
              <w:textAlignment w:val="baseline"/>
              <w:rPr>
                <w:rFonts w:hint="eastAsia" w:ascii="宋体" w:hAnsi="宋体" w:eastAsia="宋体" w:cs="Times New Roman"/>
                <w:kern w:val="2"/>
                <w:sz w:val="21"/>
              </w:rPr>
            </w:pPr>
            <w:r>
              <w:rPr>
                <w:rFonts w:hint="eastAsia" w:ascii="宋体" w:hAnsi="宋体" w:eastAsia="宋体" w:cs="Times New Roman"/>
                <w:kern w:val="2"/>
                <w:sz w:val="21"/>
              </w:rPr>
              <w:t>（</w:t>
            </w:r>
            <w:r>
              <w:rPr>
                <w:rFonts w:ascii="宋体" w:hAnsi="宋体" w:eastAsia="宋体" w:cs="Times New Roman"/>
                <w:kern w:val="2"/>
                <w:sz w:val="21"/>
              </w:rPr>
              <w:t>7</w:t>
            </w:r>
            <w:r>
              <w:rPr>
                <w:rFonts w:hint="eastAsia" w:ascii="宋体" w:hAnsi="宋体" w:eastAsia="宋体" w:cs="Times New Roman"/>
                <w:kern w:val="2"/>
                <w:sz w:val="21"/>
              </w:rPr>
              <w:t>）投标人未对本项目提出分包计划；</w:t>
            </w:r>
          </w:p>
          <w:p w14:paraId="2F90844F">
            <w:pPr>
              <w:widowControl w:val="0"/>
              <w:adjustRightInd/>
              <w:snapToGrid/>
              <w:spacing w:after="0" w:line="288" w:lineRule="auto"/>
              <w:textAlignment w:val="baseline"/>
              <w:rPr>
                <w:rFonts w:hint="eastAsia" w:ascii="宋体" w:hAnsi="宋体" w:eastAsia="宋体" w:cs="Times New Roman"/>
                <w:kern w:val="2"/>
                <w:sz w:val="21"/>
              </w:rPr>
            </w:pPr>
            <w:r>
              <w:rPr>
                <w:rFonts w:hint="eastAsia" w:ascii="宋体" w:hAnsi="宋体" w:eastAsia="宋体" w:cs="Times New Roman"/>
                <w:kern w:val="2"/>
                <w:sz w:val="21"/>
              </w:rPr>
              <w:t>（</w:t>
            </w:r>
            <w:r>
              <w:rPr>
                <w:rFonts w:ascii="宋体" w:hAnsi="宋体" w:eastAsia="宋体" w:cs="Times New Roman"/>
                <w:kern w:val="2"/>
                <w:sz w:val="21"/>
              </w:rPr>
              <w:t>8</w:t>
            </w:r>
            <w:r>
              <w:rPr>
                <w:rFonts w:hint="eastAsia" w:ascii="宋体" w:hAnsi="宋体" w:eastAsia="宋体" w:cs="Times New Roman"/>
                <w:kern w:val="2"/>
                <w:sz w:val="21"/>
              </w:rPr>
              <w:t>）同一投标人未提交两个以上不同的投标文件。</w:t>
            </w:r>
          </w:p>
          <w:p w14:paraId="648FDF9D">
            <w:pPr>
              <w:widowControl w:val="0"/>
              <w:adjustRightInd/>
              <w:snapToGrid/>
              <w:spacing w:after="0" w:line="288" w:lineRule="auto"/>
              <w:textAlignment w:val="baseline"/>
              <w:rPr>
                <w:rFonts w:hint="eastAsia" w:ascii="宋体" w:hAnsi="宋体" w:eastAsia="宋体" w:cs="Times New Roman"/>
                <w:kern w:val="2"/>
                <w:sz w:val="21"/>
              </w:rPr>
            </w:pPr>
            <w:r>
              <w:rPr>
                <w:rFonts w:hint="eastAsia" w:ascii="宋体" w:hAnsi="宋体" w:eastAsia="宋体" w:cs="Times New Roman"/>
                <w:kern w:val="2"/>
                <w:sz w:val="21"/>
              </w:rPr>
              <w:t>（</w:t>
            </w:r>
            <w:r>
              <w:rPr>
                <w:rFonts w:ascii="宋体" w:hAnsi="宋体" w:eastAsia="宋体" w:cs="Times New Roman"/>
                <w:kern w:val="2"/>
                <w:sz w:val="21"/>
              </w:rPr>
              <w:t>9</w:t>
            </w:r>
            <w:r>
              <w:rPr>
                <w:rFonts w:hint="eastAsia" w:ascii="宋体" w:hAnsi="宋体" w:eastAsia="宋体" w:cs="Times New Roman"/>
                <w:kern w:val="2"/>
                <w:sz w:val="21"/>
              </w:rPr>
              <w:t>）投标文件中未出现有关投标报价的内容。</w:t>
            </w:r>
          </w:p>
          <w:p w14:paraId="3ABB685E">
            <w:pPr>
              <w:widowControl w:val="0"/>
              <w:adjustRightInd/>
              <w:snapToGrid/>
              <w:spacing w:after="0" w:line="288" w:lineRule="auto"/>
              <w:textAlignment w:val="baseline"/>
              <w:rPr>
                <w:rFonts w:hint="eastAsia" w:ascii="宋体" w:hAnsi="宋体" w:eastAsia="宋体" w:cs="Times New Roman"/>
                <w:kern w:val="2"/>
                <w:sz w:val="21"/>
              </w:rPr>
            </w:pPr>
            <w:r>
              <w:rPr>
                <w:rFonts w:hint="eastAsia" w:ascii="宋体" w:hAnsi="宋体" w:eastAsia="宋体" w:cs="Times New Roman"/>
                <w:kern w:val="2"/>
                <w:sz w:val="21"/>
              </w:rPr>
              <w:t>（</w:t>
            </w:r>
            <w:r>
              <w:rPr>
                <w:rFonts w:ascii="宋体" w:hAnsi="宋体" w:eastAsia="宋体" w:cs="Times New Roman"/>
                <w:kern w:val="2"/>
                <w:sz w:val="21"/>
              </w:rPr>
              <w:t>10</w:t>
            </w:r>
            <w:r>
              <w:rPr>
                <w:rFonts w:hint="eastAsia" w:ascii="宋体" w:hAnsi="宋体" w:eastAsia="宋体" w:cs="Times New Roman"/>
                <w:kern w:val="2"/>
                <w:sz w:val="21"/>
              </w:rPr>
              <w:t>）投标文件载明的招标项目完成期限符合招标文件规定。</w:t>
            </w:r>
          </w:p>
          <w:p w14:paraId="063C71DB">
            <w:pPr>
              <w:widowControl w:val="0"/>
              <w:adjustRightInd/>
              <w:snapToGrid/>
              <w:spacing w:after="0" w:line="288" w:lineRule="auto"/>
              <w:textAlignment w:val="baseline"/>
              <w:rPr>
                <w:rFonts w:hint="eastAsia" w:ascii="宋体" w:hAnsi="宋体" w:eastAsia="宋体" w:cs="Times New Roman"/>
                <w:kern w:val="2"/>
                <w:sz w:val="21"/>
              </w:rPr>
            </w:pPr>
            <w:r>
              <w:rPr>
                <w:rFonts w:hint="eastAsia" w:ascii="宋体" w:hAnsi="宋体" w:eastAsia="宋体" w:cs="Times New Roman"/>
                <w:kern w:val="2"/>
                <w:sz w:val="21"/>
              </w:rPr>
              <w:t>（</w:t>
            </w:r>
            <w:r>
              <w:rPr>
                <w:rFonts w:ascii="宋体" w:hAnsi="宋体" w:eastAsia="宋体" w:cs="Times New Roman"/>
                <w:kern w:val="2"/>
                <w:sz w:val="21"/>
              </w:rPr>
              <w:t>11</w:t>
            </w:r>
            <w:r>
              <w:rPr>
                <w:rFonts w:hint="eastAsia" w:ascii="宋体" w:hAnsi="宋体" w:eastAsia="宋体" w:cs="Times New Roman"/>
                <w:kern w:val="2"/>
                <w:sz w:val="21"/>
              </w:rPr>
              <w:t>）投标文件对招标文件的实质性要求和条件作出响应。</w:t>
            </w:r>
          </w:p>
          <w:p w14:paraId="543D45B0">
            <w:pPr>
              <w:widowControl w:val="0"/>
              <w:adjustRightInd/>
              <w:snapToGrid/>
              <w:spacing w:after="0" w:line="288" w:lineRule="auto"/>
              <w:jc w:val="both"/>
              <w:rPr>
                <w:rFonts w:hint="eastAsia" w:ascii="宋体" w:hAnsi="宋体" w:eastAsia="宋体" w:cs="Times New Roman"/>
                <w:kern w:val="2"/>
                <w:sz w:val="21"/>
              </w:rPr>
            </w:pPr>
            <w:r>
              <w:rPr>
                <w:rFonts w:hint="eastAsia" w:ascii="宋体" w:hAnsi="宋体" w:eastAsia="宋体" w:cs="Times New Roman"/>
                <w:kern w:val="2"/>
                <w:sz w:val="21"/>
              </w:rPr>
              <w:t>（1</w:t>
            </w:r>
            <w:r>
              <w:rPr>
                <w:rFonts w:ascii="宋体" w:hAnsi="宋体" w:eastAsia="宋体" w:cs="Times New Roman"/>
                <w:kern w:val="2"/>
                <w:sz w:val="21"/>
              </w:rPr>
              <w:t>2</w:t>
            </w:r>
            <w:r>
              <w:rPr>
                <w:rFonts w:hint="eastAsia" w:ascii="宋体" w:hAnsi="宋体" w:eastAsia="宋体" w:cs="Times New Roman"/>
                <w:kern w:val="2"/>
                <w:sz w:val="21"/>
              </w:rPr>
              <w:t>）投标文件中投标车辆的主要技术指标（带★的条款）满足招标文件的要求。</w:t>
            </w:r>
          </w:p>
          <w:p w14:paraId="0DAE3D58">
            <w:pPr>
              <w:widowControl w:val="0"/>
              <w:adjustRightInd/>
              <w:snapToGrid/>
              <w:spacing w:after="0" w:line="288" w:lineRule="auto"/>
              <w:jc w:val="both"/>
              <w:rPr>
                <w:rFonts w:hint="eastAsia" w:ascii="宋体" w:hAnsi="宋体" w:eastAsia="宋体" w:cs="Times New Roman"/>
                <w:kern w:val="2"/>
                <w:sz w:val="21"/>
              </w:rPr>
            </w:pPr>
            <w:r>
              <w:rPr>
                <w:rFonts w:hint="eastAsia" w:ascii="宋体" w:hAnsi="宋体" w:eastAsia="宋体" w:cs="Times New Roman"/>
                <w:kern w:val="2"/>
                <w:sz w:val="21"/>
              </w:rPr>
              <w:t>（1</w:t>
            </w:r>
            <w:r>
              <w:rPr>
                <w:rFonts w:ascii="宋体" w:hAnsi="宋体" w:eastAsia="宋体" w:cs="Times New Roman"/>
                <w:kern w:val="2"/>
                <w:sz w:val="21"/>
              </w:rPr>
              <w:t>3</w:t>
            </w:r>
            <w:r>
              <w:rPr>
                <w:rFonts w:hint="eastAsia" w:ascii="宋体" w:hAnsi="宋体" w:eastAsia="宋体" w:cs="Times New Roman"/>
                <w:kern w:val="2"/>
                <w:sz w:val="21"/>
              </w:rPr>
              <w:t>）技术支持资料符合第二章“投标人须知”第 1.11.3 项规定。</w:t>
            </w:r>
          </w:p>
          <w:p w14:paraId="76E6A464">
            <w:pPr>
              <w:widowControl w:val="0"/>
              <w:adjustRightInd/>
              <w:snapToGrid/>
              <w:spacing w:after="0" w:line="288" w:lineRule="auto"/>
              <w:jc w:val="both"/>
              <w:rPr>
                <w:rFonts w:ascii="宋体" w:hAnsi="宋体" w:eastAsia="宋体" w:cs="Times New Roman"/>
                <w:kern w:val="2"/>
                <w:sz w:val="21"/>
              </w:rPr>
            </w:pPr>
            <w:r>
              <w:rPr>
                <w:rFonts w:hint="eastAsia" w:ascii="宋体" w:hAnsi="宋体" w:eastAsia="宋体" w:cs="Times New Roman"/>
                <w:kern w:val="2"/>
                <w:sz w:val="21"/>
              </w:rPr>
              <w:t>（14）权利义务符合招标文件规定：</w:t>
            </w:r>
          </w:p>
          <w:p w14:paraId="761878AD">
            <w:pPr>
              <w:widowControl w:val="0"/>
              <w:adjustRightInd/>
              <w:snapToGrid/>
              <w:spacing w:after="0" w:line="288" w:lineRule="auto"/>
              <w:textAlignment w:val="baseline"/>
              <w:rPr>
                <w:rFonts w:hint="eastAsia" w:ascii="宋体" w:hAnsi="宋体" w:eastAsia="宋体" w:cs="Times New Roman"/>
                <w:kern w:val="2"/>
                <w:sz w:val="21"/>
              </w:rPr>
            </w:pPr>
            <w:r>
              <w:rPr>
                <w:rFonts w:hint="eastAsia" w:ascii="宋体" w:hAnsi="宋体" w:eastAsia="宋体" w:cs="Times New Roman"/>
                <w:kern w:val="2"/>
                <w:sz w:val="21"/>
              </w:rPr>
              <w:t>a.投标人应接受招标文件规定的风险划分原则，未提出新的风险划分办法；</w:t>
            </w:r>
          </w:p>
          <w:p w14:paraId="7C69817F">
            <w:pPr>
              <w:widowControl w:val="0"/>
              <w:adjustRightInd/>
              <w:snapToGrid/>
              <w:spacing w:after="0" w:line="288" w:lineRule="auto"/>
              <w:textAlignment w:val="baseline"/>
              <w:rPr>
                <w:rFonts w:hint="eastAsia" w:ascii="宋体" w:hAnsi="宋体" w:eastAsia="宋体" w:cs="Times New Roman"/>
                <w:kern w:val="2"/>
                <w:sz w:val="21"/>
              </w:rPr>
            </w:pPr>
            <w:r>
              <w:rPr>
                <w:rFonts w:hint="eastAsia" w:ascii="宋体" w:hAnsi="宋体" w:eastAsia="宋体" w:cs="Times New Roman"/>
                <w:kern w:val="2"/>
                <w:sz w:val="21"/>
              </w:rPr>
              <w:t>b.投标人未增加发包人的责任范围，或减少投标人义务；</w:t>
            </w:r>
          </w:p>
          <w:p w14:paraId="2ABC1953">
            <w:pPr>
              <w:widowControl w:val="0"/>
              <w:adjustRightInd/>
              <w:snapToGrid/>
              <w:spacing w:after="0" w:line="288" w:lineRule="auto"/>
              <w:textAlignment w:val="baseline"/>
              <w:rPr>
                <w:rFonts w:hint="eastAsia" w:ascii="宋体" w:hAnsi="宋体" w:eastAsia="宋体" w:cs="Times New Roman"/>
                <w:kern w:val="2"/>
                <w:sz w:val="21"/>
              </w:rPr>
            </w:pPr>
            <w:r>
              <w:rPr>
                <w:rFonts w:hint="eastAsia" w:ascii="宋体" w:hAnsi="宋体" w:eastAsia="宋体" w:cs="Times New Roman"/>
                <w:kern w:val="2"/>
                <w:sz w:val="21"/>
              </w:rPr>
              <w:t>c.投标人未提出不同的支付办法；</w:t>
            </w:r>
          </w:p>
          <w:p w14:paraId="36359FD3">
            <w:pPr>
              <w:widowControl w:val="0"/>
              <w:adjustRightInd/>
              <w:snapToGrid/>
              <w:spacing w:after="0" w:line="288" w:lineRule="auto"/>
              <w:textAlignment w:val="baseline"/>
              <w:rPr>
                <w:rFonts w:hint="eastAsia" w:ascii="宋体" w:hAnsi="宋体" w:eastAsia="宋体" w:cs="Times New Roman"/>
                <w:kern w:val="2"/>
                <w:sz w:val="21"/>
              </w:rPr>
            </w:pPr>
            <w:r>
              <w:rPr>
                <w:rFonts w:hint="eastAsia" w:ascii="宋体" w:hAnsi="宋体" w:eastAsia="宋体" w:cs="Times New Roman"/>
                <w:kern w:val="2"/>
                <w:sz w:val="21"/>
              </w:rPr>
              <w:t>d.投标人对合同纠纷、事故处理办法未提出异议；</w:t>
            </w:r>
          </w:p>
          <w:p w14:paraId="4CA1D1A5">
            <w:pPr>
              <w:widowControl w:val="0"/>
              <w:adjustRightInd/>
              <w:snapToGrid/>
              <w:spacing w:after="0" w:line="288" w:lineRule="auto"/>
              <w:textAlignment w:val="baseline"/>
              <w:rPr>
                <w:rFonts w:hint="eastAsia" w:ascii="宋体" w:hAnsi="宋体" w:eastAsia="宋体" w:cs="Times New Roman"/>
                <w:kern w:val="2"/>
                <w:sz w:val="21"/>
              </w:rPr>
            </w:pPr>
            <w:r>
              <w:rPr>
                <w:rFonts w:hint="eastAsia" w:ascii="宋体" w:hAnsi="宋体" w:eastAsia="宋体" w:cs="Times New Roman"/>
                <w:kern w:val="2"/>
                <w:sz w:val="21"/>
              </w:rPr>
              <w:t>e.投标人在投标活动中无欺诈行为；</w:t>
            </w:r>
          </w:p>
          <w:p w14:paraId="075B6CEA">
            <w:pPr>
              <w:widowControl w:val="0"/>
              <w:adjustRightInd/>
              <w:snapToGrid/>
              <w:spacing w:after="0" w:line="288" w:lineRule="auto"/>
              <w:rPr>
                <w:rFonts w:hint="eastAsia" w:ascii="宋体" w:hAnsi="宋体" w:eastAsia="宋体" w:cs="Times New Roman"/>
                <w:kern w:val="2"/>
                <w:sz w:val="21"/>
              </w:rPr>
            </w:pPr>
            <w:r>
              <w:rPr>
                <w:rFonts w:hint="eastAsia" w:ascii="宋体" w:hAnsi="宋体" w:eastAsia="宋体" w:cs="Times New Roman"/>
                <w:kern w:val="2"/>
                <w:sz w:val="21"/>
              </w:rPr>
              <w:t>f.投标人未对合同条款有重要保留。</w:t>
            </w:r>
          </w:p>
          <w:p w14:paraId="041BDBD9">
            <w:pPr>
              <w:widowControl w:val="0"/>
              <w:adjustRightInd/>
              <w:snapToGrid/>
              <w:spacing w:after="0" w:line="288" w:lineRule="auto"/>
              <w:rPr>
                <w:rFonts w:hint="eastAsia" w:ascii="宋体" w:hAnsi="宋体" w:eastAsia="宋体" w:cs="Times New Roman"/>
                <w:kern w:val="2"/>
                <w:sz w:val="21"/>
              </w:rPr>
            </w:pPr>
            <w:r>
              <w:rPr>
                <w:rFonts w:hint="eastAsia" w:ascii="宋体" w:hAnsi="宋体" w:eastAsia="宋体" w:cs="Times New Roman"/>
                <w:kern w:val="2"/>
                <w:sz w:val="21"/>
              </w:rPr>
              <w:t>第二个信封(报价文件)</w:t>
            </w:r>
          </w:p>
          <w:p w14:paraId="1A5384B8">
            <w:pPr>
              <w:widowControl w:val="0"/>
              <w:adjustRightInd/>
              <w:snapToGrid/>
              <w:spacing w:after="0" w:line="288" w:lineRule="auto"/>
              <w:ind w:firstLine="142" w:firstLineChars="68"/>
              <w:rPr>
                <w:rFonts w:hint="eastAsia" w:ascii="宋体" w:hAnsi="宋体" w:eastAsia="宋体" w:cs="Times New Roman"/>
                <w:kern w:val="2"/>
                <w:sz w:val="21"/>
              </w:rPr>
            </w:pPr>
            <w:r>
              <w:rPr>
                <w:rFonts w:hint="eastAsia" w:ascii="宋体" w:hAnsi="宋体" w:eastAsia="宋体" w:cs="Times New Roman"/>
                <w:kern w:val="2"/>
                <w:sz w:val="21"/>
              </w:rPr>
              <w:t>（1）投标文件按照招标文件规定的格式、内容填写，字迹清晰可辨：</w:t>
            </w:r>
          </w:p>
          <w:p w14:paraId="18995E9F">
            <w:pPr>
              <w:widowControl w:val="0"/>
              <w:adjustRightInd/>
              <w:snapToGrid/>
              <w:spacing w:after="0" w:line="288" w:lineRule="auto"/>
              <w:ind w:firstLine="285" w:firstLineChars="136"/>
              <w:rPr>
                <w:rFonts w:hint="eastAsia" w:ascii="宋体" w:hAnsi="宋体" w:eastAsia="宋体" w:cs="Times New Roman"/>
                <w:kern w:val="2"/>
                <w:sz w:val="21"/>
              </w:rPr>
            </w:pPr>
            <w:r>
              <w:rPr>
                <w:rFonts w:hint="eastAsia" w:ascii="宋体" w:hAnsi="宋体" w:eastAsia="宋体" w:cs="Times New Roman"/>
                <w:kern w:val="2"/>
                <w:sz w:val="21"/>
              </w:rPr>
              <w:t>a.投标函按招标文件规定填报了项目名称、补遗书编号（如有）、投标价（包括大写金额和小写金额）；</w:t>
            </w:r>
          </w:p>
          <w:p w14:paraId="1C2A7547">
            <w:pPr>
              <w:widowControl w:val="0"/>
              <w:adjustRightInd/>
              <w:snapToGrid/>
              <w:spacing w:after="0" w:line="288" w:lineRule="auto"/>
              <w:ind w:firstLine="285" w:firstLineChars="136"/>
              <w:rPr>
                <w:rFonts w:hint="eastAsia" w:ascii="宋体" w:hAnsi="宋体" w:eastAsia="宋体" w:cs="Times New Roman"/>
                <w:kern w:val="2"/>
                <w:sz w:val="21"/>
              </w:rPr>
            </w:pPr>
            <w:r>
              <w:rPr>
                <w:rFonts w:hint="eastAsia" w:ascii="宋体" w:hAnsi="宋体" w:eastAsia="宋体" w:cs="Times New Roman"/>
                <w:kern w:val="2"/>
                <w:sz w:val="21"/>
              </w:rPr>
              <w:t>b.投标文件组成齐全完整，内容均按规定填写。</w:t>
            </w:r>
          </w:p>
          <w:p w14:paraId="50414FBF">
            <w:pPr>
              <w:widowControl w:val="0"/>
              <w:adjustRightInd/>
              <w:snapToGrid/>
              <w:spacing w:after="0" w:line="288" w:lineRule="auto"/>
              <w:ind w:firstLine="142" w:firstLineChars="68"/>
              <w:rPr>
                <w:rFonts w:hint="eastAsia" w:ascii="宋体" w:hAnsi="宋体" w:eastAsia="宋体" w:cs="Times New Roman"/>
                <w:kern w:val="2"/>
                <w:sz w:val="21"/>
              </w:rPr>
            </w:pPr>
            <w:r>
              <w:rPr>
                <w:rFonts w:hint="eastAsia" w:ascii="宋体" w:hAnsi="宋体" w:eastAsia="宋体" w:cs="Times New Roman"/>
                <w:kern w:val="2"/>
                <w:sz w:val="21"/>
              </w:rPr>
              <w:t>（2）投标文件上法定代表人或其委托代理人的签字、投标人的单位章盖章齐全，符合招标文件规定。</w:t>
            </w:r>
          </w:p>
          <w:p w14:paraId="7D5411E6">
            <w:pPr>
              <w:widowControl w:val="0"/>
              <w:adjustRightInd/>
              <w:snapToGrid/>
              <w:spacing w:after="0" w:line="288" w:lineRule="auto"/>
              <w:ind w:firstLine="142" w:firstLineChars="68"/>
              <w:rPr>
                <w:rFonts w:hint="eastAsia" w:ascii="宋体" w:hAnsi="宋体" w:eastAsia="宋体" w:cs="Times New Roman"/>
                <w:kern w:val="2"/>
                <w:sz w:val="21"/>
              </w:rPr>
            </w:pPr>
            <w:r>
              <w:rPr>
                <w:rFonts w:hint="eastAsia" w:ascii="宋体" w:hAnsi="宋体" w:eastAsia="宋体" w:cs="Times New Roman"/>
                <w:kern w:val="2"/>
                <w:sz w:val="21"/>
              </w:rPr>
              <w:t>（3）投标报价的报价未超过招标文件设定的最高投标限价。</w:t>
            </w:r>
          </w:p>
          <w:p w14:paraId="6F84C8F7">
            <w:pPr>
              <w:widowControl w:val="0"/>
              <w:adjustRightInd/>
              <w:snapToGrid/>
              <w:spacing w:after="0" w:line="288" w:lineRule="auto"/>
              <w:ind w:firstLine="142" w:firstLineChars="68"/>
              <w:rPr>
                <w:rFonts w:hint="eastAsia" w:ascii="宋体" w:hAnsi="宋体" w:eastAsia="宋体" w:cs="Times New Roman"/>
                <w:kern w:val="2"/>
                <w:sz w:val="21"/>
              </w:rPr>
            </w:pPr>
            <w:r>
              <w:rPr>
                <w:rFonts w:hint="eastAsia" w:ascii="宋体" w:hAnsi="宋体" w:eastAsia="宋体" w:cs="Times New Roman"/>
                <w:kern w:val="2"/>
                <w:sz w:val="21"/>
              </w:rPr>
              <w:t>（4）投标报价的大写金额能够确定具体数值。</w:t>
            </w:r>
          </w:p>
          <w:p w14:paraId="0C8A388C">
            <w:pPr>
              <w:widowControl w:val="0"/>
              <w:adjustRightInd/>
              <w:snapToGrid/>
              <w:spacing w:after="0" w:line="288" w:lineRule="auto"/>
              <w:ind w:firstLine="142" w:firstLineChars="68"/>
              <w:rPr>
                <w:rFonts w:ascii="宋体" w:hAnsi="宋体" w:eastAsia="宋体" w:cs="Times New Roman"/>
                <w:kern w:val="2"/>
                <w:sz w:val="21"/>
              </w:rPr>
            </w:pPr>
            <w:r>
              <w:rPr>
                <w:rFonts w:hint="eastAsia" w:ascii="宋体" w:hAnsi="宋体" w:eastAsia="宋体" w:cs="Times New Roman"/>
                <w:kern w:val="2"/>
                <w:sz w:val="21"/>
              </w:rPr>
              <w:t>（5）同一投标人未提交两个以上不同的投标报价。</w:t>
            </w:r>
          </w:p>
          <w:p w14:paraId="273ECBF3">
            <w:pPr>
              <w:widowControl w:val="0"/>
              <w:adjustRightInd/>
              <w:snapToGrid/>
              <w:spacing w:after="0" w:line="288" w:lineRule="auto"/>
              <w:ind w:left="100"/>
              <w:rPr>
                <w:rFonts w:hint="eastAsia" w:ascii="宋体" w:hAnsi="宋体" w:eastAsia="宋体" w:cs="Times New Roman"/>
                <w:kern w:val="2"/>
                <w:sz w:val="21"/>
              </w:rPr>
            </w:pPr>
            <w:r>
              <w:rPr>
                <w:rFonts w:hint="eastAsia" w:ascii="宋体" w:hAnsi="宋体" w:eastAsia="宋体" w:cs="Times New Roman"/>
                <w:kern w:val="2"/>
                <w:sz w:val="21"/>
              </w:rPr>
              <w:t>（</w:t>
            </w:r>
            <w:r>
              <w:rPr>
                <w:rFonts w:ascii="宋体" w:hAnsi="宋体" w:eastAsia="宋体" w:cs="Times New Roman"/>
                <w:kern w:val="2"/>
                <w:sz w:val="21"/>
              </w:rPr>
              <w:t>6</w:t>
            </w:r>
            <w:r>
              <w:rPr>
                <w:rFonts w:hint="eastAsia" w:ascii="宋体" w:hAnsi="宋体" w:eastAsia="宋体" w:cs="Times New Roman"/>
                <w:kern w:val="2"/>
                <w:sz w:val="21"/>
              </w:rPr>
              <w:t>）投标人填写完毕的分项报价表中的投标报价和投标函大写金额报价一致。</w:t>
            </w:r>
          </w:p>
        </w:tc>
      </w:tr>
      <w:tr w14:paraId="7969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3773A44B">
            <w:pPr>
              <w:widowControl w:val="0"/>
              <w:adjustRightInd/>
              <w:snapToGrid/>
              <w:spacing w:after="0"/>
              <w:jc w:val="center"/>
              <w:rPr>
                <w:rFonts w:hint="eastAsia" w:ascii="宋体" w:hAnsi="宋体" w:eastAsia="宋体" w:cs="Times New Roman"/>
                <w:kern w:val="2"/>
                <w:sz w:val="21"/>
              </w:rPr>
            </w:pPr>
            <w:r>
              <w:rPr>
                <w:rFonts w:hint="eastAsia" w:ascii="宋体" w:hAnsi="宋体" w:eastAsia="宋体" w:cs="Times New Roman"/>
                <w:kern w:val="2"/>
                <w:sz w:val="21"/>
              </w:rPr>
              <w:t>2.1.2</w:t>
            </w:r>
          </w:p>
        </w:tc>
        <w:tc>
          <w:tcPr>
            <w:tcW w:w="1681" w:type="dxa"/>
            <w:tcBorders>
              <w:top w:val="single" w:color="auto" w:sz="4" w:space="0"/>
              <w:left w:val="nil"/>
              <w:bottom w:val="single" w:color="auto" w:sz="4" w:space="0"/>
              <w:right w:val="single" w:color="auto" w:sz="4" w:space="0"/>
            </w:tcBorders>
            <w:vAlign w:val="center"/>
          </w:tcPr>
          <w:p w14:paraId="2A895389">
            <w:pPr>
              <w:widowControl w:val="0"/>
              <w:adjustRightInd/>
              <w:snapToGrid/>
              <w:spacing w:after="0"/>
              <w:jc w:val="center"/>
              <w:rPr>
                <w:rFonts w:hint="eastAsia" w:ascii="宋体" w:hAnsi="宋体" w:eastAsia="宋体" w:cs="Times New Roman"/>
                <w:kern w:val="2"/>
                <w:sz w:val="21"/>
              </w:rPr>
            </w:pPr>
            <w:r>
              <w:rPr>
                <w:rFonts w:hint="eastAsia" w:ascii="宋体" w:hAnsi="宋体" w:eastAsia="宋体" w:cs="Times New Roman"/>
                <w:kern w:val="2"/>
                <w:sz w:val="21"/>
              </w:rPr>
              <w:t>资格审查标准</w:t>
            </w:r>
          </w:p>
        </w:tc>
        <w:tc>
          <w:tcPr>
            <w:tcW w:w="7097" w:type="dxa"/>
            <w:tcBorders>
              <w:top w:val="single" w:color="auto" w:sz="4" w:space="0"/>
              <w:left w:val="nil"/>
              <w:bottom w:val="single" w:color="auto" w:sz="4" w:space="0"/>
              <w:right w:val="single" w:color="auto" w:sz="4" w:space="0"/>
            </w:tcBorders>
            <w:vAlign w:val="center"/>
          </w:tcPr>
          <w:p w14:paraId="162F19FE">
            <w:pPr>
              <w:widowControl w:val="0"/>
              <w:tabs>
                <w:tab w:val="left" w:pos="575"/>
              </w:tabs>
              <w:adjustRightInd/>
              <w:snapToGrid/>
              <w:spacing w:after="0" w:line="288" w:lineRule="auto"/>
              <w:rPr>
                <w:rFonts w:hint="eastAsia" w:ascii="宋体" w:hAnsi="宋体" w:eastAsia="宋体" w:cs="Times New Roman"/>
                <w:kern w:val="2"/>
                <w:sz w:val="21"/>
              </w:rPr>
            </w:pPr>
            <w:r>
              <w:rPr>
                <w:rFonts w:hint="eastAsia" w:ascii="宋体" w:hAnsi="宋体" w:eastAsia="宋体" w:cs="Times New Roman"/>
                <w:kern w:val="2"/>
                <w:sz w:val="21"/>
              </w:rPr>
              <w:t>（1）投标人具备有效的营业执照、组织机构代码证（三证合一的不需要）、基本账户开户许可证或基本存款账户信息；</w:t>
            </w:r>
          </w:p>
          <w:p w14:paraId="0EDC339E">
            <w:pPr>
              <w:widowControl w:val="0"/>
              <w:tabs>
                <w:tab w:val="left" w:pos="596"/>
              </w:tabs>
              <w:adjustRightInd/>
              <w:snapToGrid/>
              <w:spacing w:after="0" w:line="288" w:lineRule="auto"/>
              <w:rPr>
                <w:rFonts w:ascii="宋体" w:hAnsi="宋体" w:eastAsia="宋体" w:cs="Times New Roman"/>
                <w:kern w:val="2"/>
                <w:sz w:val="21"/>
              </w:rPr>
            </w:pPr>
            <w:r>
              <w:rPr>
                <w:rFonts w:hint="eastAsia" w:ascii="宋体" w:hAnsi="宋体" w:eastAsia="宋体" w:cs="Times New Roman"/>
                <w:kern w:val="2"/>
                <w:sz w:val="21"/>
              </w:rPr>
              <w:t>（2）投标人的资质要求符合招标文件规定；</w:t>
            </w:r>
          </w:p>
          <w:p w14:paraId="166109B5">
            <w:pPr>
              <w:widowControl w:val="0"/>
              <w:tabs>
                <w:tab w:val="left" w:pos="596"/>
              </w:tabs>
              <w:adjustRightInd/>
              <w:snapToGrid/>
              <w:spacing w:after="0" w:line="288" w:lineRule="auto"/>
              <w:rPr>
                <w:rFonts w:hint="eastAsia" w:ascii="宋体" w:hAnsi="宋体" w:eastAsia="宋体" w:cs="Times New Roman"/>
                <w:kern w:val="2"/>
                <w:sz w:val="21"/>
              </w:rPr>
            </w:pPr>
            <w:r>
              <w:rPr>
                <w:rFonts w:hint="eastAsia" w:ascii="宋体" w:hAnsi="宋体" w:eastAsia="宋体" w:cs="Times New Roman"/>
                <w:kern w:val="2"/>
                <w:sz w:val="21"/>
              </w:rPr>
              <w:t>（3）投标人的类似项目业绩符合招标文件规定；</w:t>
            </w:r>
          </w:p>
          <w:p w14:paraId="65335F37">
            <w:pPr>
              <w:widowControl w:val="0"/>
              <w:tabs>
                <w:tab w:val="left" w:pos="596"/>
              </w:tabs>
              <w:adjustRightInd/>
              <w:snapToGrid/>
              <w:spacing w:after="0" w:line="288" w:lineRule="auto"/>
              <w:rPr>
                <w:rFonts w:hint="eastAsia" w:ascii="宋体" w:hAnsi="宋体" w:eastAsia="宋体" w:cs="Times New Roman"/>
                <w:kern w:val="2"/>
                <w:sz w:val="21"/>
              </w:rPr>
            </w:pPr>
            <w:r>
              <w:rPr>
                <w:rFonts w:hint="eastAsia" w:ascii="宋体" w:hAnsi="宋体" w:eastAsia="宋体" w:cs="Times New Roman"/>
                <w:kern w:val="2"/>
                <w:sz w:val="21"/>
              </w:rPr>
              <w:t>（4）投标人的信誉符合招标文件规定；</w:t>
            </w:r>
          </w:p>
          <w:p w14:paraId="6ADD64D2">
            <w:pPr>
              <w:widowControl w:val="0"/>
              <w:tabs>
                <w:tab w:val="left" w:pos="596"/>
              </w:tabs>
              <w:adjustRightInd/>
              <w:snapToGrid/>
              <w:spacing w:after="0" w:line="288" w:lineRule="auto"/>
              <w:rPr>
                <w:rFonts w:hint="eastAsia" w:ascii="宋体" w:hAnsi="宋体" w:eastAsia="宋体" w:cs="Times New Roman"/>
                <w:kern w:val="2"/>
                <w:sz w:val="21"/>
              </w:rPr>
            </w:pPr>
            <w:r>
              <w:rPr>
                <w:rFonts w:hint="eastAsia" w:ascii="宋体" w:hAnsi="宋体" w:eastAsia="宋体" w:cs="Times New Roman"/>
                <w:kern w:val="2"/>
                <w:sz w:val="21"/>
              </w:rPr>
              <w:t>（5）投标人不存在第二章“投标人须知”第 1.4.3 项或第 1.4.4 项规定的任何一种情形。</w:t>
            </w:r>
          </w:p>
        </w:tc>
      </w:tr>
      <w:tr w14:paraId="67AC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55C1479C">
            <w:pPr>
              <w:widowControl w:val="0"/>
              <w:adjustRightInd/>
              <w:snapToGrid/>
              <w:spacing w:after="0" w:line="380" w:lineRule="exact"/>
              <w:jc w:val="center"/>
              <w:rPr>
                <w:rFonts w:hint="eastAsia" w:ascii="宋体" w:hAnsi="宋体" w:eastAsia="宋体" w:cs="宋体"/>
                <w:kern w:val="2"/>
                <w:sz w:val="21"/>
                <w:szCs w:val="21"/>
              </w:rPr>
            </w:pPr>
            <w:r>
              <w:rPr>
                <w:rFonts w:hint="eastAsia" w:ascii="宋体" w:hAnsi="宋体" w:eastAsia="宋体" w:cs="宋体"/>
                <w:kern w:val="2"/>
                <w:sz w:val="21"/>
                <w:szCs w:val="21"/>
              </w:rPr>
              <w:t>2.2.1</w:t>
            </w:r>
          </w:p>
        </w:tc>
        <w:tc>
          <w:tcPr>
            <w:tcW w:w="1681" w:type="dxa"/>
            <w:tcBorders>
              <w:top w:val="single" w:color="auto" w:sz="4" w:space="0"/>
              <w:left w:val="nil"/>
              <w:bottom w:val="single" w:color="auto" w:sz="4" w:space="0"/>
              <w:right w:val="single" w:color="auto" w:sz="4" w:space="0"/>
            </w:tcBorders>
            <w:vAlign w:val="center"/>
          </w:tcPr>
          <w:p w14:paraId="588614A8">
            <w:pPr>
              <w:widowControl w:val="0"/>
              <w:adjustRightInd/>
              <w:snapToGrid/>
              <w:spacing w:after="0" w:line="380" w:lineRule="exact"/>
              <w:jc w:val="center"/>
              <w:rPr>
                <w:rFonts w:hint="eastAsia" w:ascii="宋体" w:hAnsi="宋体" w:eastAsia="宋体" w:cs="宋体"/>
                <w:kern w:val="2"/>
                <w:sz w:val="21"/>
                <w:szCs w:val="21"/>
              </w:rPr>
            </w:pPr>
            <w:r>
              <w:rPr>
                <w:rFonts w:hint="eastAsia" w:ascii="宋体" w:hAnsi="宋体" w:eastAsia="宋体" w:cs="宋体"/>
                <w:kern w:val="2"/>
                <w:sz w:val="21"/>
                <w:szCs w:val="21"/>
              </w:rPr>
              <w:t>分值构成（总分100分）</w:t>
            </w:r>
          </w:p>
        </w:tc>
        <w:tc>
          <w:tcPr>
            <w:tcW w:w="7097" w:type="dxa"/>
            <w:tcBorders>
              <w:top w:val="single" w:color="auto" w:sz="4" w:space="0"/>
              <w:left w:val="nil"/>
              <w:bottom w:val="single" w:color="auto" w:sz="4" w:space="0"/>
              <w:right w:val="single" w:color="auto" w:sz="4" w:space="0"/>
            </w:tcBorders>
            <w:vAlign w:val="center"/>
          </w:tcPr>
          <w:p w14:paraId="62959F04">
            <w:pPr>
              <w:widowControl w:val="0"/>
              <w:adjustRightInd/>
              <w:snapToGrid/>
              <w:spacing w:after="0" w:line="380" w:lineRule="exact"/>
              <w:jc w:val="both"/>
              <w:rPr>
                <w:rFonts w:hint="eastAsia" w:ascii="宋体" w:hAnsi="宋体" w:eastAsia="宋体" w:cs="宋体"/>
                <w:b/>
                <w:bCs/>
                <w:kern w:val="2"/>
                <w:sz w:val="21"/>
                <w:szCs w:val="21"/>
              </w:rPr>
            </w:pPr>
            <w:r>
              <w:rPr>
                <w:rFonts w:hint="eastAsia" w:ascii="宋体" w:hAnsi="宋体" w:eastAsia="宋体" w:cs="宋体"/>
                <w:b/>
                <w:bCs/>
                <w:kern w:val="2"/>
                <w:sz w:val="21"/>
                <w:szCs w:val="21"/>
              </w:rPr>
              <w:t>第一个信封（商务及技术文件）评分分值构成：</w:t>
            </w:r>
          </w:p>
          <w:p w14:paraId="60ADE8CE">
            <w:pPr>
              <w:widowControl w:val="0"/>
              <w:adjustRightInd/>
              <w:snapToGrid/>
              <w:spacing w:after="0" w:line="400" w:lineRule="atLeast"/>
              <w:rPr>
                <w:rFonts w:hint="eastAsia" w:ascii="宋体" w:hAnsi="宋体" w:eastAsia="宋体" w:cs="宋体"/>
                <w:sz w:val="21"/>
                <w:szCs w:val="21"/>
              </w:rPr>
            </w:pPr>
            <w:r>
              <w:rPr>
                <w:rFonts w:hint="eastAsia" w:ascii="宋体" w:hAnsi="宋体" w:eastAsia="宋体" w:cs="宋体"/>
                <w:sz w:val="21"/>
                <w:szCs w:val="21"/>
              </w:rPr>
              <w:t>商务评分：4</w:t>
            </w:r>
            <w:r>
              <w:rPr>
                <w:rFonts w:ascii="宋体" w:hAnsi="宋体" w:eastAsia="宋体" w:cs="宋体"/>
                <w:sz w:val="21"/>
                <w:szCs w:val="21"/>
              </w:rPr>
              <w:t>0</w:t>
            </w:r>
            <w:r>
              <w:rPr>
                <w:rFonts w:hint="eastAsia" w:ascii="宋体" w:hAnsi="宋体" w:eastAsia="宋体" w:cs="宋体"/>
                <w:sz w:val="21"/>
                <w:szCs w:val="21"/>
              </w:rPr>
              <w:t>分</w:t>
            </w:r>
          </w:p>
          <w:p w14:paraId="0B9E77E6">
            <w:pPr>
              <w:widowControl w:val="0"/>
              <w:adjustRightInd/>
              <w:snapToGrid/>
              <w:spacing w:after="0" w:line="400" w:lineRule="atLeast"/>
              <w:rPr>
                <w:rFonts w:hint="eastAsia" w:ascii="宋体" w:hAnsi="宋体" w:eastAsia="宋体" w:cs="宋体"/>
                <w:kern w:val="2"/>
                <w:sz w:val="21"/>
                <w:szCs w:val="21"/>
              </w:rPr>
            </w:pPr>
            <w:r>
              <w:rPr>
                <w:rFonts w:hint="eastAsia" w:ascii="宋体" w:hAnsi="宋体" w:eastAsia="宋体" w:cs="宋体"/>
                <w:sz w:val="21"/>
                <w:szCs w:val="21"/>
              </w:rPr>
              <w:t>技术评分：</w:t>
            </w:r>
            <w:r>
              <w:rPr>
                <w:rFonts w:hint="eastAsia" w:ascii="宋体" w:hAnsi="宋体" w:eastAsia="宋体" w:cs="宋体"/>
                <w:kern w:val="2"/>
                <w:sz w:val="21"/>
                <w:szCs w:val="21"/>
              </w:rPr>
              <w:t>60</w:t>
            </w:r>
            <w:r>
              <w:rPr>
                <w:rFonts w:hint="eastAsia" w:ascii="宋体" w:hAnsi="宋体" w:eastAsia="宋体" w:cs="宋体"/>
                <w:sz w:val="21"/>
                <w:szCs w:val="21"/>
              </w:rPr>
              <w:t>分</w:t>
            </w:r>
          </w:p>
        </w:tc>
      </w:tr>
      <w:tr w14:paraId="31C5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0D0F6CFC">
            <w:pPr>
              <w:widowControl w:val="0"/>
              <w:adjustRightInd/>
              <w:snapToGrid/>
              <w:spacing w:after="0" w:line="380" w:lineRule="exact"/>
              <w:jc w:val="center"/>
              <w:rPr>
                <w:rFonts w:hint="eastAsia" w:ascii="宋体" w:hAnsi="宋体" w:eastAsia="宋体" w:cs="宋体"/>
                <w:kern w:val="2"/>
                <w:sz w:val="21"/>
                <w:szCs w:val="21"/>
              </w:rPr>
            </w:pPr>
            <w:r>
              <w:rPr>
                <w:rFonts w:hint="eastAsia" w:ascii="宋体" w:hAnsi="宋体" w:eastAsia="宋体" w:cs="Times New Roman"/>
                <w:kern w:val="2"/>
                <w:sz w:val="21"/>
                <w:szCs w:val="21"/>
              </w:rPr>
              <w:t>2.2.3</w:t>
            </w:r>
          </w:p>
        </w:tc>
        <w:tc>
          <w:tcPr>
            <w:tcW w:w="1681" w:type="dxa"/>
            <w:tcBorders>
              <w:top w:val="single" w:color="auto" w:sz="4" w:space="0"/>
              <w:left w:val="nil"/>
              <w:bottom w:val="single" w:color="auto" w:sz="4" w:space="0"/>
              <w:right w:val="single" w:color="auto" w:sz="4" w:space="0"/>
            </w:tcBorders>
            <w:vAlign w:val="center"/>
          </w:tcPr>
          <w:p w14:paraId="3637A1F9">
            <w:pPr>
              <w:widowControl w:val="0"/>
              <w:adjustRightInd/>
              <w:snapToGrid/>
              <w:spacing w:after="0" w:line="380" w:lineRule="exact"/>
              <w:jc w:val="center"/>
              <w:rPr>
                <w:rFonts w:hint="eastAsia" w:ascii="宋体" w:hAnsi="宋体" w:eastAsia="宋体" w:cs="宋体"/>
                <w:kern w:val="2"/>
                <w:sz w:val="21"/>
                <w:szCs w:val="21"/>
              </w:rPr>
            </w:pPr>
            <w:r>
              <w:rPr>
                <w:rFonts w:hint="eastAsia" w:ascii="宋体" w:hAnsi="宋体" w:eastAsia="宋体" w:cs="Times New Roman"/>
                <w:kern w:val="2"/>
                <w:sz w:val="21"/>
                <w:szCs w:val="21"/>
              </w:rPr>
              <w:t>第二个信封详细评审标准</w:t>
            </w:r>
          </w:p>
        </w:tc>
        <w:tc>
          <w:tcPr>
            <w:tcW w:w="7097" w:type="dxa"/>
            <w:tcBorders>
              <w:top w:val="single" w:color="auto" w:sz="4" w:space="0"/>
              <w:left w:val="nil"/>
              <w:bottom w:val="single" w:color="auto" w:sz="4" w:space="0"/>
              <w:right w:val="single" w:color="auto" w:sz="4" w:space="0"/>
            </w:tcBorders>
            <w:vAlign w:val="center"/>
          </w:tcPr>
          <w:p w14:paraId="33E41C57">
            <w:pPr>
              <w:widowControl w:val="0"/>
              <w:adjustRightInd/>
              <w:snapToGrid/>
              <w:spacing w:after="0"/>
              <w:ind w:right="113"/>
              <w:jc w:val="both"/>
              <w:rPr>
                <w:rFonts w:hint="eastAsia" w:ascii="宋体" w:hAnsi="宋体" w:eastAsia="宋体" w:cs="Times New Roman"/>
                <w:b/>
                <w:kern w:val="2"/>
                <w:sz w:val="21"/>
                <w:szCs w:val="21"/>
              </w:rPr>
            </w:pPr>
            <w:r>
              <w:rPr>
                <w:rFonts w:hint="eastAsia" w:ascii="宋体" w:hAnsi="宋体" w:eastAsia="宋体" w:cs="Times New Roman"/>
                <w:b/>
                <w:kern w:val="2"/>
                <w:sz w:val="21"/>
                <w:szCs w:val="21"/>
              </w:rPr>
              <w:t>评标价计算公式：</w:t>
            </w:r>
          </w:p>
          <w:p w14:paraId="256D9A3E">
            <w:pPr>
              <w:widowControl w:val="0"/>
              <w:adjustRightInd/>
              <w:snapToGrid/>
              <w:spacing w:after="0" w:line="380" w:lineRule="exact"/>
              <w:jc w:val="both"/>
              <w:rPr>
                <w:rFonts w:hint="eastAsia" w:ascii="宋体" w:hAnsi="宋体" w:eastAsia="宋体" w:cs="宋体"/>
                <w:b/>
                <w:bCs/>
                <w:kern w:val="2"/>
                <w:sz w:val="21"/>
                <w:szCs w:val="21"/>
              </w:rPr>
            </w:pPr>
            <w:r>
              <w:rPr>
                <w:rFonts w:hint="eastAsia" w:ascii="宋体" w:hAnsi="宋体" w:eastAsia="宋体" w:cs="Times New Roman"/>
                <w:kern w:val="2"/>
                <w:sz w:val="21"/>
                <w:szCs w:val="21"/>
              </w:rPr>
              <w:t>评标价=投标函文字报价</w:t>
            </w:r>
          </w:p>
        </w:tc>
      </w:tr>
      <w:tr w14:paraId="5443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1B1DB29A">
            <w:pPr>
              <w:widowControl w:val="0"/>
              <w:adjustRightInd/>
              <w:snapToGrid/>
              <w:spacing w:after="0" w:line="380" w:lineRule="exact"/>
              <w:jc w:val="center"/>
              <w:rPr>
                <w:rFonts w:hint="eastAsia" w:ascii="宋体" w:hAnsi="宋体" w:eastAsia="宋体" w:cs="宋体"/>
                <w:kern w:val="2"/>
                <w:sz w:val="21"/>
                <w:szCs w:val="21"/>
              </w:rPr>
            </w:pPr>
            <w:r>
              <w:rPr>
                <w:rFonts w:ascii="宋体" w:hAnsi="宋体" w:eastAsia="宋体" w:cs="宋体"/>
                <w:kern w:val="2"/>
                <w:sz w:val="21"/>
                <w:szCs w:val="21"/>
              </w:rPr>
              <w:t>3</w:t>
            </w:r>
            <w:r>
              <w:rPr>
                <w:rFonts w:hint="eastAsia" w:ascii="宋体" w:hAnsi="宋体" w:eastAsia="宋体" w:cs="宋体"/>
                <w:kern w:val="2"/>
                <w:sz w:val="21"/>
                <w:szCs w:val="21"/>
              </w:rPr>
              <w:t>.2.</w:t>
            </w:r>
            <w:r>
              <w:rPr>
                <w:rFonts w:ascii="宋体" w:hAnsi="宋体" w:eastAsia="宋体" w:cs="宋体"/>
                <w:kern w:val="2"/>
                <w:sz w:val="21"/>
                <w:szCs w:val="21"/>
              </w:rPr>
              <w:t>4</w:t>
            </w:r>
          </w:p>
        </w:tc>
        <w:tc>
          <w:tcPr>
            <w:tcW w:w="1681" w:type="dxa"/>
            <w:tcBorders>
              <w:top w:val="single" w:color="auto" w:sz="4" w:space="0"/>
              <w:left w:val="nil"/>
              <w:bottom w:val="single" w:color="auto" w:sz="4" w:space="0"/>
              <w:right w:val="single" w:color="auto" w:sz="4" w:space="0"/>
            </w:tcBorders>
            <w:vAlign w:val="center"/>
          </w:tcPr>
          <w:p w14:paraId="2C159B86">
            <w:pPr>
              <w:widowControl w:val="0"/>
              <w:adjustRightInd/>
              <w:snapToGrid/>
              <w:spacing w:after="0" w:line="380" w:lineRule="exact"/>
              <w:ind w:left="-140" w:leftChars="-64" w:hanging="1"/>
              <w:jc w:val="center"/>
              <w:rPr>
                <w:rFonts w:hint="eastAsia" w:ascii="宋体" w:hAnsi="宋体" w:eastAsia="宋体" w:cs="宋体"/>
                <w:kern w:val="2"/>
                <w:sz w:val="21"/>
                <w:szCs w:val="21"/>
              </w:rPr>
            </w:pPr>
            <w:r>
              <w:rPr>
                <w:rFonts w:hint="eastAsia" w:ascii="宋体" w:hAnsi="宋体" w:eastAsia="宋体" w:cs="宋体"/>
                <w:kern w:val="2"/>
                <w:sz w:val="21"/>
                <w:szCs w:val="21"/>
              </w:rPr>
              <w:t>通过投标文件第一个信封（商务及技术文件）详细评审的投标人数量</w:t>
            </w:r>
          </w:p>
        </w:tc>
        <w:tc>
          <w:tcPr>
            <w:tcW w:w="7097" w:type="dxa"/>
            <w:tcBorders>
              <w:top w:val="single" w:color="auto" w:sz="4" w:space="0"/>
              <w:left w:val="nil"/>
              <w:bottom w:val="single" w:color="auto" w:sz="4" w:space="0"/>
              <w:right w:val="single" w:color="auto" w:sz="4" w:space="0"/>
            </w:tcBorders>
            <w:vAlign w:val="center"/>
          </w:tcPr>
          <w:p w14:paraId="7C0275CD">
            <w:pPr>
              <w:widowControl w:val="0"/>
              <w:adjustRightInd/>
              <w:snapToGrid/>
              <w:spacing w:after="0" w:line="380" w:lineRule="exact"/>
              <w:jc w:val="both"/>
              <w:rPr>
                <w:rFonts w:hint="eastAsia" w:ascii="宋体" w:hAnsi="宋体" w:eastAsia="宋体" w:cs="宋体"/>
                <w:b/>
                <w:bCs/>
                <w:kern w:val="2"/>
                <w:sz w:val="21"/>
                <w:szCs w:val="21"/>
              </w:rPr>
            </w:pPr>
            <w:r>
              <w:rPr>
                <w:rFonts w:hint="eastAsia" w:ascii="宋体" w:hAnsi="宋体" w:eastAsia="宋体" w:cs="宋体"/>
                <w:b/>
                <w:bCs/>
                <w:kern w:val="2"/>
                <w:sz w:val="21"/>
                <w:szCs w:val="21"/>
              </w:rPr>
              <w:t>按照投标人的商务和技术得分由高到低排序，选择前3名通过详细评审</w:t>
            </w:r>
          </w:p>
        </w:tc>
      </w:tr>
      <w:tr w14:paraId="6357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729D9C34">
            <w:pPr>
              <w:widowControl w:val="0"/>
              <w:adjustRightInd/>
              <w:snapToGrid/>
              <w:spacing w:after="0" w:line="380" w:lineRule="exact"/>
              <w:jc w:val="center"/>
              <w:rPr>
                <w:rFonts w:ascii="宋体" w:hAnsi="宋体" w:eastAsia="宋体" w:cs="宋体"/>
                <w:kern w:val="2"/>
                <w:sz w:val="18"/>
                <w:szCs w:val="18"/>
              </w:rPr>
            </w:pPr>
            <w:r>
              <w:rPr>
                <w:rFonts w:ascii="宋体" w:hAnsi="宋体" w:eastAsia="宋体" w:cs="宋体"/>
                <w:kern w:val="2"/>
                <w:sz w:val="18"/>
                <w:szCs w:val="18"/>
              </w:rPr>
              <w:t>3.4.2-3.4.4</w:t>
            </w:r>
          </w:p>
        </w:tc>
        <w:tc>
          <w:tcPr>
            <w:tcW w:w="1681" w:type="dxa"/>
            <w:tcBorders>
              <w:top w:val="single" w:color="auto" w:sz="4" w:space="0"/>
              <w:left w:val="nil"/>
              <w:bottom w:val="single" w:color="auto" w:sz="4" w:space="0"/>
              <w:right w:val="single" w:color="auto" w:sz="4" w:space="0"/>
            </w:tcBorders>
            <w:vAlign w:val="center"/>
          </w:tcPr>
          <w:p w14:paraId="6E10C04B">
            <w:pPr>
              <w:widowControl w:val="0"/>
              <w:adjustRightInd/>
              <w:snapToGrid/>
              <w:spacing w:after="0" w:line="380" w:lineRule="exact"/>
              <w:jc w:val="center"/>
              <w:rPr>
                <w:rFonts w:hint="eastAsia" w:ascii="宋体" w:hAnsi="宋体" w:eastAsia="宋体" w:cs="宋体"/>
                <w:kern w:val="2"/>
                <w:sz w:val="21"/>
                <w:szCs w:val="21"/>
              </w:rPr>
            </w:pPr>
            <w:r>
              <w:rPr>
                <w:rFonts w:hint="eastAsia" w:ascii="宋体" w:hAnsi="宋体" w:eastAsia="宋体" w:cs="宋体"/>
                <w:kern w:val="2"/>
                <w:sz w:val="21"/>
                <w:szCs w:val="21"/>
              </w:rPr>
              <w:t>投标报价修正</w:t>
            </w:r>
          </w:p>
        </w:tc>
        <w:tc>
          <w:tcPr>
            <w:tcW w:w="7097" w:type="dxa"/>
            <w:tcBorders>
              <w:top w:val="single" w:color="auto" w:sz="4" w:space="0"/>
              <w:left w:val="nil"/>
              <w:bottom w:val="single" w:color="auto" w:sz="4" w:space="0"/>
              <w:right w:val="single" w:color="auto" w:sz="4" w:space="0"/>
            </w:tcBorders>
            <w:vAlign w:val="center"/>
          </w:tcPr>
          <w:p w14:paraId="3A850AF9">
            <w:pPr>
              <w:widowControl w:val="0"/>
              <w:adjustRightInd/>
              <w:snapToGrid/>
              <w:spacing w:after="0" w:line="380" w:lineRule="exact"/>
              <w:jc w:val="both"/>
              <w:rPr>
                <w:rFonts w:hint="eastAsia" w:ascii="宋体" w:hAnsi="宋体" w:eastAsia="宋体" w:cs="宋体"/>
                <w:b/>
                <w:bCs/>
                <w:kern w:val="2"/>
                <w:sz w:val="21"/>
                <w:szCs w:val="21"/>
              </w:rPr>
            </w:pPr>
            <w:r>
              <w:rPr>
                <w:rFonts w:hint="eastAsia" w:ascii="宋体" w:hAnsi="宋体" w:eastAsia="宋体" w:cs="宋体"/>
                <w:b/>
                <w:bCs/>
                <w:kern w:val="2"/>
                <w:sz w:val="21"/>
                <w:szCs w:val="21"/>
              </w:rPr>
              <w:t>不适用</w:t>
            </w:r>
          </w:p>
        </w:tc>
      </w:tr>
      <w:tr w14:paraId="1209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7B46BDC0">
            <w:pPr>
              <w:widowControl w:val="0"/>
              <w:adjustRightInd/>
              <w:snapToGrid/>
              <w:spacing w:after="0"/>
              <w:jc w:val="center"/>
              <w:rPr>
                <w:rFonts w:hint="eastAsia" w:ascii="宋体" w:hAnsi="宋体" w:eastAsia="宋体" w:cs="Times New Roman"/>
                <w:kern w:val="2"/>
                <w:sz w:val="21"/>
              </w:rPr>
            </w:pPr>
            <w:r>
              <w:rPr>
                <w:rFonts w:hint="eastAsia" w:ascii="宋体" w:hAnsi="宋体" w:eastAsia="宋体" w:cs="Times New Roman"/>
                <w:kern w:val="2"/>
                <w:sz w:val="21"/>
              </w:rPr>
              <w:t>3.</w:t>
            </w:r>
            <w:r>
              <w:rPr>
                <w:rFonts w:ascii="宋体" w:hAnsi="宋体" w:eastAsia="宋体" w:cs="Times New Roman"/>
                <w:kern w:val="2"/>
                <w:sz w:val="21"/>
              </w:rPr>
              <w:t>6</w:t>
            </w:r>
            <w:r>
              <w:rPr>
                <w:rFonts w:hint="eastAsia" w:ascii="宋体" w:hAnsi="宋体" w:eastAsia="宋体" w:cs="Times New Roman"/>
                <w:kern w:val="2"/>
                <w:sz w:val="21"/>
              </w:rPr>
              <w:t>.1</w:t>
            </w:r>
          </w:p>
        </w:tc>
        <w:tc>
          <w:tcPr>
            <w:tcW w:w="1681" w:type="dxa"/>
            <w:tcBorders>
              <w:top w:val="single" w:color="auto" w:sz="4" w:space="0"/>
              <w:left w:val="nil"/>
              <w:bottom w:val="single" w:color="auto" w:sz="4" w:space="0"/>
              <w:right w:val="single" w:color="auto" w:sz="4" w:space="0"/>
            </w:tcBorders>
            <w:vAlign w:val="center"/>
          </w:tcPr>
          <w:p w14:paraId="66D3A45E">
            <w:pPr>
              <w:widowControl w:val="0"/>
              <w:adjustRightInd/>
              <w:snapToGrid/>
              <w:spacing w:after="0"/>
              <w:jc w:val="center"/>
              <w:rPr>
                <w:rFonts w:hint="eastAsia" w:ascii="宋体" w:hAnsi="宋体" w:eastAsia="宋体" w:cs="Times New Roman"/>
                <w:kern w:val="2"/>
                <w:sz w:val="21"/>
              </w:rPr>
            </w:pPr>
            <w:r>
              <w:rPr>
                <w:rFonts w:hint="eastAsia" w:ascii="宋体" w:hAnsi="宋体" w:eastAsia="宋体" w:cs="Times New Roman"/>
                <w:kern w:val="2"/>
                <w:sz w:val="21"/>
              </w:rPr>
              <w:t>投标文件相关信息的核查</w:t>
            </w:r>
          </w:p>
        </w:tc>
        <w:tc>
          <w:tcPr>
            <w:tcW w:w="7097" w:type="dxa"/>
            <w:tcBorders>
              <w:top w:val="single" w:color="auto" w:sz="4" w:space="0"/>
              <w:left w:val="nil"/>
              <w:bottom w:val="single" w:color="auto" w:sz="4" w:space="0"/>
              <w:right w:val="single" w:color="auto" w:sz="4" w:space="0"/>
            </w:tcBorders>
            <w:vAlign w:val="center"/>
          </w:tcPr>
          <w:p w14:paraId="519E5446">
            <w:pPr>
              <w:widowControl w:val="0"/>
              <w:adjustRightInd/>
              <w:snapToGrid/>
              <w:spacing w:after="0" w:line="288" w:lineRule="auto"/>
              <w:ind w:firstLine="420" w:firstLineChars="200"/>
              <w:rPr>
                <w:rFonts w:ascii="宋体" w:hAnsi="宋体" w:eastAsia="宋体" w:cs="宋体"/>
                <w:kern w:val="2"/>
                <w:sz w:val="21"/>
                <w:szCs w:val="24"/>
              </w:rPr>
            </w:pPr>
            <w:r>
              <w:rPr>
                <w:rFonts w:hint="eastAsia" w:ascii="宋体" w:hAnsi="宋体" w:eastAsia="宋体" w:cs="宋体"/>
                <w:kern w:val="2"/>
                <w:sz w:val="21"/>
                <w:szCs w:val="24"/>
              </w:rPr>
              <w:t>评标委员会评标时在“国家企业信用信息公示系统”和“信用中国”网站对投标人的信用情况进行查询，若投标人存在“国家企业信用信息公示系统” 被列入严重违法失信名单（黑名单）信息（不含分公司）或在“信用中国”网站“被列入失信被执行人、经营异常名录、重大税收违法失信主体、政府采购严重违法失信行为记录名单（均不含分公司）”情形的，评标委员会应否决其投标。</w:t>
            </w:r>
          </w:p>
          <w:p w14:paraId="17F61272">
            <w:pPr>
              <w:widowControl w:val="0"/>
              <w:adjustRightInd/>
              <w:snapToGrid/>
              <w:spacing w:after="0" w:line="288" w:lineRule="auto"/>
              <w:ind w:firstLine="420" w:firstLineChars="200"/>
              <w:rPr>
                <w:rFonts w:hint="eastAsia" w:ascii="宋体" w:hAnsi="宋体" w:eastAsia="宋体" w:cs="Times New Roman"/>
                <w:kern w:val="2"/>
                <w:sz w:val="21"/>
              </w:rPr>
            </w:pPr>
            <w:r>
              <w:rPr>
                <w:rFonts w:hint="eastAsia" w:ascii="宋体" w:hAnsi="宋体" w:eastAsia="宋体" w:cs="Times New Roman"/>
                <w:kern w:val="2"/>
                <w:sz w:val="21"/>
              </w:rPr>
              <w:t>如投标人未提供相关网页截图复印件或提供网页截图复印件与网上查询结果不一致，评标委员会应否决其投标。</w:t>
            </w:r>
          </w:p>
          <w:p w14:paraId="700022E0">
            <w:pPr>
              <w:widowControl w:val="0"/>
              <w:adjustRightInd/>
              <w:snapToGrid/>
              <w:spacing w:after="0" w:line="288" w:lineRule="auto"/>
              <w:ind w:firstLine="420" w:firstLineChars="200"/>
              <w:rPr>
                <w:rFonts w:ascii="宋体" w:hAnsi="宋体" w:eastAsia="宋体" w:cs="Times New Roman"/>
                <w:kern w:val="2"/>
                <w:sz w:val="21"/>
              </w:rPr>
            </w:pPr>
            <w:r>
              <w:rPr>
                <w:rFonts w:hint="eastAsia" w:ascii="宋体" w:hAnsi="宋体" w:eastAsia="宋体" w:cs="Times New Roman"/>
                <w:kern w:val="2"/>
                <w:sz w:val="21"/>
              </w:rPr>
              <w:t>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7EB9D02F">
            <w:pPr>
              <w:widowControl w:val="0"/>
              <w:adjustRightInd/>
              <w:snapToGrid/>
              <w:spacing w:after="0" w:line="288" w:lineRule="auto"/>
              <w:ind w:firstLine="420" w:firstLineChars="200"/>
              <w:rPr>
                <w:rFonts w:hint="eastAsia" w:ascii="宋体" w:hAnsi="宋体" w:eastAsia="宋体" w:cs="Times New Roman"/>
                <w:kern w:val="2"/>
                <w:sz w:val="21"/>
              </w:rPr>
            </w:pPr>
            <w:r>
              <w:rPr>
                <w:rFonts w:hint="eastAsia" w:ascii="宋体" w:hAnsi="宋体" w:eastAsia="宋体" w:cs="Times New Roman"/>
                <w:kern w:val="2"/>
                <w:sz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处理结果同时报相应政府网站管理部门。</w:t>
            </w:r>
          </w:p>
        </w:tc>
      </w:tr>
      <w:tr w14:paraId="4F09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604" w:type="dxa"/>
            <w:gridSpan w:val="3"/>
            <w:tcBorders>
              <w:top w:val="single" w:color="auto" w:sz="4" w:space="0"/>
              <w:left w:val="single" w:color="auto" w:sz="4" w:space="0"/>
              <w:bottom w:val="single" w:color="auto" w:sz="4" w:space="0"/>
              <w:right w:val="single" w:color="auto" w:sz="4" w:space="0"/>
            </w:tcBorders>
            <w:vAlign w:val="center"/>
          </w:tcPr>
          <w:p w14:paraId="667DF62C">
            <w:pPr>
              <w:widowControl w:val="0"/>
              <w:spacing w:after="0" w:line="300" w:lineRule="exact"/>
              <w:ind w:firstLine="210" w:firstLineChars="100"/>
              <w:rPr>
                <w:rFonts w:hint="eastAsia" w:ascii="宋体" w:hAnsi="宋体" w:eastAsia="宋体" w:cs="Times New Roman"/>
                <w:b/>
                <w:bCs/>
                <w:kern w:val="2"/>
                <w:sz w:val="21"/>
              </w:rPr>
            </w:pPr>
            <w:r>
              <w:rPr>
                <w:rFonts w:hint="eastAsia" w:ascii="宋体" w:hAnsi="宋体" w:eastAsia="宋体" w:cs="宋体"/>
                <w:sz w:val="21"/>
                <w:szCs w:val="21"/>
              </w:rPr>
              <w:t>需要补充的其他内容：</w:t>
            </w:r>
            <w:r>
              <w:rPr>
                <w:rFonts w:hint="eastAsia" w:ascii="宋体" w:hAnsi="宋体" w:eastAsia="宋体" w:cs="Times New Roman"/>
                <w:b/>
                <w:bCs/>
                <w:kern w:val="2"/>
                <w:sz w:val="21"/>
              </w:rPr>
              <w:t xml:space="preserve"> </w:t>
            </w:r>
          </w:p>
        </w:tc>
      </w:tr>
      <w:tr w14:paraId="6A58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04" w:type="dxa"/>
            <w:gridSpan w:val="3"/>
            <w:tcBorders>
              <w:top w:val="single" w:color="auto" w:sz="4" w:space="0"/>
              <w:left w:val="single" w:color="auto" w:sz="4" w:space="0"/>
              <w:bottom w:val="single" w:color="auto" w:sz="4" w:space="0"/>
              <w:right w:val="single" w:color="auto" w:sz="4" w:space="0"/>
            </w:tcBorders>
            <w:vAlign w:val="center"/>
          </w:tcPr>
          <w:p w14:paraId="6B427860">
            <w:pPr>
              <w:widowControl w:val="0"/>
              <w:autoSpaceDE w:val="0"/>
              <w:autoSpaceDN w:val="0"/>
              <w:snapToGrid/>
              <w:spacing w:after="0" w:line="360" w:lineRule="exact"/>
              <w:ind w:left="84" w:leftChars="38" w:firstLine="291" w:firstLineChars="139"/>
              <w:rPr>
                <w:rFonts w:hint="eastAsia" w:ascii="宋体" w:hAnsi="宋体" w:eastAsia="宋体" w:cs="Times New Roman"/>
                <w:sz w:val="21"/>
              </w:rPr>
            </w:pPr>
            <w:r>
              <w:rPr>
                <w:rFonts w:hint="eastAsia" w:ascii="宋体" w:hAnsi="宋体" w:eastAsia="宋体" w:cs="宋体"/>
                <w:sz w:val="21"/>
                <w:szCs w:val="21"/>
              </w:rPr>
              <w:t>无</w:t>
            </w:r>
          </w:p>
        </w:tc>
      </w:tr>
    </w:tbl>
    <w:p w14:paraId="43B406A5">
      <w:pPr>
        <w:widowControl w:val="0"/>
        <w:adjustRightInd/>
        <w:snapToGrid/>
        <w:spacing w:after="0"/>
        <w:jc w:val="both"/>
        <w:rPr>
          <w:rFonts w:hint="eastAsia" w:ascii="Times New Roman" w:hAnsi="Times New Roman" w:eastAsia="宋体" w:cs="Times New Roman"/>
          <w:kern w:val="2"/>
          <w:sz w:val="21"/>
        </w:rPr>
      </w:pPr>
    </w:p>
    <w:p w14:paraId="309977C3">
      <w:pPr>
        <w:widowControl w:val="0"/>
        <w:autoSpaceDE w:val="0"/>
        <w:autoSpaceDN w:val="0"/>
        <w:snapToGrid/>
        <w:spacing w:after="0"/>
        <w:ind w:right="-20"/>
        <w:rPr>
          <w:rFonts w:hint="eastAsia" w:ascii="宋体" w:hAnsi="宋体" w:eastAsia="宋体" w:cs="宋体"/>
          <w:kern w:val="2"/>
          <w:sz w:val="21"/>
        </w:rPr>
      </w:pPr>
      <w:r>
        <w:rPr>
          <w:rFonts w:hint="eastAsia" w:ascii="宋体" w:hAnsi="宋体" w:eastAsia="宋体" w:cs="宋体"/>
          <w:sz w:val="21"/>
          <w:szCs w:val="21"/>
        </w:rPr>
        <w:t>具体评分标准</w:t>
      </w:r>
      <w:r>
        <w:rPr>
          <w:rFonts w:hint="eastAsia" w:ascii="宋体" w:hAnsi="宋体" w:eastAsia="宋体" w:cs="宋体"/>
          <w:kern w:val="2"/>
          <w:sz w:val="21"/>
        </w:rPr>
        <w:t xml:space="preserve"> </w:t>
      </w:r>
    </w:p>
    <w:tbl>
      <w:tblPr>
        <w:tblStyle w:val="4"/>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9"/>
        <w:gridCol w:w="1188"/>
        <w:gridCol w:w="2029"/>
        <w:gridCol w:w="5789"/>
      </w:tblGrid>
      <w:tr w14:paraId="4B36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1777" w:type="dxa"/>
            <w:gridSpan w:val="2"/>
            <w:vAlign w:val="center"/>
          </w:tcPr>
          <w:p w14:paraId="58ECE81A">
            <w:pPr>
              <w:widowControl w:val="0"/>
              <w:adjustRightInd/>
              <w:snapToGrid/>
              <w:spacing w:after="0" w:line="340" w:lineRule="atLeast"/>
              <w:jc w:val="center"/>
              <w:rPr>
                <w:rFonts w:ascii="宋体" w:hAnsi="宋体" w:eastAsia="宋体" w:cs="宋体"/>
                <w:sz w:val="21"/>
                <w:szCs w:val="21"/>
                <w:lang w:eastAsia="en-US"/>
              </w:rPr>
            </w:pPr>
            <w:r>
              <w:rPr>
                <w:rFonts w:hint="eastAsia" w:ascii="宋体" w:hAnsi="宋体" w:eastAsia="宋体" w:cs="宋体"/>
                <w:b/>
                <w:kern w:val="21"/>
                <w:sz w:val="21"/>
                <w:szCs w:val="21"/>
              </w:rPr>
              <w:t>条款号</w:t>
            </w:r>
          </w:p>
        </w:tc>
        <w:tc>
          <w:tcPr>
            <w:tcW w:w="2029" w:type="dxa"/>
            <w:vAlign w:val="center"/>
          </w:tcPr>
          <w:p w14:paraId="2A88317C">
            <w:pPr>
              <w:widowControl w:val="0"/>
              <w:adjustRightInd/>
              <w:snapToGrid/>
              <w:spacing w:after="0" w:line="340" w:lineRule="atLeast"/>
              <w:jc w:val="center"/>
              <w:rPr>
                <w:rFonts w:ascii="宋体" w:hAnsi="宋体" w:eastAsia="宋体" w:cs="宋体"/>
                <w:sz w:val="21"/>
                <w:szCs w:val="21"/>
                <w:lang w:eastAsia="en-US"/>
              </w:rPr>
            </w:pPr>
            <w:r>
              <w:rPr>
                <w:rFonts w:hint="eastAsia" w:ascii="宋体" w:hAnsi="宋体" w:eastAsia="宋体" w:cs="宋体"/>
                <w:b/>
                <w:kern w:val="21"/>
                <w:sz w:val="21"/>
                <w:szCs w:val="21"/>
              </w:rPr>
              <w:t>评分因素（偏差率）</w:t>
            </w:r>
          </w:p>
        </w:tc>
        <w:tc>
          <w:tcPr>
            <w:tcW w:w="5789" w:type="dxa"/>
            <w:vAlign w:val="center"/>
          </w:tcPr>
          <w:p w14:paraId="7C164281">
            <w:pPr>
              <w:widowControl w:val="0"/>
              <w:adjustRightInd/>
              <w:snapToGrid/>
              <w:spacing w:after="0" w:line="340" w:lineRule="atLeast"/>
              <w:jc w:val="center"/>
              <w:rPr>
                <w:rFonts w:ascii="宋体" w:hAnsi="宋体" w:eastAsia="宋体" w:cs="宋体"/>
                <w:kern w:val="2"/>
                <w:sz w:val="21"/>
                <w:szCs w:val="21"/>
              </w:rPr>
            </w:pPr>
            <w:r>
              <w:rPr>
                <w:rFonts w:hint="eastAsia" w:ascii="宋体" w:hAnsi="宋体" w:eastAsia="宋体" w:cs="宋体"/>
                <w:b/>
                <w:kern w:val="21"/>
                <w:sz w:val="21"/>
                <w:szCs w:val="21"/>
              </w:rPr>
              <w:t>评分标准</w:t>
            </w:r>
          </w:p>
        </w:tc>
      </w:tr>
      <w:tr w14:paraId="4DEE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89" w:type="dxa"/>
            <w:vMerge w:val="restart"/>
            <w:vAlign w:val="center"/>
          </w:tcPr>
          <w:p w14:paraId="4D801321">
            <w:pPr>
              <w:widowControl w:val="0"/>
              <w:adjustRightInd/>
              <w:snapToGrid/>
              <w:spacing w:after="0" w:line="340" w:lineRule="atLeast"/>
              <w:jc w:val="center"/>
              <w:rPr>
                <w:rFonts w:ascii="宋体" w:hAnsi="宋体" w:eastAsia="宋体" w:cs="宋体"/>
                <w:kern w:val="2"/>
                <w:sz w:val="21"/>
                <w:szCs w:val="21"/>
              </w:rPr>
            </w:pPr>
            <w:r>
              <w:rPr>
                <w:rFonts w:hint="eastAsia" w:ascii="宋体" w:hAnsi="宋体" w:eastAsia="宋体" w:cs="宋体"/>
                <w:kern w:val="2"/>
                <w:sz w:val="21"/>
                <w:szCs w:val="21"/>
              </w:rPr>
              <w:t>2.2.4</w:t>
            </w:r>
          </w:p>
          <w:p w14:paraId="09F43217">
            <w:pPr>
              <w:widowControl w:val="0"/>
              <w:adjustRightInd/>
              <w:snapToGrid/>
              <w:spacing w:after="0" w:line="340" w:lineRule="atLeast"/>
              <w:jc w:val="center"/>
              <w:rPr>
                <w:rFonts w:ascii="宋体" w:hAnsi="宋体" w:eastAsia="宋体" w:cs="宋体"/>
                <w:kern w:val="2"/>
                <w:sz w:val="21"/>
                <w:szCs w:val="21"/>
              </w:rPr>
            </w:pPr>
            <w:r>
              <w:rPr>
                <w:rFonts w:hint="eastAsia" w:ascii="宋体" w:hAnsi="宋体" w:eastAsia="宋体" w:cs="宋体"/>
                <w:kern w:val="2"/>
                <w:sz w:val="21"/>
                <w:szCs w:val="21"/>
              </w:rPr>
              <w:t>（1）</w:t>
            </w:r>
          </w:p>
        </w:tc>
        <w:tc>
          <w:tcPr>
            <w:tcW w:w="1188" w:type="dxa"/>
            <w:vMerge w:val="restart"/>
            <w:vAlign w:val="center"/>
          </w:tcPr>
          <w:p w14:paraId="67FA9267">
            <w:pPr>
              <w:widowControl w:val="0"/>
              <w:adjustRightInd/>
              <w:snapToGrid/>
              <w:spacing w:after="0" w:line="340" w:lineRule="atLeast"/>
              <w:jc w:val="center"/>
              <w:rPr>
                <w:rFonts w:ascii="宋体" w:hAnsi="宋体" w:eastAsia="宋体" w:cs="宋体"/>
                <w:kern w:val="2"/>
                <w:sz w:val="21"/>
                <w:szCs w:val="21"/>
              </w:rPr>
            </w:pPr>
            <w:r>
              <w:rPr>
                <w:rFonts w:hint="eastAsia" w:ascii="宋体" w:hAnsi="宋体" w:eastAsia="宋体" w:cs="宋体"/>
                <w:kern w:val="2"/>
                <w:sz w:val="21"/>
                <w:szCs w:val="21"/>
              </w:rPr>
              <w:t>商务评分标准（40分）</w:t>
            </w:r>
          </w:p>
        </w:tc>
        <w:tc>
          <w:tcPr>
            <w:tcW w:w="2029" w:type="dxa"/>
            <w:vAlign w:val="center"/>
          </w:tcPr>
          <w:p w14:paraId="43F3CF33">
            <w:pPr>
              <w:widowControl w:val="0"/>
              <w:adjustRightInd/>
              <w:snapToGrid/>
              <w:spacing w:after="0" w:line="340" w:lineRule="atLeast"/>
              <w:jc w:val="center"/>
              <w:rPr>
                <w:rFonts w:ascii="宋体" w:hAnsi="宋体" w:eastAsia="宋体" w:cs="宋体"/>
                <w:kern w:val="2"/>
                <w:sz w:val="21"/>
                <w:szCs w:val="21"/>
              </w:rPr>
            </w:pPr>
            <w:r>
              <w:rPr>
                <w:rFonts w:hint="eastAsia" w:ascii="宋体" w:hAnsi="宋体" w:eastAsia="宋体" w:cs="宋体"/>
                <w:kern w:val="2"/>
                <w:sz w:val="21"/>
                <w:szCs w:val="21"/>
              </w:rPr>
              <w:t>对招标文件商务条款的响应程度（</w:t>
            </w:r>
            <w:r>
              <w:rPr>
                <w:rFonts w:ascii="宋体" w:hAnsi="宋体" w:eastAsia="宋体" w:cs="宋体"/>
                <w:kern w:val="2"/>
                <w:sz w:val="21"/>
                <w:szCs w:val="21"/>
              </w:rPr>
              <w:t>15</w:t>
            </w:r>
            <w:r>
              <w:rPr>
                <w:rFonts w:hint="eastAsia" w:ascii="宋体" w:hAnsi="宋体" w:eastAsia="宋体" w:cs="宋体"/>
                <w:kern w:val="2"/>
                <w:sz w:val="21"/>
                <w:szCs w:val="21"/>
              </w:rPr>
              <w:t>分）</w:t>
            </w:r>
          </w:p>
        </w:tc>
        <w:tc>
          <w:tcPr>
            <w:tcW w:w="5789" w:type="dxa"/>
            <w:vAlign w:val="center"/>
          </w:tcPr>
          <w:p w14:paraId="33819EAB">
            <w:pPr>
              <w:widowControl w:val="0"/>
              <w:adjustRightInd/>
              <w:snapToGrid/>
              <w:spacing w:after="0" w:line="340" w:lineRule="atLeast"/>
              <w:jc w:val="both"/>
              <w:rPr>
                <w:rFonts w:hint="eastAsia" w:ascii="宋体" w:hAnsi="宋体" w:eastAsia="宋体" w:cs="Times New Roman"/>
                <w:kern w:val="2"/>
                <w:sz w:val="21"/>
              </w:rPr>
            </w:pPr>
            <w:r>
              <w:rPr>
                <w:rFonts w:hint="eastAsia" w:ascii="宋体" w:hAnsi="宋体" w:eastAsia="宋体" w:cs="Times New Roman"/>
                <w:kern w:val="2"/>
                <w:sz w:val="21"/>
              </w:rPr>
              <w:t>基本满足招标文件规定的商务条款要求，得</w:t>
            </w:r>
            <w:r>
              <w:rPr>
                <w:rFonts w:ascii="宋体" w:hAnsi="宋体" w:eastAsia="宋体" w:cs="Times New Roman"/>
                <w:kern w:val="2"/>
                <w:sz w:val="21"/>
              </w:rPr>
              <w:t>9</w:t>
            </w:r>
            <w:r>
              <w:rPr>
                <w:rFonts w:hint="eastAsia" w:ascii="宋体" w:hAnsi="宋体" w:eastAsia="宋体" w:cs="Times New Roman"/>
                <w:kern w:val="2"/>
                <w:sz w:val="21"/>
              </w:rPr>
              <w:t>.0分；</w:t>
            </w:r>
          </w:p>
          <w:p w14:paraId="4A0B2BD0">
            <w:pPr>
              <w:widowControl w:val="0"/>
              <w:adjustRightInd/>
              <w:snapToGrid/>
              <w:spacing w:after="0" w:line="340" w:lineRule="atLeast"/>
              <w:jc w:val="both"/>
              <w:rPr>
                <w:rFonts w:hint="eastAsia" w:ascii="宋体" w:hAnsi="宋体" w:eastAsia="宋体" w:cs="Times New Roman"/>
                <w:kern w:val="2"/>
                <w:sz w:val="21"/>
              </w:rPr>
            </w:pPr>
            <w:r>
              <w:rPr>
                <w:rFonts w:hint="eastAsia" w:ascii="宋体" w:hAnsi="宋体" w:eastAsia="宋体" w:cs="Times New Roman"/>
                <w:kern w:val="2"/>
                <w:sz w:val="21"/>
              </w:rPr>
              <w:t>满足招标文件规定的商务条款要求，得</w:t>
            </w:r>
            <w:r>
              <w:rPr>
                <w:rFonts w:ascii="宋体" w:hAnsi="宋体" w:eastAsia="宋体" w:cs="Times New Roman"/>
                <w:kern w:val="2"/>
                <w:sz w:val="21"/>
              </w:rPr>
              <w:t>9.</w:t>
            </w:r>
            <w:r>
              <w:rPr>
                <w:rFonts w:hint="eastAsia" w:ascii="宋体" w:hAnsi="宋体" w:eastAsia="宋体" w:cs="Times New Roman"/>
                <w:kern w:val="2"/>
                <w:sz w:val="21"/>
              </w:rPr>
              <w:t>0～</w:t>
            </w:r>
            <w:r>
              <w:rPr>
                <w:rFonts w:ascii="宋体" w:hAnsi="宋体" w:eastAsia="宋体" w:cs="Times New Roman"/>
                <w:kern w:val="2"/>
                <w:sz w:val="21"/>
              </w:rPr>
              <w:t>12</w:t>
            </w:r>
            <w:r>
              <w:rPr>
                <w:rFonts w:hint="eastAsia" w:ascii="宋体" w:hAnsi="宋体" w:eastAsia="宋体" w:cs="Times New Roman"/>
                <w:kern w:val="2"/>
                <w:sz w:val="21"/>
              </w:rPr>
              <w:t>.0分；</w:t>
            </w:r>
          </w:p>
          <w:p w14:paraId="6C58EF82">
            <w:pPr>
              <w:widowControl w:val="0"/>
              <w:adjustRightInd/>
              <w:snapToGrid/>
              <w:spacing w:after="0" w:line="340" w:lineRule="atLeast"/>
              <w:jc w:val="both"/>
              <w:rPr>
                <w:rFonts w:ascii="宋体" w:hAnsi="宋体" w:eastAsia="宋体" w:cs="Times New Roman"/>
                <w:kern w:val="2"/>
                <w:sz w:val="21"/>
              </w:rPr>
            </w:pPr>
            <w:r>
              <w:rPr>
                <w:rFonts w:hint="eastAsia" w:ascii="宋体" w:hAnsi="宋体" w:eastAsia="宋体" w:cs="Times New Roman"/>
                <w:kern w:val="2"/>
                <w:sz w:val="21"/>
              </w:rPr>
              <w:t>优于招标文件规定的商务条款要求，得</w:t>
            </w:r>
            <w:r>
              <w:rPr>
                <w:rFonts w:ascii="宋体" w:hAnsi="宋体" w:eastAsia="宋体" w:cs="Times New Roman"/>
                <w:kern w:val="2"/>
                <w:sz w:val="21"/>
              </w:rPr>
              <w:t>12.</w:t>
            </w:r>
            <w:r>
              <w:rPr>
                <w:rFonts w:hint="eastAsia" w:ascii="宋体" w:hAnsi="宋体" w:eastAsia="宋体" w:cs="Times New Roman"/>
                <w:kern w:val="2"/>
                <w:sz w:val="21"/>
              </w:rPr>
              <w:t>0～15.0分。</w:t>
            </w:r>
          </w:p>
        </w:tc>
      </w:tr>
      <w:tr w14:paraId="1B49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589" w:type="dxa"/>
            <w:vMerge w:val="continue"/>
            <w:vAlign w:val="center"/>
          </w:tcPr>
          <w:p w14:paraId="39DBF4B3">
            <w:pPr>
              <w:widowControl w:val="0"/>
              <w:adjustRightInd/>
              <w:snapToGrid/>
              <w:spacing w:after="0" w:line="340" w:lineRule="atLeast"/>
              <w:jc w:val="center"/>
              <w:rPr>
                <w:rFonts w:ascii="宋体" w:hAnsi="宋体" w:eastAsia="宋体" w:cs="宋体"/>
                <w:kern w:val="2"/>
                <w:sz w:val="21"/>
                <w:szCs w:val="21"/>
              </w:rPr>
            </w:pPr>
          </w:p>
        </w:tc>
        <w:tc>
          <w:tcPr>
            <w:tcW w:w="1188" w:type="dxa"/>
            <w:vMerge w:val="continue"/>
            <w:vAlign w:val="center"/>
          </w:tcPr>
          <w:p w14:paraId="14EEDB25">
            <w:pPr>
              <w:widowControl w:val="0"/>
              <w:adjustRightInd/>
              <w:snapToGrid/>
              <w:spacing w:after="0" w:line="340" w:lineRule="atLeast"/>
              <w:jc w:val="center"/>
              <w:rPr>
                <w:rFonts w:ascii="宋体" w:hAnsi="宋体" w:eastAsia="宋体" w:cs="宋体"/>
                <w:kern w:val="2"/>
                <w:sz w:val="21"/>
                <w:szCs w:val="21"/>
              </w:rPr>
            </w:pPr>
          </w:p>
        </w:tc>
        <w:tc>
          <w:tcPr>
            <w:tcW w:w="2029" w:type="dxa"/>
            <w:vMerge w:val="restart"/>
            <w:vAlign w:val="center"/>
          </w:tcPr>
          <w:p w14:paraId="009E4F83">
            <w:pPr>
              <w:widowControl w:val="0"/>
              <w:adjustRightInd/>
              <w:snapToGrid/>
              <w:spacing w:after="0" w:line="340" w:lineRule="atLeast"/>
              <w:jc w:val="center"/>
              <w:rPr>
                <w:rFonts w:ascii="宋体" w:hAnsi="宋体" w:eastAsia="宋体" w:cs="宋体"/>
                <w:kern w:val="2"/>
                <w:sz w:val="21"/>
                <w:szCs w:val="21"/>
              </w:rPr>
            </w:pPr>
            <w:r>
              <w:rPr>
                <w:rFonts w:hint="eastAsia" w:ascii="宋体" w:hAnsi="宋体" w:eastAsia="宋体" w:cs="宋体"/>
                <w:kern w:val="2"/>
                <w:sz w:val="21"/>
                <w:szCs w:val="21"/>
              </w:rPr>
              <w:t>供货业绩</w:t>
            </w:r>
          </w:p>
          <w:p w14:paraId="2B626CC0">
            <w:pPr>
              <w:widowControl w:val="0"/>
              <w:adjustRightInd/>
              <w:snapToGrid/>
              <w:spacing w:after="0" w:line="340" w:lineRule="atLeast"/>
              <w:jc w:val="center"/>
              <w:rPr>
                <w:rFonts w:ascii="宋体" w:hAnsi="宋体" w:eastAsia="宋体" w:cs="宋体"/>
                <w:kern w:val="2"/>
                <w:sz w:val="21"/>
                <w:szCs w:val="21"/>
              </w:rPr>
            </w:pPr>
            <w:r>
              <w:rPr>
                <w:rFonts w:hint="eastAsia" w:ascii="宋体" w:hAnsi="宋体" w:eastAsia="宋体" w:cs="宋体"/>
                <w:kern w:val="2"/>
                <w:sz w:val="21"/>
                <w:szCs w:val="21"/>
              </w:rPr>
              <w:t>（</w:t>
            </w:r>
            <w:r>
              <w:rPr>
                <w:rFonts w:ascii="宋体" w:hAnsi="宋体" w:eastAsia="宋体" w:cs="宋体"/>
                <w:kern w:val="2"/>
                <w:sz w:val="21"/>
                <w:szCs w:val="21"/>
              </w:rPr>
              <w:t>2</w:t>
            </w:r>
            <w:r>
              <w:rPr>
                <w:rFonts w:hint="eastAsia" w:ascii="宋体" w:hAnsi="宋体" w:eastAsia="宋体" w:cs="宋体"/>
                <w:kern w:val="2"/>
                <w:sz w:val="21"/>
                <w:szCs w:val="21"/>
              </w:rPr>
              <w:t>5分）</w:t>
            </w:r>
          </w:p>
        </w:tc>
        <w:tc>
          <w:tcPr>
            <w:tcW w:w="5789" w:type="dxa"/>
            <w:vAlign w:val="center"/>
          </w:tcPr>
          <w:p w14:paraId="0E6EC8D3">
            <w:pPr>
              <w:widowControl w:val="0"/>
              <w:adjustRightInd/>
              <w:snapToGrid/>
              <w:spacing w:after="0" w:line="340" w:lineRule="atLeast"/>
              <w:jc w:val="both"/>
              <w:rPr>
                <w:rFonts w:hint="eastAsia" w:ascii="宋体" w:hAnsi="宋体" w:eastAsia="宋体" w:cs="宋体"/>
                <w:kern w:val="2"/>
                <w:sz w:val="21"/>
                <w:szCs w:val="21"/>
              </w:rPr>
            </w:pPr>
            <w:r>
              <w:rPr>
                <w:rFonts w:hint="eastAsia" w:ascii="宋体" w:hAnsi="宋体" w:eastAsia="宋体" w:cs="宋体"/>
                <w:kern w:val="2"/>
                <w:sz w:val="21"/>
                <w:szCs w:val="21"/>
              </w:rPr>
              <w:t>满足资格审查条件(业绩最低要求)得</w:t>
            </w:r>
            <w:r>
              <w:rPr>
                <w:rFonts w:ascii="宋体" w:hAnsi="宋体" w:eastAsia="宋体" w:cs="宋体"/>
                <w:kern w:val="2"/>
                <w:sz w:val="21"/>
                <w:szCs w:val="21"/>
              </w:rPr>
              <w:t>15</w:t>
            </w:r>
            <w:r>
              <w:rPr>
                <w:rFonts w:hint="eastAsia" w:ascii="宋体" w:hAnsi="宋体" w:eastAsia="宋体" w:cs="宋体"/>
                <w:kern w:val="2"/>
                <w:sz w:val="21"/>
                <w:szCs w:val="21"/>
              </w:rPr>
              <w:t>分；</w:t>
            </w:r>
          </w:p>
        </w:tc>
      </w:tr>
      <w:tr w14:paraId="0EE5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589" w:type="dxa"/>
            <w:vMerge w:val="continue"/>
            <w:vAlign w:val="center"/>
          </w:tcPr>
          <w:p w14:paraId="04278C8F">
            <w:pPr>
              <w:widowControl w:val="0"/>
              <w:adjustRightInd/>
              <w:snapToGrid/>
              <w:spacing w:after="0" w:line="340" w:lineRule="atLeast"/>
              <w:jc w:val="center"/>
              <w:rPr>
                <w:rFonts w:ascii="宋体" w:hAnsi="宋体" w:eastAsia="宋体" w:cs="宋体"/>
                <w:kern w:val="2"/>
                <w:sz w:val="21"/>
                <w:szCs w:val="21"/>
              </w:rPr>
            </w:pPr>
          </w:p>
        </w:tc>
        <w:tc>
          <w:tcPr>
            <w:tcW w:w="1188" w:type="dxa"/>
            <w:vMerge w:val="continue"/>
            <w:vAlign w:val="center"/>
          </w:tcPr>
          <w:p w14:paraId="169258A7">
            <w:pPr>
              <w:widowControl w:val="0"/>
              <w:adjustRightInd/>
              <w:snapToGrid/>
              <w:spacing w:after="0" w:line="340" w:lineRule="atLeast"/>
              <w:jc w:val="center"/>
              <w:rPr>
                <w:rFonts w:ascii="宋体" w:hAnsi="宋体" w:eastAsia="宋体" w:cs="宋体"/>
                <w:kern w:val="2"/>
                <w:sz w:val="21"/>
                <w:szCs w:val="21"/>
              </w:rPr>
            </w:pPr>
          </w:p>
        </w:tc>
        <w:tc>
          <w:tcPr>
            <w:tcW w:w="2029" w:type="dxa"/>
            <w:vMerge w:val="continue"/>
            <w:vAlign w:val="center"/>
          </w:tcPr>
          <w:p w14:paraId="6830369E">
            <w:pPr>
              <w:widowControl w:val="0"/>
              <w:adjustRightInd/>
              <w:snapToGrid/>
              <w:spacing w:after="0" w:line="340" w:lineRule="atLeast"/>
              <w:jc w:val="center"/>
              <w:rPr>
                <w:rFonts w:ascii="宋体" w:hAnsi="宋体" w:eastAsia="宋体" w:cs="宋体"/>
                <w:kern w:val="2"/>
                <w:sz w:val="21"/>
                <w:szCs w:val="21"/>
              </w:rPr>
            </w:pPr>
          </w:p>
        </w:tc>
        <w:tc>
          <w:tcPr>
            <w:tcW w:w="5789" w:type="dxa"/>
            <w:vAlign w:val="center"/>
          </w:tcPr>
          <w:p w14:paraId="5C23880C">
            <w:pPr>
              <w:widowControl w:val="0"/>
              <w:adjustRightInd/>
              <w:snapToGrid/>
              <w:spacing w:after="0" w:line="300" w:lineRule="auto"/>
              <w:jc w:val="both"/>
              <w:rPr>
                <w:rFonts w:hint="eastAsia" w:ascii="宋体" w:hAnsi="宋体" w:eastAsia="宋体" w:cs="Times New Roman"/>
                <w:kern w:val="2"/>
                <w:sz w:val="21"/>
                <w:szCs w:val="21"/>
              </w:rPr>
            </w:pPr>
            <w:r>
              <w:rPr>
                <w:rFonts w:hint="eastAsia" w:ascii="宋体" w:hAnsi="宋体" w:eastAsia="宋体" w:cs="宋体"/>
                <w:kern w:val="2"/>
                <w:sz w:val="21"/>
                <w:szCs w:val="21"/>
                <w:shd w:val="clear" w:color="auto" w:fill="FFFFFF"/>
              </w:rPr>
              <w:t>近3年内(2021年11月1日至今，以合同签订时间为准)</w:t>
            </w:r>
            <w:r>
              <w:rPr>
                <w:rFonts w:hint="eastAsia" w:ascii="宋体" w:hAnsi="宋体" w:eastAsia="宋体" w:cs="宋体"/>
                <w:kern w:val="2"/>
                <w:sz w:val="21"/>
                <w:szCs w:val="21"/>
              </w:rPr>
              <w:t>，</w:t>
            </w:r>
            <w:r>
              <w:rPr>
                <w:rFonts w:hint="eastAsia" w:ascii="宋体" w:hAnsi="宋体" w:eastAsia="宋体" w:cs="Times New Roman"/>
                <w:kern w:val="2"/>
                <w:sz w:val="21"/>
                <w:szCs w:val="21"/>
              </w:rPr>
              <w:t>每增加1台所投品牌消防车的供货业绩加1分，最多加</w:t>
            </w:r>
            <w:r>
              <w:rPr>
                <w:rFonts w:ascii="宋体" w:hAnsi="宋体" w:eastAsia="宋体" w:cs="Times New Roman"/>
                <w:kern w:val="2"/>
                <w:sz w:val="21"/>
                <w:szCs w:val="21"/>
              </w:rPr>
              <w:t>10</w:t>
            </w:r>
            <w:r>
              <w:rPr>
                <w:rFonts w:hint="eastAsia" w:ascii="宋体" w:hAnsi="宋体" w:eastAsia="宋体" w:cs="Times New Roman"/>
                <w:kern w:val="2"/>
                <w:sz w:val="21"/>
                <w:szCs w:val="21"/>
              </w:rPr>
              <w:t>分。</w:t>
            </w:r>
          </w:p>
        </w:tc>
      </w:tr>
      <w:tr w14:paraId="7773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1" w:hRule="atLeast"/>
          <w:jc w:val="center"/>
        </w:trPr>
        <w:tc>
          <w:tcPr>
            <w:tcW w:w="589" w:type="dxa"/>
            <w:vMerge w:val="restart"/>
            <w:vAlign w:val="center"/>
          </w:tcPr>
          <w:p w14:paraId="6C2E1E0D">
            <w:pPr>
              <w:widowControl w:val="0"/>
              <w:adjustRightInd/>
              <w:snapToGrid/>
              <w:spacing w:after="0" w:line="340" w:lineRule="atLeast"/>
              <w:jc w:val="center"/>
              <w:rPr>
                <w:rFonts w:ascii="宋体" w:hAnsi="宋体" w:eastAsia="宋体" w:cs="宋体"/>
                <w:kern w:val="2"/>
                <w:sz w:val="21"/>
                <w:szCs w:val="21"/>
              </w:rPr>
            </w:pPr>
            <w:r>
              <w:rPr>
                <w:rFonts w:hint="eastAsia" w:ascii="宋体" w:hAnsi="宋体" w:eastAsia="宋体" w:cs="宋体"/>
                <w:kern w:val="2"/>
                <w:sz w:val="21"/>
                <w:szCs w:val="21"/>
              </w:rPr>
              <w:t>2.2.4</w:t>
            </w:r>
          </w:p>
          <w:p w14:paraId="14059A9A">
            <w:pPr>
              <w:widowControl w:val="0"/>
              <w:adjustRightInd/>
              <w:snapToGrid/>
              <w:spacing w:after="0" w:line="340" w:lineRule="atLeast"/>
              <w:jc w:val="center"/>
              <w:rPr>
                <w:rFonts w:ascii="宋体" w:hAnsi="宋体" w:eastAsia="宋体" w:cs="宋体"/>
                <w:kern w:val="2"/>
                <w:sz w:val="21"/>
                <w:szCs w:val="21"/>
              </w:rPr>
            </w:pPr>
            <w:r>
              <w:rPr>
                <w:rFonts w:hint="eastAsia" w:ascii="宋体" w:hAnsi="宋体" w:eastAsia="宋体" w:cs="宋体"/>
                <w:kern w:val="2"/>
                <w:sz w:val="21"/>
                <w:szCs w:val="21"/>
              </w:rPr>
              <w:t>（2）</w:t>
            </w:r>
          </w:p>
        </w:tc>
        <w:tc>
          <w:tcPr>
            <w:tcW w:w="1188" w:type="dxa"/>
            <w:vMerge w:val="restart"/>
            <w:vAlign w:val="center"/>
          </w:tcPr>
          <w:p w14:paraId="0ECC1CFF">
            <w:pPr>
              <w:widowControl w:val="0"/>
              <w:adjustRightInd/>
              <w:snapToGrid/>
              <w:spacing w:after="0" w:line="340" w:lineRule="atLeast"/>
              <w:jc w:val="center"/>
              <w:rPr>
                <w:rFonts w:ascii="宋体" w:hAnsi="宋体" w:eastAsia="宋体" w:cs="宋体"/>
                <w:kern w:val="2"/>
                <w:sz w:val="21"/>
                <w:szCs w:val="21"/>
              </w:rPr>
            </w:pPr>
            <w:r>
              <w:rPr>
                <w:rFonts w:hint="eastAsia" w:ascii="宋体" w:hAnsi="宋体" w:eastAsia="宋体" w:cs="宋体"/>
                <w:kern w:val="2"/>
                <w:sz w:val="21"/>
                <w:szCs w:val="21"/>
              </w:rPr>
              <w:t>技术评分（供货方案）标准（60分）</w:t>
            </w:r>
          </w:p>
        </w:tc>
        <w:tc>
          <w:tcPr>
            <w:tcW w:w="2029" w:type="dxa"/>
            <w:vAlign w:val="center"/>
          </w:tcPr>
          <w:p w14:paraId="2DAC0DDF">
            <w:pPr>
              <w:widowControl w:val="0"/>
              <w:adjustRightInd/>
              <w:snapToGrid/>
              <w:spacing w:after="0" w:line="340" w:lineRule="atLeast"/>
              <w:jc w:val="center"/>
              <w:rPr>
                <w:rFonts w:ascii="宋体" w:hAnsi="宋体" w:eastAsia="宋体" w:cs="宋体"/>
                <w:kern w:val="2"/>
                <w:sz w:val="21"/>
                <w:szCs w:val="21"/>
              </w:rPr>
            </w:pPr>
            <w:r>
              <w:rPr>
                <w:rFonts w:hint="eastAsia" w:ascii="宋体" w:hAnsi="宋体" w:eastAsia="宋体" w:cs="Times New Roman"/>
                <w:kern w:val="2"/>
                <w:sz w:val="21"/>
              </w:rPr>
              <w:t>对投标设备整体评价（25分）</w:t>
            </w:r>
          </w:p>
        </w:tc>
        <w:tc>
          <w:tcPr>
            <w:tcW w:w="5789" w:type="dxa"/>
            <w:vAlign w:val="center"/>
          </w:tcPr>
          <w:p w14:paraId="5D8367BA">
            <w:pPr>
              <w:widowControl w:val="0"/>
              <w:adjustRightInd/>
              <w:snapToGrid/>
              <w:spacing w:after="0" w:line="340" w:lineRule="atLeast"/>
              <w:jc w:val="both"/>
              <w:rPr>
                <w:rFonts w:hint="eastAsia" w:ascii="宋体" w:hAnsi="宋体" w:eastAsia="宋体" w:cs="Times New Roman"/>
                <w:kern w:val="2"/>
                <w:sz w:val="21"/>
              </w:rPr>
            </w:pPr>
            <w:r>
              <w:rPr>
                <w:rFonts w:hint="eastAsia" w:ascii="宋体" w:hAnsi="宋体" w:eastAsia="宋体" w:cs="Times New Roman"/>
                <w:kern w:val="2"/>
                <w:sz w:val="21"/>
              </w:rPr>
              <w:t>满足招标文件要求，设备整体性能一般，得12.0分；</w:t>
            </w:r>
          </w:p>
          <w:p w14:paraId="73D006BF">
            <w:pPr>
              <w:widowControl w:val="0"/>
              <w:adjustRightInd/>
              <w:snapToGrid/>
              <w:spacing w:after="0" w:line="340" w:lineRule="atLeast"/>
              <w:jc w:val="both"/>
              <w:rPr>
                <w:rFonts w:hint="eastAsia" w:ascii="宋体" w:hAnsi="宋体" w:eastAsia="宋体" w:cs="Times New Roman"/>
                <w:kern w:val="2"/>
                <w:sz w:val="21"/>
              </w:rPr>
            </w:pPr>
            <w:r>
              <w:rPr>
                <w:rFonts w:hint="eastAsia" w:ascii="宋体" w:hAnsi="宋体" w:eastAsia="宋体" w:cs="Times New Roman"/>
                <w:kern w:val="2"/>
                <w:sz w:val="21"/>
              </w:rPr>
              <w:t>满足招标文件要求，设备整体性能较好，得12.1-16.0分；</w:t>
            </w:r>
          </w:p>
          <w:p w14:paraId="5321A9A7">
            <w:pPr>
              <w:widowControl w:val="0"/>
              <w:adjustRightInd/>
              <w:snapToGrid/>
              <w:spacing w:after="0" w:line="340" w:lineRule="atLeast"/>
              <w:jc w:val="both"/>
              <w:rPr>
                <w:rFonts w:ascii="宋体" w:hAnsi="宋体" w:eastAsia="宋体" w:cs="Times New Roman"/>
                <w:kern w:val="2"/>
                <w:sz w:val="21"/>
              </w:rPr>
            </w:pPr>
            <w:r>
              <w:rPr>
                <w:rFonts w:hint="eastAsia" w:ascii="宋体" w:hAnsi="宋体" w:eastAsia="宋体" w:cs="Times New Roman"/>
                <w:kern w:val="2"/>
                <w:sz w:val="21"/>
              </w:rPr>
              <w:t>优于招标文件要求，设备整体性能优越，得16.1-20.0分。</w:t>
            </w:r>
          </w:p>
        </w:tc>
      </w:tr>
      <w:tr w14:paraId="323A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589" w:type="dxa"/>
            <w:vMerge w:val="continue"/>
            <w:vAlign w:val="center"/>
          </w:tcPr>
          <w:p w14:paraId="5F51FFFA">
            <w:pPr>
              <w:widowControl w:val="0"/>
              <w:adjustRightInd/>
              <w:snapToGrid/>
              <w:spacing w:after="0" w:line="340" w:lineRule="atLeast"/>
              <w:jc w:val="center"/>
              <w:rPr>
                <w:rFonts w:ascii="宋体" w:hAnsi="宋体" w:eastAsia="宋体" w:cs="宋体"/>
                <w:kern w:val="2"/>
                <w:sz w:val="21"/>
                <w:szCs w:val="21"/>
              </w:rPr>
            </w:pPr>
          </w:p>
        </w:tc>
        <w:tc>
          <w:tcPr>
            <w:tcW w:w="1188" w:type="dxa"/>
            <w:vMerge w:val="continue"/>
            <w:vAlign w:val="center"/>
          </w:tcPr>
          <w:p w14:paraId="27394301">
            <w:pPr>
              <w:widowControl w:val="0"/>
              <w:adjustRightInd/>
              <w:snapToGrid/>
              <w:spacing w:after="0" w:line="340" w:lineRule="atLeast"/>
              <w:jc w:val="both"/>
              <w:rPr>
                <w:rFonts w:ascii="宋体" w:hAnsi="宋体" w:eastAsia="宋体" w:cs="宋体"/>
                <w:kern w:val="2"/>
                <w:sz w:val="21"/>
                <w:szCs w:val="21"/>
              </w:rPr>
            </w:pPr>
          </w:p>
        </w:tc>
        <w:tc>
          <w:tcPr>
            <w:tcW w:w="2029" w:type="dxa"/>
            <w:vAlign w:val="center"/>
          </w:tcPr>
          <w:p w14:paraId="27AC3DAC">
            <w:pPr>
              <w:widowControl w:val="0"/>
              <w:adjustRightInd/>
              <w:snapToGrid/>
              <w:spacing w:after="0" w:line="340" w:lineRule="atLeast"/>
              <w:jc w:val="center"/>
              <w:rPr>
                <w:rFonts w:ascii="宋体" w:hAnsi="宋体" w:eastAsia="宋体" w:cs="宋体"/>
                <w:kern w:val="2"/>
                <w:sz w:val="21"/>
                <w:szCs w:val="21"/>
              </w:rPr>
            </w:pPr>
            <w:r>
              <w:rPr>
                <w:rFonts w:hint="eastAsia" w:ascii="宋体" w:hAnsi="宋体" w:eastAsia="宋体" w:cs="Times New Roman"/>
                <w:spacing w:val="12"/>
                <w:kern w:val="2"/>
                <w:sz w:val="21"/>
                <w:szCs w:val="21"/>
              </w:rPr>
              <w:t>投标设备技术性能指标的响应程度（25分）</w:t>
            </w:r>
          </w:p>
        </w:tc>
        <w:tc>
          <w:tcPr>
            <w:tcW w:w="5789" w:type="dxa"/>
            <w:vAlign w:val="center"/>
          </w:tcPr>
          <w:p w14:paraId="4945A37B">
            <w:pPr>
              <w:widowControl w:val="0"/>
              <w:adjustRightInd/>
              <w:snapToGrid/>
              <w:spacing w:after="0" w:line="340" w:lineRule="atLeast"/>
              <w:jc w:val="both"/>
              <w:rPr>
                <w:rFonts w:hint="eastAsia" w:ascii="宋体" w:hAnsi="宋体" w:eastAsia="宋体" w:cs="Times New Roman"/>
                <w:kern w:val="2"/>
                <w:sz w:val="21"/>
              </w:rPr>
            </w:pPr>
            <w:r>
              <w:rPr>
                <w:rFonts w:hint="eastAsia" w:ascii="宋体" w:hAnsi="宋体" w:eastAsia="宋体" w:cs="Times New Roman"/>
                <w:kern w:val="2"/>
                <w:sz w:val="21"/>
              </w:rPr>
              <w:t>满足招标文件主要技术要求，性能一般，质量一般，得15.0分；</w:t>
            </w:r>
          </w:p>
          <w:p w14:paraId="760475BD">
            <w:pPr>
              <w:widowControl w:val="0"/>
              <w:adjustRightInd/>
              <w:snapToGrid/>
              <w:spacing w:after="0" w:line="340" w:lineRule="atLeast"/>
              <w:jc w:val="both"/>
              <w:rPr>
                <w:rFonts w:hint="eastAsia" w:ascii="宋体" w:hAnsi="宋体" w:eastAsia="宋体" w:cs="Times New Roman"/>
                <w:kern w:val="2"/>
                <w:sz w:val="21"/>
              </w:rPr>
            </w:pPr>
            <w:r>
              <w:rPr>
                <w:rFonts w:hint="eastAsia" w:ascii="宋体" w:hAnsi="宋体" w:eastAsia="宋体" w:cs="Times New Roman"/>
                <w:kern w:val="2"/>
                <w:sz w:val="21"/>
              </w:rPr>
              <w:t>满足招标文件主要技术要求，性能较高，质量较好，得15.0～20.0分；</w:t>
            </w:r>
          </w:p>
          <w:p w14:paraId="6909B3E5">
            <w:pPr>
              <w:widowControl w:val="0"/>
              <w:adjustRightInd/>
              <w:snapToGrid/>
              <w:spacing w:after="0" w:line="340" w:lineRule="atLeast"/>
              <w:jc w:val="both"/>
              <w:rPr>
                <w:rFonts w:ascii="宋体" w:hAnsi="宋体" w:eastAsia="宋体" w:cs="Times New Roman"/>
                <w:kern w:val="2"/>
                <w:sz w:val="21"/>
              </w:rPr>
            </w:pPr>
            <w:r>
              <w:rPr>
                <w:rFonts w:hint="eastAsia" w:ascii="宋体" w:hAnsi="宋体" w:eastAsia="宋体" w:cs="Times New Roman"/>
                <w:kern w:val="2"/>
                <w:sz w:val="21"/>
              </w:rPr>
              <w:t>优于招标文件主要技术要求，性能高，质量好，得20.0～25.0分。</w:t>
            </w:r>
          </w:p>
        </w:tc>
      </w:tr>
      <w:tr w14:paraId="3EE2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589" w:type="dxa"/>
            <w:vMerge w:val="continue"/>
            <w:vAlign w:val="center"/>
          </w:tcPr>
          <w:p w14:paraId="6F127E13">
            <w:pPr>
              <w:widowControl w:val="0"/>
              <w:adjustRightInd/>
              <w:snapToGrid/>
              <w:spacing w:after="0" w:line="340" w:lineRule="atLeast"/>
              <w:jc w:val="center"/>
              <w:rPr>
                <w:rFonts w:ascii="宋体" w:hAnsi="宋体" w:eastAsia="宋体" w:cs="宋体"/>
                <w:kern w:val="2"/>
                <w:sz w:val="21"/>
                <w:szCs w:val="21"/>
              </w:rPr>
            </w:pPr>
          </w:p>
        </w:tc>
        <w:tc>
          <w:tcPr>
            <w:tcW w:w="1188" w:type="dxa"/>
            <w:vMerge w:val="continue"/>
            <w:vAlign w:val="center"/>
          </w:tcPr>
          <w:p w14:paraId="7B627DCB">
            <w:pPr>
              <w:widowControl w:val="0"/>
              <w:adjustRightInd/>
              <w:snapToGrid/>
              <w:spacing w:after="0" w:line="340" w:lineRule="atLeast"/>
              <w:jc w:val="both"/>
              <w:rPr>
                <w:rFonts w:ascii="宋体" w:hAnsi="宋体" w:eastAsia="宋体" w:cs="宋体"/>
                <w:kern w:val="2"/>
                <w:sz w:val="21"/>
                <w:szCs w:val="21"/>
              </w:rPr>
            </w:pPr>
          </w:p>
        </w:tc>
        <w:tc>
          <w:tcPr>
            <w:tcW w:w="2029" w:type="dxa"/>
            <w:vAlign w:val="center"/>
          </w:tcPr>
          <w:p w14:paraId="1284DE20">
            <w:pPr>
              <w:widowControl w:val="0"/>
              <w:adjustRightInd/>
              <w:snapToGrid/>
              <w:spacing w:after="0" w:line="340" w:lineRule="atLeast"/>
              <w:jc w:val="center"/>
              <w:rPr>
                <w:rFonts w:hint="eastAsia" w:ascii="宋体" w:hAnsi="宋体" w:eastAsia="宋体" w:cs="宋体"/>
                <w:kern w:val="2"/>
                <w:sz w:val="21"/>
                <w:szCs w:val="21"/>
              </w:rPr>
            </w:pPr>
            <w:r>
              <w:rPr>
                <w:rFonts w:hint="eastAsia" w:ascii="宋体" w:hAnsi="宋体" w:eastAsia="宋体" w:cs="Times New Roman"/>
                <w:spacing w:val="12"/>
                <w:kern w:val="2"/>
                <w:sz w:val="21"/>
                <w:szCs w:val="21"/>
              </w:rPr>
              <w:t>技术服务和质保期服务能力的评价（10分）</w:t>
            </w:r>
          </w:p>
        </w:tc>
        <w:tc>
          <w:tcPr>
            <w:tcW w:w="5789" w:type="dxa"/>
            <w:vAlign w:val="center"/>
          </w:tcPr>
          <w:p w14:paraId="322099A2">
            <w:pPr>
              <w:widowControl w:val="0"/>
              <w:adjustRightInd/>
              <w:snapToGrid/>
              <w:spacing w:after="0" w:line="340" w:lineRule="atLeast"/>
              <w:jc w:val="both"/>
              <w:rPr>
                <w:rFonts w:hint="eastAsia" w:ascii="宋体" w:hAnsi="宋体" w:eastAsia="宋体" w:cs="Times New Roman"/>
                <w:spacing w:val="12"/>
                <w:kern w:val="2"/>
                <w:sz w:val="21"/>
                <w:szCs w:val="21"/>
              </w:rPr>
            </w:pPr>
            <w:r>
              <w:rPr>
                <w:rFonts w:hint="eastAsia" w:ascii="宋体" w:hAnsi="宋体" w:eastAsia="宋体" w:cs="Times New Roman"/>
                <w:spacing w:val="12"/>
                <w:kern w:val="2"/>
                <w:sz w:val="21"/>
                <w:szCs w:val="21"/>
              </w:rPr>
              <w:t>技术服务能力、维保能力一般，优惠政策一般、保养检测等售后服务一般，得6.0分；</w:t>
            </w:r>
          </w:p>
          <w:p w14:paraId="26A2B2AD">
            <w:pPr>
              <w:widowControl w:val="0"/>
              <w:adjustRightInd/>
              <w:snapToGrid/>
              <w:spacing w:after="0" w:line="340" w:lineRule="atLeast"/>
              <w:jc w:val="both"/>
              <w:rPr>
                <w:rFonts w:hint="eastAsia" w:ascii="宋体" w:hAnsi="宋体" w:eastAsia="宋体" w:cs="Times New Roman"/>
                <w:spacing w:val="12"/>
                <w:kern w:val="2"/>
                <w:sz w:val="21"/>
                <w:szCs w:val="21"/>
              </w:rPr>
            </w:pPr>
            <w:r>
              <w:rPr>
                <w:rFonts w:hint="eastAsia" w:ascii="宋体" w:hAnsi="宋体" w:eastAsia="宋体" w:cs="Times New Roman"/>
                <w:spacing w:val="12"/>
                <w:kern w:val="2"/>
                <w:sz w:val="21"/>
                <w:szCs w:val="21"/>
              </w:rPr>
              <w:t>技术服务能力、维保能力较强，优惠政策较好、有较好的保养检测等售后服务，得6.1-8.0分；</w:t>
            </w:r>
          </w:p>
          <w:p w14:paraId="3E4204B3">
            <w:pPr>
              <w:widowControl w:val="0"/>
              <w:adjustRightInd/>
              <w:snapToGrid/>
              <w:spacing w:after="0" w:line="340" w:lineRule="atLeast"/>
              <w:jc w:val="both"/>
              <w:rPr>
                <w:rFonts w:hint="eastAsia" w:ascii="宋体" w:hAnsi="宋体" w:eastAsia="宋体" w:cs="Times New Roman"/>
                <w:kern w:val="2"/>
                <w:sz w:val="21"/>
              </w:rPr>
            </w:pPr>
            <w:r>
              <w:rPr>
                <w:rFonts w:hint="eastAsia" w:ascii="宋体" w:hAnsi="宋体" w:eastAsia="宋体" w:cs="Times New Roman"/>
                <w:spacing w:val="12"/>
                <w:kern w:val="2"/>
                <w:sz w:val="21"/>
                <w:szCs w:val="21"/>
              </w:rPr>
              <w:t>技术服务能力、维保能力强，优惠政策好、有良好的保养检测等售后服务，得8.1-10.0。</w:t>
            </w:r>
          </w:p>
        </w:tc>
      </w:tr>
    </w:tbl>
    <w:p w14:paraId="2A1CB1AC">
      <w:pPr>
        <w:widowControl w:val="0"/>
        <w:snapToGrid/>
        <w:spacing w:after="0" w:line="288"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注：1.评委打分保留一位小数，各评分因素得分应以评标委员会各成员的打分平均值确定，保留两位小数，第三位四舍五入。</w:t>
      </w:r>
    </w:p>
    <w:p w14:paraId="30DB25F3">
      <w:r>
        <w:rPr>
          <w:rFonts w:hint="eastAsia" w:ascii="宋体" w:hAnsi="宋体" w:eastAsia="宋体" w:cs="宋体"/>
          <w:kern w:val="2"/>
          <w:sz w:val="21"/>
          <w:szCs w:val="21"/>
        </w:rPr>
        <w:t>2.技术部分评分因素缺项则该项得0分。</w:t>
      </w:r>
    </w:p>
    <w:sectPr>
      <w:footerReference r:id="rId6" w:type="first"/>
      <w:footerReference r:id="rId5" w:type="default"/>
      <w:pgSz w:w="11906" w:h="16838"/>
      <w:pgMar w:top="1418" w:right="1418" w:bottom="1418"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611E">
    <w:pPr>
      <w:autoSpaceDE w:val="0"/>
      <w:autoSpaceDN w:val="0"/>
      <w:spacing w:line="200" w:lineRule="exact"/>
      <w:rPr>
        <w:sz w:val="20"/>
        <w:szCs w:val="20"/>
      </w:rPr>
    </w:pPr>
    <w:r>
      <w:rPr>
        <w:sz w:val="20"/>
      </w:rPr>
      <w:pict>
        <v:shape id="文本框 8" o:spid="_x0000_s5123" o:spt="202" type="#_x0000_t202" style="position:absolute;left:0pt;margin-top:0pt;height:11pt;width:4.6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4F41C7B">
                <w:pPr>
                  <w:rPr>
                    <w:rStyle w:val="6"/>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EC936">
    <w:pPr>
      <w:pStyle w:val="2"/>
      <w:jc w:val="center"/>
    </w:pPr>
    <w:r>
      <w:pict>
        <v:shape id="文本框 7" o:spid="_x0000_s5124" o:spt="202" type="#_x0000_t202" style="position:absolute;left:0pt;margin-top:0pt;height:11pt;width:4.6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E3576A3">
                <w:pPr>
                  <w:pStyle w:val="2"/>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hdrShapeDefaults>
    <o:shapelayout v:ext="edit">
      <o:idmap v:ext="edit" data="5"/>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OWYyZDYxNTJjZmI2NmVkYTMyOWVjMGFiZjEzZGM5NjgifQ=="/>
  </w:docVars>
  <w:rsids>
    <w:rsidRoot w:val="00D31D50"/>
    <w:rsid w:val="00023E45"/>
    <w:rsid w:val="00134CBE"/>
    <w:rsid w:val="001C3EAC"/>
    <w:rsid w:val="00220D05"/>
    <w:rsid w:val="00316B35"/>
    <w:rsid w:val="00323B43"/>
    <w:rsid w:val="003D37D8"/>
    <w:rsid w:val="00426133"/>
    <w:rsid w:val="004358AB"/>
    <w:rsid w:val="008B7726"/>
    <w:rsid w:val="008F24D4"/>
    <w:rsid w:val="00A266C7"/>
    <w:rsid w:val="00D31D50"/>
    <w:rsid w:val="00EC2055"/>
    <w:rsid w:val="00FB661A"/>
    <w:rsid w:val="5616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styleId="6">
    <w:name w:val="page number"/>
    <w:uiPriority w:val="0"/>
  </w:style>
  <w:style w:type="character" w:customStyle="1" w:styleId="7">
    <w:name w:val="页眉 Char"/>
    <w:basedOn w:val="5"/>
    <w:link w:val="3"/>
    <w:semiHidden/>
    <w:uiPriority w:val="99"/>
    <w:rPr>
      <w:rFonts w:ascii="Tahoma" w:hAnsi="Tahoma"/>
      <w:sz w:val="18"/>
      <w:szCs w:val="18"/>
    </w:rPr>
  </w:style>
  <w:style w:type="character" w:customStyle="1" w:styleId="8">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5123"/>
    <customShpInfo spid="_x0000_s512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4555</Words>
  <Characters>4949</Characters>
  <Lines>37</Lines>
  <Paragraphs>10</Paragraphs>
  <TotalTime>3</TotalTime>
  <ScaleCrop>false</ScaleCrop>
  <LinksUpToDate>false</LinksUpToDate>
  <CharactersWithSpaces>4998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李娜</cp:lastModifiedBy>
  <dcterms:modified xsi:type="dcterms:W3CDTF">2024-11-07T01:18:29Z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34F46CD9DA8E4218904404AAC570B908_12</vt:lpwstr>
  </property>
</Properties>
</file>