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71804">
      <w:pPr>
        <w:pStyle w:val="3"/>
        <w:snapToGrid w:val="0"/>
        <w:spacing w:before="156" w:beforeLines="50" w:after="156" w:afterLines="50" w:line="240" w:lineRule="auto"/>
        <w:ind w:firstLine="643"/>
        <w:rPr>
          <w:highlight w:val="none"/>
        </w:rPr>
      </w:pPr>
      <w:bookmarkStart w:id="0" w:name="_Toc141783236"/>
      <w:bookmarkStart w:id="1" w:name="_Toc20133"/>
      <w:bookmarkStart w:id="2" w:name="_Toc174353952"/>
      <w:bookmarkStart w:id="3" w:name="_Toc146320977"/>
      <w:bookmarkStart w:id="4" w:name="_Toc146029310"/>
      <w:bookmarkStart w:id="5" w:name="_Hlk174456298"/>
      <w:bookmarkStart w:id="6" w:name="_Hlk174345859"/>
      <w:bookmarkStart w:id="7" w:name="_Hlk174465980"/>
      <w:r>
        <w:rPr>
          <w:rFonts w:hint="eastAsia" w:ascii="宋体" w:hAnsi="宋体"/>
          <w:sz w:val="24"/>
          <w:szCs w:val="24"/>
          <w:highlight w:val="none"/>
        </w:rPr>
        <w:t>附件</w:t>
      </w:r>
      <w:r>
        <w:rPr>
          <w:rFonts w:ascii="宋体" w:hAnsi="宋体"/>
          <w:sz w:val="24"/>
          <w:szCs w:val="24"/>
          <w:highlight w:val="none"/>
        </w:rPr>
        <w:t>1</w:t>
      </w:r>
      <w:r>
        <w:rPr>
          <w:rFonts w:hint="eastAsia" w:ascii="宋体" w:hAnsi="宋体"/>
          <w:sz w:val="24"/>
          <w:szCs w:val="24"/>
          <w:highlight w:val="none"/>
        </w:rPr>
        <w:t>：资格审查条件</w:t>
      </w:r>
      <w:bookmarkEnd w:id="0"/>
      <w:bookmarkEnd w:id="1"/>
      <w:bookmarkEnd w:id="2"/>
      <w:bookmarkEnd w:id="3"/>
      <w:bookmarkEnd w:id="4"/>
    </w:p>
    <w:p w14:paraId="39D0AAF2">
      <w:pPr>
        <w:ind w:firstLine="420"/>
        <w:jc w:val="center"/>
        <w:rPr>
          <w:highlight w:val="none"/>
        </w:rPr>
      </w:pPr>
      <w:bookmarkStart w:id="8" w:name="_Hlk174347707"/>
    </w:p>
    <w:p w14:paraId="1D55CD65">
      <w:pPr>
        <w:ind w:firstLine="482"/>
        <w:jc w:val="center"/>
        <w:rPr>
          <w:rFonts w:ascii="宋体" w:hAnsi="宋体"/>
          <w:b/>
          <w:sz w:val="24"/>
          <w:szCs w:val="24"/>
          <w:highlight w:val="none"/>
        </w:rPr>
      </w:pPr>
      <w:r>
        <w:rPr>
          <w:rFonts w:hint="eastAsia" w:ascii="宋体" w:hAnsi="宋体"/>
          <w:b/>
          <w:sz w:val="24"/>
          <w:szCs w:val="24"/>
          <w:highlight w:val="none"/>
        </w:rPr>
        <w:t>附录1  资格审查条件（资质最低要求）</w:t>
      </w:r>
    </w:p>
    <w:p w14:paraId="2727C22E">
      <w:pPr>
        <w:ind w:firstLine="482"/>
        <w:jc w:val="center"/>
        <w:rPr>
          <w:rFonts w:ascii="宋体" w:hAnsi="宋体"/>
          <w:b/>
          <w:sz w:val="24"/>
          <w:szCs w:val="24"/>
          <w:highlight w:val="none"/>
        </w:rPr>
      </w:pPr>
    </w:p>
    <w:tbl>
      <w:tblPr>
        <w:tblStyle w:val="5"/>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FC3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5BBAFF1B">
            <w:pPr>
              <w:ind w:firstLine="420"/>
              <w:jc w:val="center"/>
              <w:rPr>
                <w:rFonts w:ascii="宋体" w:hAnsi="宋体"/>
                <w:szCs w:val="21"/>
                <w:highlight w:val="none"/>
              </w:rPr>
            </w:pPr>
            <w:r>
              <w:rPr>
                <w:rFonts w:hint="eastAsia" w:ascii="宋体" w:hAnsi="宋体"/>
                <w:szCs w:val="21"/>
                <w:highlight w:val="none"/>
              </w:rPr>
              <w:t>资质等级要求</w:t>
            </w:r>
          </w:p>
        </w:tc>
      </w:tr>
      <w:tr w14:paraId="1505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8642" w:type="dxa"/>
            <w:vAlign w:val="center"/>
          </w:tcPr>
          <w:p w14:paraId="0C905A95">
            <w:pPr>
              <w:autoSpaceDE w:val="0"/>
              <w:autoSpaceDN w:val="0"/>
              <w:adjustRightInd w:val="0"/>
              <w:spacing w:line="440" w:lineRule="exact"/>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生产商：</w:t>
            </w:r>
            <w:r>
              <w:rPr>
                <w:rFonts w:hint="eastAsia" w:ascii="宋体" w:hAnsi="宋体" w:cs="宋体"/>
                <w:highlight w:val="none"/>
              </w:rPr>
              <w:t>投标人应为在中华人民共和国境内合法注册、具有独立法人资格、持有有效的营业执照的</w:t>
            </w:r>
            <w:r>
              <w:rPr>
                <w:rFonts w:hint="eastAsia" w:ascii="宋体" w:hAnsi="宋体" w:cs="宋体"/>
                <w:highlight w:val="none"/>
                <w:lang w:val="en-US" w:eastAsia="zh-CN"/>
              </w:rPr>
              <w:t>生产商</w:t>
            </w:r>
            <w:r>
              <w:rPr>
                <w:rFonts w:hint="eastAsia" w:ascii="宋体" w:hAnsi="宋体" w:cs="宋体"/>
                <w:highlight w:val="none"/>
                <w:lang w:eastAsia="zh-CN"/>
              </w:rPr>
              <w:t>；</w:t>
            </w:r>
            <w:r>
              <w:rPr>
                <w:rFonts w:hint="eastAsia" w:ascii="宋体" w:hAnsi="宋体" w:cs="宋体"/>
                <w:highlight w:val="none"/>
                <w:lang w:val="en-US" w:eastAsia="zh-CN"/>
              </w:rPr>
              <w:t>具备中国气象局颁发的“公路交通气象观测站”气象专用技术装备使用许可证。</w:t>
            </w:r>
          </w:p>
          <w:p w14:paraId="43274354">
            <w:pPr>
              <w:autoSpaceDE w:val="0"/>
              <w:autoSpaceDN w:val="0"/>
              <w:adjustRightInd w:val="0"/>
              <w:spacing w:line="440" w:lineRule="exact"/>
              <w:ind w:firstLine="420" w:firstLineChars="200"/>
              <w:rPr>
                <w:rFonts w:hint="eastAsia"/>
                <w:highlight w:val="none"/>
                <w:lang w:val="en-US" w:eastAsia="zh-CN"/>
              </w:rPr>
            </w:pPr>
            <w:r>
              <w:rPr>
                <w:rFonts w:hint="eastAsia" w:ascii="宋体" w:hAnsi="宋体" w:cs="宋体"/>
                <w:color w:val="auto"/>
                <w:highlight w:val="none"/>
                <w:lang w:val="en-US" w:eastAsia="zh-CN"/>
              </w:rPr>
              <w:t>代理商：</w:t>
            </w:r>
            <w:r>
              <w:rPr>
                <w:rFonts w:hint="eastAsia" w:ascii="宋体" w:hAnsi="宋体" w:cs="宋体"/>
                <w:color w:val="auto"/>
                <w:highlight w:val="none"/>
              </w:rPr>
              <w:t>投标人应为在中华人民共和国境内合法注册、具有独立法人资格、持有有效的营业执照代理商，且具有</w:t>
            </w:r>
            <w:r>
              <w:rPr>
                <w:rFonts w:hint="eastAsia" w:ascii="宋体" w:hAnsi="宋体" w:cs="宋体"/>
                <w:highlight w:val="none"/>
                <w:lang w:val="en-US" w:eastAsia="zh-CN"/>
              </w:rPr>
              <w:t>生产商</w:t>
            </w:r>
            <w:r>
              <w:rPr>
                <w:rFonts w:hint="eastAsia" w:ascii="宋体" w:hAnsi="宋体" w:cs="宋体"/>
                <w:color w:val="auto"/>
                <w:highlight w:val="none"/>
              </w:rPr>
              <w:t>出具的针对本招标项目所投设备的唯一授权书，且该</w:t>
            </w:r>
            <w:r>
              <w:rPr>
                <w:rFonts w:hint="eastAsia" w:ascii="宋体" w:hAnsi="宋体" w:cs="宋体"/>
                <w:highlight w:val="none"/>
                <w:lang w:val="en-US" w:eastAsia="zh-CN"/>
              </w:rPr>
              <w:t>生产商</w:t>
            </w:r>
            <w:r>
              <w:rPr>
                <w:rFonts w:hint="eastAsia" w:ascii="宋体" w:hAnsi="宋体" w:cs="宋体"/>
                <w:color w:val="auto"/>
                <w:highlight w:val="none"/>
              </w:rPr>
              <w:t>满足前述关于“</w:t>
            </w:r>
            <w:r>
              <w:rPr>
                <w:rFonts w:hint="eastAsia" w:ascii="宋体" w:hAnsi="宋体" w:cs="宋体"/>
                <w:highlight w:val="none"/>
                <w:lang w:val="en-US" w:eastAsia="zh-CN"/>
              </w:rPr>
              <w:t>生产商</w:t>
            </w:r>
            <w:r>
              <w:rPr>
                <w:rFonts w:hint="eastAsia" w:ascii="宋体" w:hAnsi="宋体" w:cs="宋体"/>
                <w:color w:val="auto"/>
                <w:highlight w:val="none"/>
              </w:rPr>
              <w:t>”的要求。</w:t>
            </w:r>
          </w:p>
        </w:tc>
      </w:tr>
    </w:tbl>
    <w:p w14:paraId="4F65D029">
      <w:pPr>
        <w:ind w:firstLine="480"/>
        <w:rPr>
          <w:rFonts w:ascii="宋体" w:hAnsi="宋体"/>
          <w:sz w:val="24"/>
          <w:szCs w:val="24"/>
          <w:highlight w:val="none"/>
        </w:rPr>
      </w:pPr>
    </w:p>
    <w:p w14:paraId="1953BDD4">
      <w:pPr>
        <w:ind w:firstLine="480"/>
        <w:rPr>
          <w:rFonts w:ascii="宋体" w:hAnsi="宋体"/>
          <w:sz w:val="24"/>
          <w:szCs w:val="24"/>
          <w:highlight w:val="none"/>
        </w:rPr>
      </w:pPr>
    </w:p>
    <w:p w14:paraId="7EFD151F">
      <w:pPr>
        <w:ind w:firstLine="482"/>
        <w:jc w:val="center"/>
        <w:rPr>
          <w:rFonts w:ascii="宋体" w:hAnsi="宋体"/>
          <w:b/>
          <w:sz w:val="24"/>
          <w:szCs w:val="24"/>
          <w:highlight w:val="none"/>
        </w:rPr>
      </w:pPr>
      <w:r>
        <w:rPr>
          <w:rFonts w:hint="eastAsia" w:ascii="宋体" w:hAnsi="宋体"/>
          <w:b/>
          <w:sz w:val="24"/>
          <w:szCs w:val="24"/>
          <w:highlight w:val="none"/>
        </w:rPr>
        <w:t>附录2  资格审查条件（业绩最低要求）</w:t>
      </w:r>
    </w:p>
    <w:p w14:paraId="330A52D0">
      <w:pPr>
        <w:ind w:firstLine="482"/>
        <w:jc w:val="center"/>
        <w:rPr>
          <w:rFonts w:ascii="宋体" w:hAnsi="宋体"/>
          <w:b/>
          <w:sz w:val="24"/>
          <w:szCs w:val="24"/>
          <w:highlight w:val="none"/>
        </w:rPr>
      </w:pPr>
    </w:p>
    <w:tbl>
      <w:tblPr>
        <w:tblStyle w:val="5"/>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50EB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2A8DE33B">
            <w:pPr>
              <w:ind w:firstLine="420"/>
              <w:jc w:val="center"/>
              <w:rPr>
                <w:rFonts w:ascii="宋体" w:hAnsi="宋体"/>
                <w:szCs w:val="21"/>
                <w:highlight w:val="none"/>
              </w:rPr>
            </w:pPr>
            <w:r>
              <w:rPr>
                <w:rFonts w:hint="eastAsia" w:ascii="宋体" w:hAnsi="宋体"/>
                <w:szCs w:val="21"/>
                <w:highlight w:val="none"/>
              </w:rPr>
              <w:t>业绩要求</w:t>
            </w:r>
          </w:p>
        </w:tc>
      </w:tr>
      <w:tr w14:paraId="5A48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14:paraId="1AE4F753">
            <w:pPr>
              <w:autoSpaceDE w:val="0"/>
              <w:autoSpaceDN w:val="0"/>
              <w:adjustRightInd w:val="0"/>
              <w:spacing w:line="440" w:lineRule="exact"/>
              <w:ind w:firstLine="420" w:firstLineChars="200"/>
              <w:rPr>
                <w:rFonts w:hint="default" w:ascii="宋体" w:hAnsi="宋体" w:eastAsia="宋体"/>
                <w:szCs w:val="21"/>
                <w:highlight w:val="none"/>
                <w:lang w:val="en-US" w:eastAsia="zh-CN"/>
              </w:rPr>
            </w:pPr>
            <w:r>
              <w:rPr>
                <w:rFonts w:hint="eastAsia" w:ascii="宋体" w:hAnsi="宋体" w:cs="宋体"/>
                <w:color w:val="auto"/>
                <w:highlight w:val="none"/>
              </w:rPr>
              <w:t>投标人近五年（</w:t>
            </w:r>
            <w:r>
              <w:rPr>
                <w:rFonts w:hint="eastAsia" w:ascii="宋体" w:hAnsi="宋体" w:cs="宋体"/>
                <w:color w:val="auto"/>
                <w:highlight w:val="none"/>
                <w:lang w:eastAsia="zh-CN"/>
              </w:rPr>
              <w:t>2019年1</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月1日</w:t>
            </w:r>
            <w:r>
              <w:rPr>
                <w:rFonts w:hint="eastAsia" w:ascii="宋体" w:hAnsi="宋体" w:cs="宋体"/>
                <w:color w:val="auto"/>
                <w:highlight w:val="none"/>
              </w:rPr>
              <w:t>至今，以合同签订时间为准）至少具有</w:t>
            </w:r>
            <w:r>
              <w:rPr>
                <w:rFonts w:hint="eastAsia" w:ascii="宋体" w:hAnsi="宋体" w:cs="宋体"/>
                <w:color w:val="auto"/>
                <w:highlight w:val="none"/>
                <w:lang w:val="en-US" w:eastAsia="zh-CN"/>
              </w:rPr>
              <w:t>1</w:t>
            </w:r>
            <w:r>
              <w:rPr>
                <w:rFonts w:hint="eastAsia" w:ascii="宋体" w:hAnsi="宋体" w:cs="宋体"/>
                <w:color w:val="auto"/>
                <w:highlight w:val="none"/>
              </w:rPr>
              <w:t>项</w:t>
            </w:r>
            <w:r>
              <w:rPr>
                <w:rFonts w:hint="eastAsia" w:ascii="宋体" w:hAnsi="宋体" w:cs="宋体"/>
                <w:color w:val="auto"/>
                <w:highlight w:val="none"/>
                <w:lang w:eastAsia="zh-CN"/>
              </w:rPr>
              <w:t>合同金额不少于</w:t>
            </w:r>
            <w:r>
              <w:rPr>
                <w:rFonts w:hint="eastAsia" w:ascii="宋体" w:hAnsi="宋体" w:cs="宋体"/>
                <w:color w:val="auto"/>
                <w:highlight w:val="none"/>
                <w:lang w:val="en-US" w:eastAsia="zh-CN"/>
              </w:rPr>
              <w:t>500万元的</w:t>
            </w:r>
            <w:r>
              <w:rPr>
                <w:rFonts w:hint="eastAsia" w:ascii="宋体" w:hAnsi="宋体" w:cs="宋体"/>
                <w:color w:val="auto"/>
                <w:szCs w:val="21"/>
                <w:highlight w:val="none"/>
                <w:lang w:eastAsia="zh-CN"/>
              </w:rPr>
              <w:t>气象设备</w:t>
            </w:r>
            <w:r>
              <w:rPr>
                <w:rFonts w:hint="eastAsia" w:ascii="宋体" w:hAnsi="宋体" w:cs="宋体"/>
                <w:color w:val="auto"/>
                <w:szCs w:val="21"/>
                <w:highlight w:val="none"/>
                <w:lang w:val="en-US" w:eastAsia="zh-CN"/>
              </w:rPr>
              <w:t>供货</w:t>
            </w:r>
            <w:r>
              <w:rPr>
                <w:rFonts w:hint="eastAsia" w:ascii="宋体" w:hAnsi="宋体" w:cs="宋体"/>
                <w:color w:val="auto"/>
                <w:szCs w:val="21"/>
                <w:highlight w:val="none"/>
                <w:lang w:eastAsia="zh-CN"/>
              </w:rPr>
              <w:t>类</w:t>
            </w:r>
            <w:r>
              <w:rPr>
                <w:rFonts w:hint="eastAsia" w:ascii="宋体" w:hAnsi="宋体" w:cs="宋体"/>
                <w:color w:val="auto"/>
                <w:szCs w:val="21"/>
                <w:highlight w:val="none"/>
              </w:rPr>
              <w:t>项目</w:t>
            </w:r>
            <w:r>
              <w:rPr>
                <w:rFonts w:hint="eastAsia" w:ascii="宋体" w:hAnsi="宋体" w:cs="宋体"/>
                <w:color w:val="auto"/>
                <w:highlight w:val="none"/>
              </w:rPr>
              <w:t>业绩</w:t>
            </w:r>
            <w:r>
              <w:rPr>
                <w:rFonts w:hint="eastAsia" w:ascii="宋体" w:hAnsi="宋体" w:cs="宋体"/>
                <w:color w:val="auto"/>
                <w:highlight w:val="none"/>
                <w:lang w:eastAsia="zh-CN"/>
              </w:rPr>
              <w:t>。</w:t>
            </w:r>
          </w:p>
        </w:tc>
      </w:tr>
    </w:tbl>
    <w:p w14:paraId="4780A691">
      <w:pPr>
        <w:ind w:firstLine="480"/>
        <w:rPr>
          <w:rFonts w:ascii="宋体" w:hAnsi="宋体"/>
          <w:sz w:val="24"/>
          <w:szCs w:val="24"/>
          <w:highlight w:val="none"/>
        </w:rPr>
      </w:pPr>
      <w:r>
        <w:rPr>
          <w:rFonts w:hint="eastAsia" w:ascii="宋体" w:hAnsi="宋体"/>
          <w:color w:val="000000"/>
          <w:szCs w:val="21"/>
          <w:highlight w:val="none"/>
        </w:rPr>
        <w:t>注：</w:t>
      </w:r>
      <w:bookmarkStart w:id="9" w:name="_Hlk167799518"/>
      <w:r>
        <w:rPr>
          <w:rFonts w:ascii="宋体" w:hAnsi="宋体"/>
          <w:color w:val="000000"/>
          <w:szCs w:val="21"/>
          <w:highlight w:val="none"/>
          <w:shd w:val="clear" w:color="auto" w:fill="FFFFFF"/>
        </w:rPr>
        <w:t>代理商</w:t>
      </w:r>
      <w:r>
        <w:rPr>
          <w:rFonts w:hint="eastAsia" w:ascii="宋体" w:hAnsi="宋体"/>
          <w:color w:val="000000"/>
          <w:szCs w:val="21"/>
          <w:highlight w:val="none"/>
          <w:shd w:val="clear" w:color="auto" w:fill="FFFFFF"/>
        </w:rPr>
        <w:t>和</w:t>
      </w:r>
      <w:r>
        <w:rPr>
          <w:rFonts w:hint="eastAsia" w:ascii="宋体" w:hAnsi="宋体" w:cs="宋体"/>
          <w:highlight w:val="none"/>
          <w:lang w:val="en-US" w:eastAsia="zh-CN"/>
        </w:rPr>
        <w:t>生产商</w:t>
      </w:r>
      <w:r>
        <w:rPr>
          <w:rFonts w:hint="eastAsia" w:ascii="宋体" w:hAnsi="宋体"/>
          <w:color w:val="000000"/>
          <w:szCs w:val="21"/>
          <w:highlight w:val="none"/>
          <w:shd w:val="clear" w:color="auto" w:fill="FFFFFF"/>
        </w:rPr>
        <w:t>的业绩可互用，以上业绩不包含</w:t>
      </w:r>
      <w:r>
        <w:rPr>
          <w:rFonts w:hint="eastAsia" w:ascii="宋体" w:hAnsi="宋体" w:cs="宋体"/>
          <w:highlight w:val="none"/>
          <w:lang w:val="en-US" w:eastAsia="zh-CN"/>
        </w:rPr>
        <w:t>生产商</w:t>
      </w:r>
      <w:r>
        <w:rPr>
          <w:rFonts w:hint="eastAsia" w:ascii="宋体" w:hAnsi="宋体"/>
          <w:color w:val="000000"/>
          <w:szCs w:val="21"/>
          <w:highlight w:val="none"/>
          <w:shd w:val="clear" w:color="auto" w:fill="FFFFFF"/>
        </w:rPr>
        <w:t>和代理商签订的合同</w:t>
      </w:r>
      <w:bookmarkEnd w:id="9"/>
      <w:r>
        <w:rPr>
          <w:rFonts w:hint="eastAsia" w:ascii="宋体" w:hAnsi="宋体"/>
          <w:color w:val="000000"/>
          <w:szCs w:val="21"/>
          <w:highlight w:val="none"/>
        </w:rPr>
        <w:t>。</w:t>
      </w:r>
    </w:p>
    <w:p w14:paraId="2C366A41">
      <w:pPr>
        <w:ind w:firstLine="480"/>
        <w:rPr>
          <w:rFonts w:ascii="宋体" w:hAnsi="宋体"/>
          <w:sz w:val="24"/>
          <w:szCs w:val="24"/>
          <w:highlight w:val="none"/>
        </w:rPr>
      </w:pPr>
    </w:p>
    <w:p w14:paraId="7D998E5C">
      <w:pPr>
        <w:ind w:firstLine="482"/>
        <w:jc w:val="center"/>
        <w:rPr>
          <w:rFonts w:ascii="宋体" w:hAnsi="宋体"/>
          <w:b/>
          <w:sz w:val="24"/>
          <w:szCs w:val="24"/>
          <w:highlight w:val="none"/>
        </w:rPr>
      </w:pPr>
      <w:r>
        <w:rPr>
          <w:rFonts w:hint="eastAsia" w:ascii="宋体" w:hAnsi="宋体"/>
          <w:b/>
          <w:sz w:val="24"/>
          <w:szCs w:val="24"/>
          <w:highlight w:val="none"/>
        </w:rPr>
        <w:t>附录3  资格审查条件（信誉最低要求）</w:t>
      </w:r>
    </w:p>
    <w:p w14:paraId="0B7E66FE">
      <w:pPr>
        <w:ind w:firstLine="482"/>
        <w:jc w:val="center"/>
        <w:rPr>
          <w:rFonts w:ascii="宋体" w:hAnsi="宋体"/>
          <w:b/>
          <w:sz w:val="24"/>
          <w:szCs w:val="24"/>
          <w:highlight w:val="none"/>
        </w:rPr>
      </w:pPr>
    </w:p>
    <w:tbl>
      <w:tblPr>
        <w:tblStyle w:val="5"/>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6F1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2845F65C">
            <w:pPr>
              <w:ind w:firstLine="420"/>
              <w:jc w:val="center"/>
              <w:rPr>
                <w:rFonts w:ascii="宋体" w:hAnsi="宋体"/>
                <w:szCs w:val="21"/>
                <w:highlight w:val="none"/>
              </w:rPr>
            </w:pPr>
            <w:r>
              <w:rPr>
                <w:rFonts w:hint="eastAsia" w:ascii="宋体" w:hAnsi="宋体"/>
                <w:szCs w:val="21"/>
                <w:highlight w:val="none"/>
              </w:rPr>
              <w:t>信誉要求</w:t>
            </w:r>
          </w:p>
        </w:tc>
      </w:tr>
      <w:tr w14:paraId="5BFC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1FE323C7">
            <w:pPr>
              <w:snapToGrid w:val="0"/>
              <w:spacing w:line="440" w:lineRule="exact"/>
              <w:ind w:firstLine="420" w:firstLineChars="200"/>
              <w:rPr>
                <w:rFonts w:hint="default" w:ascii="宋体" w:hAnsi="宋体" w:eastAsia="宋体"/>
                <w:szCs w:val="21"/>
                <w:highlight w:val="none"/>
                <w:lang w:val="en-US" w:eastAsia="zh-CN"/>
              </w:rPr>
            </w:pPr>
            <w:r>
              <w:rPr>
                <w:rFonts w:hint="eastAsia" w:ascii="宋体" w:hAnsi="宋体" w:cs="宋体"/>
                <w:szCs w:val="21"/>
                <w:highlight w:val="none"/>
              </w:rPr>
              <w:t>投标人近</w:t>
            </w:r>
            <w:r>
              <w:rPr>
                <w:rFonts w:hint="eastAsia" w:ascii="宋体" w:hAnsi="宋体" w:cs="宋体"/>
                <w:szCs w:val="21"/>
                <w:highlight w:val="none"/>
                <w:lang w:eastAsia="zh-CN"/>
              </w:rPr>
              <w:t>一</w:t>
            </w:r>
            <w:r>
              <w:rPr>
                <w:rFonts w:hint="eastAsia" w:ascii="宋体" w:hAnsi="宋体" w:cs="宋体"/>
                <w:szCs w:val="21"/>
                <w:highlight w:val="none"/>
              </w:rPr>
              <w:t>年（2023年</w:t>
            </w:r>
            <w:r>
              <w:rPr>
                <w:rFonts w:hint="eastAsia" w:ascii="宋体" w:hAnsi="宋体" w:cs="宋体"/>
                <w:szCs w:val="21"/>
                <w:highlight w:val="none"/>
                <w:lang w:val="en-US" w:eastAsia="zh-CN"/>
              </w:rPr>
              <w:t>11</w:t>
            </w:r>
            <w:r>
              <w:rPr>
                <w:rFonts w:hint="eastAsia" w:ascii="宋体" w:hAnsi="宋体" w:cs="宋体"/>
                <w:szCs w:val="21"/>
                <w:highlight w:val="none"/>
              </w:rPr>
              <w:t>月1日至今）不曾在</w:t>
            </w:r>
            <w:r>
              <w:rPr>
                <w:rFonts w:hint="eastAsia" w:ascii="宋体" w:hAnsi="宋体" w:cs="宋体"/>
                <w:szCs w:val="21"/>
                <w:highlight w:val="none"/>
                <w:lang w:eastAsia="zh-CN"/>
              </w:rPr>
              <w:t>气象</w:t>
            </w:r>
            <w:r>
              <w:rPr>
                <w:rFonts w:hint="eastAsia" w:ascii="宋体" w:hAnsi="宋体"/>
                <w:kern w:val="2"/>
                <w:sz w:val="21"/>
                <w:szCs w:val="24"/>
                <w:highlight w:val="none"/>
                <w:lang w:eastAsia="zh-CN"/>
              </w:rPr>
              <w:t>设备供货</w:t>
            </w:r>
            <w:r>
              <w:rPr>
                <w:rFonts w:hint="eastAsia" w:ascii="宋体" w:hAnsi="宋体"/>
                <w:kern w:val="2"/>
                <w:sz w:val="21"/>
                <w:szCs w:val="24"/>
                <w:highlight w:val="none"/>
              </w:rPr>
              <w:t>项目</w:t>
            </w:r>
            <w:r>
              <w:rPr>
                <w:rFonts w:hint="eastAsia" w:ascii="宋体" w:hAnsi="宋体" w:cs="宋体"/>
                <w:szCs w:val="21"/>
                <w:highlight w:val="none"/>
              </w:rPr>
              <w:t>中违约而被驱逐或因投标人自身的原因而使</w:t>
            </w:r>
            <w:r>
              <w:rPr>
                <w:rFonts w:hint="eastAsia" w:ascii="宋体" w:hAnsi="宋体" w:cs="宋体"/>
                <w:szCs w:val="21"/>
                <w:highlight w:val="none"/>
                <w:lang w:eastAsia="zh-CN"/>
              </w:rPr>
              <w:t>气象设备供货</w:t>
            </w:r>
            <w:r>
              <w:rPr>
                <w:rFonts w:hint="eastAsia" w:ascii="宋体" w:hAnsi="宋体" w:cs="宋体"/>
                <w:szCs w:val="21"/>
                <w:highlight w:val="none"/>
              </w:rPr>
              <w:t>项目合同被解除</w:t>
            </w:r>
            <w:r>
              <w:rPr>
                <w:rFonts w:hint="eastAsia" w:ascii="宋体" w:hAnsi="宋体" w:cs="宋体"/>
                <w:szCs w:val="21"/>
                <w:highlight w:val="none"/>
                <w:lang w:val="en-US" w:eastAsia="zh-CN"/>
              </w:rPr>
              <w:t>。</w:t>
            </w:r>
          </w:p>
        </w:tc>
      </w:tr>
    </w:tbl>
    <w:p w14:paraId="758D639F">
      <w:pPr>
        <w:pStyle w:val="3"/>
        <w:snapToGrid w:val="0"/>
        <w:spacing w:before="156" w:beforeLines="50" w:after="156" w:afterLines="50" w:line="240" w:lineRule="auto"/>
        <w:rPr>
          <w:rFonts w:hint="eastAsia" w:ascii="宋体" w:hAnsi="宋体"/>
          <w:sz w:val="24"/>
          <w:szCs w:val="24"/>
          <w:highlight w:val="none"/>
        </w:rPr>
      </w:pPr>
      <w:bookmarkStart w:id="10" w:name="_Toc146320978"/>
      <w:bookmarkStart w:id="11" w:name="_Toc174353953"/>
      <w:bookmarkStart w:id="12" w:name="_Toc141783237"/>
      <w:bookmarkStart w:id="13" w:name="_Toc4155"/>
      <w:bookmarkStart w:id="14" w:name="_Toc146029311"/>
    </w:p>
    <w:p w14:paraId="21BEF160">
      <w:pPr>
        <w:pStyle w:val="3"/>
        <w:snapToGrid w:val="0"/>
        <w:spacing w:before="156" w:beforeLines="50" w:after="156" w:afterLines="50" w:line="240" w:lineRule="auto"/>
        <w:rPr>
          <w:rFonts w:hint="eastAsia" w:ascii="宋体" w:hAnsi="宋体"/>
          <w:sz w:val="24"/>
          <w:szCs w:val="24"/>
          <w:highlight w:val="none"/>
        </w:rPr>
      </w:pPr>
    </w:p>
    <w:p w14:paraId="4AA92E97">
      <w:pPr>
        <w:rPr>
          <w:rFonts w:hint="eastAsia" w:ascii="宋体" w:hAnsi="宋体"/>
          <w:sz w:val="24"/>
          <w:szCs w:val="24"/>
          <w:highlight w:val="none"/>
        </w:rPr>
      </w:pPr>
      <w:r>
        <w:rPr>
          <w:rFonts w:hint="eastAsia" w:ascii="宋体" w:hAnsi="宋体"/>
          <w:sz w:val="24"/>
          <w:szCs w:val="24"/>
          <w:highlight w:val="none"/>
        </w:rPr>
        <w:br w:type="page"/>
      </w:r>
    </w:p>
    <w:p w14:paraId="68F9A244">
      <w:pPr>
        <w:pStyle w:val="3"/>
        <w:snapToGrid w:val="0"/>
        <w:spacing w:before="156" w:beforeLines="50" w:after="156" w:afterLines="50" w:line="240" w:lineRule="auto"/>
        <w:rPr>
          <w:rFonts w:ascii="宋体" w:hAnsi="宋体"/>
          <w:sz w:val="24"/>
          <w:szCs w:val="24"/>
          <w:highlight w:val="none"/>
        </w:rPr>
      </w:pPr>
      <w:r>
        <w:rPr>
          <w:rFonts w:hint="eastAsia" w:ascii="宋体" w:hAnsi="宋体"/>
          <w:sz w:val="24"/>
          <w:szCs w:val="24"/>
          <w:highlight w:val="none"/>
        </w:rPr>
        <w:t>附件2：评标办法</w:t>
      </w:r>
      <w:bookmarkEnd w:id="10"/>
      <w:bookmarkEnd w:id="11"/>
      <w:bookmarkEnd w:id="12"/>
      <w:bookmarkEnd w:id="13"/>
      <w:bookmarkEnd w:id="14"/>
    </w:p>
    <w:p w14:paraId="36183A05">
      <w:pPr>
        <w:pStyle w:val="3"/>
        <w:snapToGrid w:val="0"/>
        <w:spacing w:before="120" w:after="120" w:line="240" w:lineRule="auto"/>
        <w:ind w:firstLine="482"/>
        <w:rPr>
          <w:sz w:val="24"/>
          <w:szCs w:val="24"/>
          <w:highlight w:val="none"/>
        </w:rPr>
      </w:pPr>
      <w:bookmarkStart w:id="15" w:name="_Toc65820978"/>
      <w:bookmarkStart w:id="16" w:name="_Toc146029312"/>
      <w:bookmarkStart w:id="17" w:name="_Toc65857110"/>
      <w:bookmarkStart w:id="18" w:name="_Toc174353954"/>
      <w:bookmarkStart w:id="19" w:name="_Toc141783238"/>
      <w:bookmarkStart w:id="20" w:name="_Toc138793770"/>
      <w:bookmarkStart w:id="21" w:name="_Toc1880"/>
      <w:bookmarkStart w:id="22" w:name="_Toc66984522"/>
      <w:bookmarkStart w:id="23" w:name="_Toc169638347"/>
      <w:bookmarkStart w:id="24" w:name="_Toc169457201"/>
      <w:bookmarkStart w:id="25" w:name="_Toc146320979"/>
      <w:bookmarkStart w:id="26" w:name="_Toc66337244"/>
      <w:r>
        <w:rPr>
          <w:rFonts w:hint="eastAsia"/>
          <w:sz w:val="24"/>
          <w:szCs w:val="24"/>
          <w:highlight w:val="none"/>
        </w:rPr>
        <w:t>评标办法前附表</w:t>
      </w:r>
      <w:bookmarkEnd w:id="15"/>
      <w:bookmarkEnd w:id="16"/>
      <w:bookmarkEnd w:id="17"/>
      <w:bookmarkEnd w:id="18"/>
      <w:bookmarkEnd w:id="19"/>
      <w:bookmarkEnd w:id="20"/>
      <w:bookmarkEnd w:id="21"/>
      <w:bookmarkEnd w:id="22"/>
      <w:bookmarkEnd w:id="23"/>
      <w:bookmarkEnd w:id="24"/>
      <w:bookmarkEnd w:id="25"/>
      <w:bookmarkEnd w:id="26"/>
      <w:bookmarkStart w:id="27" w:name="_Hlk71130285"/>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002"/>
        <w:gridCol w:w="6779"/>
      </w:tblGrid>
      <w:tr w14:paraId="0323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18" w:type="pct"/>
            <w:gridSpan w:val="2"/>
            <w:vAlign w:val="center"/>
          </w:tcPr>
          <w:p w14:paraId="5D733677">
            <w:pPr>
              <w:jc w:val="center"/>
              <w:rPr>
                <w:rFonts w:ascii="宋体" w:hAnsi="宋体"/>
                <w:highlight w:val="none"/>
              </w:rPr>
            </w:pPr>
            <w:r>
              <w:rPr>
                <w:rFonts w:hint="eastAsia" w:ascii="宋体" w:hAnsi="宋体"/>
                <w:highlight w:val="none"/>
              </w:rPr>
              <w:t>条款号</w:t>
            </w:r>
          </w:p>
        </w:tc>
        <w:tc>
          <w:tcPr>
            <w:tcW w:w="3982" w:type="pct"/>
            <w:vAlign w:val="center"/>
          </w:tcPr>
          <w:p w14:paraId="15F734CE">
            <w:pPr>
              <w:ind w:firstLine="420"/>
              <w:jc w:val="center"/>
              <w:rPr>
                <w:rFonts w:ascii="宋体" w:hAnsi="宋体"/>
                <w:highlight w:val="none"/>
              </w:rPr>
            </w:pPr>
            <w:r>
              <w:rPr>
                <w:rFonts w:hint="eastAsia" w:ascii="宋体" w:hAnsi="宋体"/>
                <w:highlight w:val="none"/>
              </w:rPr>
              <w:t>评审因素与评审标准</w:t>
            </w:r>
          </w:p>
        </w:tc>
      </w:tr>
      <w:tr w14:paraId="2A32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09E97181">
            <w:pPr>
              <w:jc w:val="center"/>
              <w:rPr>
                <w:rFonts w:ascii="宋体" w:hAnsi="宋体"/>
                <w:highlight w:val="none"/>
              </w:rPr>
            </w:pPr>
            <w:r>
              <w:rPr>
                <w:rFonts w:hint="eastAsia" w:ascii="宋体" w:hAnsi="宋体"/>
                <w:highlight w:val="none"/>
              </w:rPr>
              <w:t>1</w:t>
            </w:r>
          </w:p>
        </w:tc>
        <w:tc>
          <w:tcPr>
            <w:tcW w:w="593" w:type="pct"/>
            <w:vAlign w:val="center"/>
          </w:tcPr>
          <w:p w14:paraId="77489088">
            <w:pPr>
              <w:jc w:val="center"/>
              <w:rPr>
                <w:rFonts w:ascii="宋体" w:hAnsi="宋体"/>
                <w:highlight w:val="none"/>
              </w:rPr>
            </w:pPr>
            <w:r>
              <w:rPr>
                <w:rFonts w:hint="eastAsia" w:ascii="宋体" w:hAnsi="宋体"/>
                <w:highlight w:val="none"/>
              </w:rPr>
              <w:t>评标方法</w:t>
            </w:r>
          </w:p>
        </w:tc>
        <w:tc>
          <w:tcPr>
            <w:tcW w:w="3982" w:type="pct"/>
            <w:vAlign w:val="center"/>
          </w:tcPr>
          <w:p w14:paraId="6DFA237F">
            <w:pPr>
              <w:ind w:firstLine="315" w:firstLineChars="150"/>
              <w:jc w:val="both"/>
              <w:rPr>
                <w:rFonts w:ascii="宋体" w:hAnsi="宋体"/>
                <w:highlight w:val="none"/>
              </w:rPr>
            </w:pPr>
            <w:r>
              <w:rPr>
                <w:rFonts w:hint="eastAsia" w:ascii="宋体" w:hAnsi="宋体"/>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037DAA23">
            <w:pPr>
              <w:ind w:firstLine="315" w:firstLineChars="150"/>
              <w:jc w:val="left"/>
              <w:rPr>
                <w:rFonts w:ascii="宋体" w:hAnsi="宋体"/>
                <w:highlight w:val="none"/>
              </w:rPr>
            </w:pPr>
            <w:r>
              <w:rPr>
                <w:rFonts w:hint="eastAsia" w:ascii="宋体" w:hAnsi="宋体"/>
                <w:highlight w:val="none"/>
              </w:rPr>
              <w:t>（1）评标价低的投标人优先；</w:t>
            </w:r>
          </w:p>
          <w:p w14:paraId="0F3FBFF7">
            <w:pPr>
              <w:ind w:firstLine="315" w:firstLineChars="150"/>
              <w:jc w:val="left"/>
              <w:rPr>
                <w:rFonts w:ascii="宋体" w:hAnsi="宋体"/>
                <w:highlight w:val="none"/>
              </w:rPr>
            </w:pPr>
            <w:r>
              <w:rPr>
                <w:rFonts w:hint="eastAsia" w:ascii="宋体" w:hAnsi="宋体"/>
                <w:highlight w:val="none"/>
              </w:rPr>
              <w:t>（2）</w:t>
            </w:r>
            <w:r>
              <w:rPr>
                <w:rFonts w:hint="eastAsia" w:ascii="宋体" w:hAnsi="宋体"/>
                <w:highlight w:val="none"/>
                <w:lang w:eastAsia="zh-CN"/>
              </w:rPr>
              <w:t>技术部分</w:t>
            </w:r>
            <w:r>
              <w:rPr>
                <w:rFonts w:hint="eastAsia" w:ascii="宋体" w:hAnsi="宋体"/>
                <w:highlight w:val="none"/>
              </w:rPr>
              <w:t>得分较高的投标人优先；</w:t>
            </w:r>
          </w:p>
          <w:p w14:paraId="4DD5F623">
            <w:pPr>
              <w:ind w:firstLine="315" w:firstLineChars="150"/>
              <w:jc w:val="left"/>
              <w:rPr>
                <w:rFonts w:ascii="宋体" w:hAnsi="宋体"/>
                <w:highlight w:val="none"/>
              </w:rPr>
            </w:pPr>
            <w:r>
              <w:rPr>
                <w:rFonts w:hint="eastAsia" w:ascii="宋体" w:hAnsi="宋体"/>
                <w:highlight w:val="none"/>
              </w:rPr>
              <w:t>（3）投标文件中满足附录2资格审查条件(业绩最低要求) 的业绩累计金额高的优先。</w:t>
            </w:r>
          </w:p>
        </w:tc>
      </w:tr>
      <w:tr w14:paraId="3CFF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0ED823B2">
            <w:pPr>
              <w:jc w:val="center"/>
              <w:rPr>
                <w:rFonts w:ascii="宋体" w:hAnsi="宋体"/>
                <w:highlight w:val="none"/>
              </w:rPr>
            </w:pPr>
            <w:r>
              <w:rPr>
                <w:rFonts w:ascii="宋体" w:hAnsi="宋体"/>
                <w:highlight w:val="none"/>
              </w:rPr>
              <w:t>2.1.1</w:t>
            </w:r>
          </w:p>
          <w:p w14:paraId="14C57243">
            <w:pPr>
              <w:jc w:val="center"/>
              <w:rPr>
                <w:rFonts w:ascii="宋体" w:hAnsi="宋体"/>
                <w:highlight w:val="none"/>
              </w:rPr>
            </w:pPr>
            <w:r>
              <w:rPr>
                <w:rFonts w:ascii="宋体" w:hAnsi="宋体"/>
                <w:highlight w:val="none"/>
              </w:rPr>
              <w:t>2.1.3</w:t>
            </w:r>
          </w:p>
        </w:tc>
        <w:tc>
          <w:tcPr>
            <w:tcW w:w="593" w:type="pct"/>
            <w:vAlign w:val="center"/>
          </w:tcPr>
          <w:p w14:paraId="07A84BB9">
            <w:pPr>
              <w:jc w:val="center"/>
              <w:rPr>
                <w:rFonts w:ascii="宋体" w:hAnsi="宋体"/>
                <w:highlight w:val="none"/>
              </w:rPr>
            </w:pPr>
            <w:r>
              <w:rPr>
                <w:rFonts w:hint="eastAsia" w:ascii="宋体" w:hAnsi="宋体"/>
                <w:highlight w:val="none"/>
              </w:rPr>
              <w:t>形式评审与响应性评审标准</w:t>
            </w:r>
          </w:p>
        </w:tc>
        <w:tc>
          <w:tcPr>
            <w:tcW w:w="3982" w:type="pct"/>
          </w:tcPr>
          <w:p w14:paraId="62749FE7">
            <w:pPr>
              <w:tabs>
                <w:tab w:val="left" w:pos="3060"/>
              </w:tabs>
              <w:spacing w:line="320" w:lineRule="exact"/>
              <w:rPr>
                <w:rFonts w:ascii="宋体" w:hAnsi="宋体"/>
                <w:b/>
                <w:szCs w:val="21"/>
                <w:highlight w:val="none"/>
              </w:rPr>
            </w:pPr>
            <w:r>
              <w:rPr>
                <w:rFonts w:hint="eastAsia" w:ascii="宋体" w:hAnsi="宋体"/>
                <w:b/>
                <w:szCs w:val="21"/>
                <w:highlight w:val="none"/>
              </w:rPr>
              <w:t>第一个信封（商务文件）评审标准：</w:t>
            </w:r>
          </w:p>
          <w:p w14:paraId="3150CDA0">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第一个信封（商务文件）评审标准：</w:t>
            </w:r>
          </w:p>
          <w:p w14:paraId="2184C787">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（1）投标文件按照招标文件规定的格式、内容填写，字迹清晰可辨：</w:t>
            </w:r>
          </w:p>
          <w:p w14:paraId="5B998AAB">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a.投标函按照招标文件规定填报了招标人名称、项目名称、补遗书编号（如有）、</w:t>
            </w:r>
            <w:r>
              <w:rPr>
                <w:rFonts w:hint="eastAsia" w:ascii="宋体" w:hAnsi="宋体"/>
                <w:szCs w:val="21"/>
                <w:highlight w:val="none"/>
                <w:lang w:eastAsia="zh-CN"/>
              </w:rPr>
              <w:t>质量要求、</w:t>
            </w:r>
            <w:r>
              <w:rPr>
                <w:rFonts w:hint="eastAsia" w:ascii="宋体" w:hAnsi="宋体"/>
                <w:szCs w:val="21"/>
                <w:highlight w:val="none"/>
              </w:rPr>
              <w:t>交货期、交货地点；</w:t>
            </w:r>
          </w:p>
          <w:p w14:paraId="30B43677">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b.投标文件组成齐全完整，内容均按规定填写；</w:t>
            </w:r>
          </w:p>
          <w:p w14:paraId="2F87CB57">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（2）投标文件上法定代表人或其委托代理人的签字、投标人的单位章盖章齐全，符合招标文件规定：</w:t>
            </w:r>
          </w:p>
          <w:p w14:paraId="435863BF">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（3）投标人按照招标文件的规定提供了投标保证金，满足投标人须知3.4.1规定。</w:t>
            </w:r>
          </w:p>
          <w:p w14:paraId="32D4A039">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（4）投标人法定代表人授权委托代理人签署投标文件的，须提交授权委托书，授权委托书的签字盖章符合招标文件规定。</w:t>
            </w:r>
          </w:p>
          <w:p w14:paraId="7C92B2E3">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（5）投标人法定代表人亲自签署投标文件的，提供了法定代表人身份证明,法定代表人身份证明的签字盖章符合招标文件规定。</w:t>
            </w:r>
          </w:p>
          <w:p w14:paraId="347CCCE9">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（6）投标人未以联合体形式投标。</w:t>
            </w:r>
          </w:p>
          <w:p w14:paraId="0AC8B23C">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7</w:t>
            </w:r>
            <w:r>
              <w:rPr>
                <w:rFonts w:hint="eastAsia" w:ascii="宋体" w:hAnsi="宋体"/>
                <w:szCs w:val="21"/>
                <w:highlight w:val="none"/>
              </w:rPr>
              <w:t>）同一投标人对未提交两个以上不同的投标文件。</w:t>
            </w:r>
          </w:p>
          <w:p w14:paraId="083553E6">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8</w:t>
            </w:r>
            <w:r>
              <w:rPr>
                <w:rFonts w:hint="eastAsia" w:ascii="宋体" w:hAnsi="宋体"/>
                <w:szCs w:val="21"/>
                <w:highlight w:val="none"/>
              </w:rPr>
              <w:t>）投标文件中未出现有关投标报价的内容。</w:t>
            </w:r>
          </w:p>
          <w:p w14:paraId="63F3CBEA">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9</w:t>
            </w:r>
            <w:r>
              <w:rPr>
                <w:rFonts w:hint="eastAsia" w:ascii="宋体" w:hAnsi="宋体"/>
                <w:szCs w:val="21"/>
                <w:highlight w:val="none"/>
              </w:rPr>
              <w:t>）投标文件载明的招标项目完成期限未超过招标文件规定的时限。</w:t>
            </w:r>
          </w:p>
          <w:p w14:paraId="03468C63">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10</w:t>
            </w:r>
            <w:r>
              <w:rPr>
                <w:rFonts w:hint="eastAsia" w:ascii="宋体" w:hAnsi="宋体"/>
                <w:szCs w:val="21"/>
                <w:highlight w:val="none"/>
              </w:rPr>
              <w:t>）投标文件对招标文件的实质性要求和条件作出响应。</w:t>
            </w:r>
          </w:p>
          <w:p w14:paraId="5F09369B">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11</w:t>
            </w:r>
            <w:r>
              <w:rPr>
                <w:rFonts w:hint="eastAsia" w:ascii="宋体" w:hAnsi="宋体"/>
                <w:szCs w:val="21"/>
                <w:highlight w:val="none"/>
              </w:rPr>
              <w:t>）投标文件中投标设备的主要技术指标（带</w:t>
            </w:r>
            <w:r>
              <w:rPr>
                <w:rFonts w:hint="eastAsia" w:ascii="宋体" w:hAnsi="宋体"/>
                <w:szCs w:val="21"/>
                <w:highlight w:val="none"/>
                <w:lang w:val="en-US" w:eastAsia="zh-CN"/>
              </w:rPr>
              <w:t>★</w:t>
            </w:r>
            <w:r>
              <w:rPr>
                <w:rFonts w:hint="eastAsia" w:ascii="宋体" w:hAnsi="宋体"/>
                <w:szCs w:val="21"/>
                <w:highlight w:val="none"/>
              </w:rPr>
              <w:t>的条款）满足招标文件的要求。</w:t>
            </w:r>
          </w:p>
          <w:p w14:paraId="185E344B">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12</w:t>
            </w:r>
            <w:r>
              <w:rPr>
                <w:rFonts w:hint="eastAsia" w:ascii="宋体" w:hAnsi="宋体"/>
                <w:szCs w:val="21"/>
                <w:highlight w:val="none"/>
              </w:rPr>
              <w:t>）权利义务符合招标文件规定：</w:t>
            </w:r>
          </w:p>
          <w:p w14:paraId="38FFCDC2">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a．投标人应接受招标文件规定的风险划分原则，未提出新的风险划分办法；</w:t>
            </w:r>
          </w:p>
          <w:p w14:paraId="5532C129">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b．投标人未增加发包人的责任范围，或减少投标人义务；</w:t>
            </w:r>
          </w:p>
          <w:p w14:paraId="71196B3F">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c．投标人未提出不同的工程验收、计量、支付办法；</w:t>
            </w:r>
          </w:p>
          <w:p w14:paraId="4B492480">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d．投标人对合同纠纷、事故处理办法未提出异议；</w:t>
            </w:r>
          </w:p>
          <w:p w14:paraId="1979632D">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e．投标人在投标活动中无欺诈行为；</w:t>
            </w:r>
          </w:p>
          <w:p w14:paraId="3DAD8684">
            <w:pPr>
              <w:tabs>
                <w:tab w:val="left" w:pos="3060"/>
              </w:tabs>
              <w:spacing w:line="320" w:lineRule="exact"/>
              <w:ind w:firstLine="422"/>
              <w:rPr>
                <w:rFonts w:hint="eastAsia" w:ascii="宋体" w:hAnsi="宋体"/>
                <w:szCs w:val="21"/>
                <w:highlight w:val="none"/>
              </w:rPr>
            </w:pPr>
            <w:r>
              <w:rPr>
                <w:rFonts w:hint="eastAsia" w:ascii="宋体" w:hAnsi="宋体"/>
                <w:szCs w:val="21"/>
                <w:highlight w:val="none"/>
              </w:rPr>
              <w:t>f．投标人未对合同条款有重要保留</w:t>
            </w:r>
          </w:p>
          <w:p w14:paraId="623FE0F8">
            <w:pPr>
              <w:tabs>
                <w:tab w:val="left" w:pos="3060"/>
              </w:tabs>
              <w:spacing w:line="320" w:lineRule="exact"/>
              <w:ind w:firstLine="422"/>
              <w:rPr>
                <w:rFonts w:ascii="宋体" w:hAnsi="宋体"/>
                <w:b/>
                <w:szCs w:val="21"/>
                <w:highlight w:val="none"/>
              </w:rPr>
            </w:pPr>
            <w:r>
              <w:rPr>
                <w:rFonts w:hint="eastAsia" w:ascii="宋体" w:hAnsi="宋体"/>
                <w:b/>
                <w:szCs w:val="21"/>
                <w:highlight w:val="none"/>
              </w:rPr>
              <w:t>第二个信封（报价文件）评审标准：</w:t>
            </w:r>
          </w:p>
          <w:p w14:paraId="2B2BFB99">
            <w:pPr>
              <w:tabs>
                <w:tab w:val="left" w:pos="3060"/>
              </w:tabs>
              <w:spacing w:line="320" w:lineRule="exact"/>
              <w:ind w:firstLine="210" w:firstLineChars="100"/>
              <w:rPr>
                <w:rFonts w:ascii="宋体" w:hAnsi="宋体"/>
                <w:szCs w:val="21"/>
                <w:highlight w:val="none"/>
              </w:rPr>
            </w:pPr>
            <w:r>
              <w:rPr>
                <w:rFonts w:hint="eastAsia" w:ascii="宋体" w:hAnsi="宋体"/>
                <w:szCs w:val="21"/>
                <w:highlight w:val="none"/>
              </w:rPr>
              <w:t>（1）投标文件按照招标文件规定的格式、内容填写，字迹清晰可辨，内容齐全完整：</w:t>
            </w:r>
          </w:p>
          <w:p w14:paraId="06CD466C">
            <w:pPr>
              <w:tabs>
                <w:tab w:val="left" w:pos="3060"/>
              </w:tabs>
              <w:spacing w:line="320" w:lineRule="exact"/>
              <w:ind w:firstLine="420" w:firstLineChars="200"/>
              <w:rPr>
                <w:rFonts w:ascii="宋体" w:hAnsi="宋体"/>
                <w:szCs w:val="21"/>
                <w:highlight w:val="none"/>
              </w:rPr>
            </w:pPr>
            <w:r>
              <w:rPr>
                <w:rFonts w:hint="eastAsia" w:ascii="宋体" w:hAnsi="宋体"/>
                <w:szCs w:val="21"/>
                <w:highlight w:val="none"/>
              </w:rPr>
              <w:t>a．投标函按招标文件规定填报了招标人名称、项目名称、补遗书编号（如有）、投标报价（包括大写金额和小写金额）；</w:t>
            </w:r>
          </w:p>
          <w:p w14:paraId="6CA965D2">
            <w:pPr>
              <w:tabs>
                <w:tab w:val="left" w:pos="3060"/>
              </w:tabs>
              <w:spacing w:line="320" w:lineRule="exact"/>
              <w:ind w:firstLine="420" w:firstLineChars="200"/>
              <w:rPr>
                <w:rFonts w:ascii="宋体" w:hAnsi="宋体"/>
                <w:szCs w:val="21"/>
                <w:highlight w:val="none"/>
              </w:rPr>
            </w:pPr>
            <w:r>
              <w:rPr>
                <w:rFonts w:hint="eastAsia" w:ascii="宋体" w:hAnsi="宋体"/>
                <w:szCs w:val="21"/>
                <w:highlight w:val="none"/>
              </w:rPr>
              <w:t>b．投标文件组成齐全完整，内容均按规定填写。</w:t>
            </w:r>
          </w:p>
          <w:p w14:paraId="2D38C81E">
            <w:pPr>
              <w:tabs>
                <w:tab w:val="left" w:pos="3060"/>
              </w:tabs>
              <w:spacing w:line="320" w:lineRule="exact"/>
              <w:ind w:firstLine="205" w:firstLineChars="98"/>
              <w:rPr>
                <w:rFonts w:ascii="宋体" w:hAnsi="宋体"/>
                <w:bCs/>
                <w:szCs w:val="21"/>
                <w:highlight w:val="none"/>
              </w:rPr>
            </w:pPr>
            <w:r>
              <w:rPr>
                <w:rFonts w:hint="eastAsia" w:ascii="宋体" w:hAnsi="宋体"/>
                <w:bCs/>
                <w:szCs w:val="21"/>
                <w:highlight w:val="none"/>
              </w:rPr>
              <w:t>（2）投标文件上法定代表人或其授权代理人的签字、投标人的单位章盖章齐全，符合招标文件规定。</w:t>
            </w:r>
          </w:p>
          <w:p w14:paraId="31074B23">
            <w:pPr>
              <w:tabs>
                <w:tab w:val="left" w:pos="3060"/>
              </w:tabs>
              <w:spacing w:line="320" w:lineRule="exact"/>
              <w:ind w:firstLine="205" w:firstLineChars="98"/>
              <w:rPr>
                <w:rFonts w:ascii="宋体" w:hAnsi="宋体"/>
                <w:bCs/>
                <w:szCs w:val="21"/>
                <w:highlight w:val="none"/>
              </w:rPr>
            </w:pPr>
            <w:r>
              <w:rPr>
                <w:rFonts w:hint="eastAsia" w:ascii="宋体" w:hAnsi="宋体"/>
                <w:bCs/>
                <w:szCs w:val="21"/>
                <w:highlight w:val="none"/>
              </w:rPr>
              <w:t>（</w:t>
            </w:r>
            <w:r>
              <w:rPr>
                <w:rFonts w:ascii="宋体" w:hAnsi="宋体"/>
                <w:bCs/>
                <w:szCs w:val="21"/>
                <w:highlight w:val="none"/>
              </w:rPr>
              <w:t>3</w:t>
            </w:r>
            <w:r>
              <w:rPr>
                <w:rFonts w:hint="eastAsia" w:ascii="宋体" w:hAnsi="宋体"/>
                <w:bCs/>
                <w:szCs w:val="21"/>
                <w:highlight w:val="none"/>
              </w:rPr>
              <w:t>）投标报价</w:t>
            </w:r>
            <w:r>
              <w:rPr>
                <w:rFonts w:hint="eastAsia" w:ascii="宋体" w:hAnsi="宋体"/>
                <w:bCs/>
                <w:szCs w:val="21"/>
                <w:highlight w:val="none"/>
                <w:lang w:eastAsia="zh-CN"/>
              </w:rPr>
              <w:t>及各</w:t>
            </w:r>
            <w:r>
              <w:rPr>
                <w:rFonts w:hint="eastAsia" w:ascii="宋体" w:hAnsi="宋体"/>
                <w:bCs/>
                <w:szCs w:val="21"/>
                <w:highlight w:val="none"/>
              </w:rPr>
              <w:t>分项报价均未超过招标文件设定的最高投标限价。</w:t>
            </w:r>
          </w:p>
          <w:p w14:paraId="5B94DAE3">
            <w:pPr>
              <w:tabs>
                <w:tab w:val="left" w:pos="3060"/>
              </w:tabs>
              <w:spacing w:line="320" w:lineRule="exact"/>
              <w:ind w:firstLine="205" w:firstLineChars="98"/>
              <w:rPr>
                <w:rFonts w:ascii="宋体" w:hAnsi="宋体"/>
                <w:bCs/>
                <w:szCs w:val="21"/>
                <w:highlight w:val="none"/>
              </w:rPr>
            </w:pPr>
            <w:r>
              <w:rPr>
                <w:rFonts w:hint="eastAsia" w:ascii="宋体" w:hAnsi="宋体"/>
                <w:bCs/>
                <w:szCs w:val="21"/>
                <w:highlight w:val="none"/>
              </w:rPr>
              <w:t>（</w:t>
            </w:r>
            <w:r>
              <w:rPr>
                <w:rFonts w:ascii="宋体" w:hAnsi="宋体"/>
                <w:bCs/>
                <w:szCs w:val="21"/>
                <w:highlight w:val="none"/>
              </w:rPr>
              <w:t>4</w:t>
            </w:r>
            <w:r>
              <w:rPr>
                <w:rFonts w:hint="eastAsia" w:ascii="宋体" w:hAnsi="宋体"/>
                <w:bCs/>
                <w:szCs w:val="21"/>
                <w:highlight w:val="none"/>
              </w:rPr>
              <w:t>）投标报价中报价的大写金额能够确定具体数值。</w:t>
            </w:r>
          </w:p>
          <w:p w14:paraId="29C7EC11">
            <w:pPr>
              <w:tabs>
                <w:tab w:val="left" w:pos="3060"/>
              </w:tabs>
              <w:spacing w:line="320" w:lineRule="exact"/>
              <w:ind w:firstLine="205" w:firstLineChars="98"/>
              <w:rPr>
                <w:rFonts w:ascii="宋体" w:hAnsi="宋体"/>
                <w:bCs/>
                <w:szCs w:val="21"/>
                <w:highlight w:val="none"/>
              </w:rPr>
            </w:pPr>
            <w:r>
              <w:rPr>
                <w:rFonts w:hint="eastAsia" w:ascii="宋体" w:hAnsi="宋体"/>
                <w:bCs/>
                <w:szCs w:val="21"/>
                <w:highlight w:val="none"/>
              </w:rPr>
              <w:t>（</w:t>
            </w:r>
            <w:r>
              <w:rPr>
                <w:rFonts w:ascii="宋体" w:hAnsi="宋体"/>
                <w:bCs/>
                <w:szCs w:val="21"/>
                <w:highlight w:val="none"/>
              </w:rPr>
              <w:t>5</w:t>
            </w:r>
            <w:r>
              <w:rPr>
                <w:rFonts w:hint="eastAsia" w:ascii="宋体" w:hAnsi="宋体"/>
                <w:bCs/>
                <w:szCs w:val="21"/>
                <w:highlight w:val="none"/>
              </w:rPr>
              <w:t>）投标人未提交两个以上不同的投标报价。</w:t>
            </w:r>
          </w:p>
          <w:p w14:paraId="67D42F8E">
            <w:pPr>
              <w:tabs>
                <w:tab w:val="left" w:pos="3060"/>
              </w:tabs>
              <w:spacing w:line="320" w:lineRule="exact"/>
              <w:ind w:firstLine="205" w:firstLineChars="98"/>
              <w:rPr>
                <w:rFonts w:ascii="宋体" w:hAnsi="宋体"/>
                <w:bCs/>
                <w:szCs w:val="21"/>
                <w:highlight w:val="none"/>
              </w:rPr>
            </w:pPr>
            <w:r>
              <w:rPr>
                <w:rFonts w:hint="eastAsia" w:ascii="宋体" w:hAnsi="宋体"/>
                <w:bCs/>
                <w:szCs w:val="21"/>
                <w:highlight w:val="none"/>
              </w:rPr>
              <w:t>（6）</w:t>
            </w:r>
            <w:r>
              <w:rPr>
                <w:rFonts w:hint="eastAsia" w:ascii="宋体" w:hAnsi="宋体"/>
                <w:szCs w:val="21"/>
                <w:highlight w:val="none"/>
              </w:rPr>
              <w:t>报价费用清单</w:t>
            </w:r>
            <w:r>
              <w:rPr>
                <w:rFonts w:hint="eastAsia" w:ascii="宋体" w:hAnsi="宋体"/>
                <w:bCs/>
                <w:szCs w:val="21"/>
                <w:highlight w:val="none"/>
              </w:rPr>
              <w:t>中的投标报价和投标函大写金额报价一致。</w:t>
            </w:r>
          </w:p>
        </w:tc>
      </w:tr>
      <w:tr w14:paraId="5F1A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425" w:type="pct"/>
            <w:vAlign w:val="center"/>
          </w:tcPr>
          <w:p w14:paraId="28AFB5EA">
            <w:pPr>
              <w:jc w:val="center"/>
              <w:rPr>
                <w:rFonts w:ascii="宋体" w:hAnsi="宋体"/>
                <w:highlight w:val="none"/>
              </w:rPr>
            </w:pPr>
            <w:r>
              <w:rPr>
                <w:rFonts w:ascii="宋体" w:hAnsi="宋体"/>
                <w:highlight w:val="none"/>
              </w:rPr>
              <w:t>2.1.2</w:t>
            </w:r>
          </w:p>
        </w:tc>
        <w:tc>
          <w:tcPr>
            <w:tcW w:w="593" w:type="pct"/>
            <w:vAlign w:val="center"/>
          </w:tcPr>
          <w:p w14:paraId="7D7FD7EE">
            <w:pPr>
              <w:jc w:val="center"/>
              <w:rPr>
                <w:rFonts w:ascii="宋体" w:hAnsi="宋体"/>
                <w:highlight w:val="none"/>
              </w:rPr>
            </w:pPr>
            <w:r>
              <w:rPr>
                <w:rFonts w:hint="eastAsia" w:ascii="宋体" w:hAnsi="宋体"/>
                <w:highlight w:val="none"/>
              </w:rPr>
              <w:t>资格评审标准</w:t>
            </w:r>
          </w:p>
        </w:tc>
        <w:tc>
          <w:tcPr>
            <w:tcW w:w="3982" w:type="pct"/>
          </w:tcPr>
          <w:p w14:paraId="6B5420A3">
            <w:pPr>
              <w:tabs>
                <w:tab w:val="left" w:pos="3060"/>
              </w:tabs>
              <w:spacing w:line="320" w:lineRule="exact"/>
              <w:ind w:firstLine="105" w:firstLineChars="50"/>
              <w:rPr>
                <w:rFonts w:ascii="宋体" w:hAnsi="宋体"/>
                <w:szCs w:val="21"/>
                <w:highlight w:val="none"/>
              </w:rPr>
            </w:pPr>
            <w:r>
              <w:rPr>
                <w:rFonts w:hint="eastAsia" w:ascii="宋体" w:hAnsi="宋体"/>
                <w:szCs w:val="21"/>
                <w:highlight w:val="none"/>
              </w:rPr>
              <w:t>（1）投标人具备有效的营业执照</w:t>
            </w:r>
            <w:r>
              <w:rPr>
                <w:rFonts w:hint="eastAsia" w:ascii="宋体" w:hAnsi="宋体"/>
                <w:bCs/>
                <w:highlight w:val="none"/>
              </w:rPr>
              <w:t>（或事业单位法人证书）</w:t>
            </w:r>
            <w:r>
              <w:rPr>
                <w:rFonts w:hint="eastAsia" w:ascii="宋体" w:hAnsi="宋体"/>
                <w:szCs w:val="21"/>
                <w:highlight w:val="none"/>
              </w:rPr>
              <w:t>、资质证书和基本账户开户许可证（或基本存款账户信息）；</w:t>
            </w:r>
          </w:p>
          <w:p w14:paraId="63A2EF03">
            <w:pPr>
              <w:tabs>
                <w:tab w:val="left" w:pos="3060"/>
              </w:tabs>
              <w:spacing w:line="320" w:lineRule="exact"/>
              <w:ind w:firstLine="105" w:firstLineChars="50"/>
              <w:rPr>
                <w:rFonts w:ascii="宋体" w:hAnsi="宋体"/>
                <w:szCs w:val="21"/>
                <w:highlight w:val="none"/>
              </w:rPr>
            </w:pPr>
            <w:r>
              <w:rPr>
                <w:rFonts w:hint="eastAsia" w:ascii="宋体" w:hAnsi="宋体"/>
                <w:szCs w:val="21"/>
                <w:highlight w:val="none"/>
              </w:rPr>
              <w:t>（2）投标人的资质等级符合招标文件规定；</w:t>
            </w:r>
          </w:p>
          <w:p w14:paraId="70BD84A2">
            <w:pPr>
              <w:tabs>
                <w:tab w:val="left" w:pos="3060"/>
              </w:tabs>
              <w:spacing w:line="320" w:lineRule="exact"/>
              <w:ind w:firstLine="105" w:firstLineChars="50"/>
              <w:rPr>
                <w:rFonts w:ascii="宋体" w:hAnsi="宋体"/>
                <w:szCs w:val="21"/>
                <w:highlight w:val="none"/>
              </w:rPr>
            </w:pPr>
            <w:r>
              <w:rPr>
                <w:rFonts w:hint="eastAsia" w:ascii="宋体" w:hAnsi="宋体"/>
                <w:szCs w:val="21"/>
                <w:highlight w:val="none"/>
              </w:rPr>
              <w:t>（3）投标人的类似项目业绩符合招标文件规定；</w:t>
            </w:r>
          </w:p>
          <w:p w14:paraId="6EC4593E">
            <w:pPr>
              <w:tabs>
                <w:tab w:val="left" w:pos="3060"/>
              </w:tabs>
              <w:spacing w:line="320" w:lineRule="exact"/>
              <w:ind w:firstLine="105" w:firstLineChars="50"/>
              <w:rPr>
                <w:rFonts w:ascii="宋体" w:hAnsi="宋体"/>
                <w:szCs w:val="21"/>
                <w:highlight w:val="none"/>
              </w:rPr>
            </w:pPr>
            <w:r>
              <w:rPr>
                <w:rFonts w:hint="eastAsia" w:ascii="宋体" w:hAnsi="宋体"/>
                <w:szCs w:val="21"/>
                <w:highlight w:val="none"/>
              </w:rPr>
              <w:t>（4）投标人的信誉符合招标文件规定；</w:t>
            </w:r>
          </w:p>
          <w:p w14:paraId="47E83EEC">
            <w:pPr>
              <w:tabs>
                <w:tab w:val="left" w:pos="3060"/>
              </w:tabs>
              <w:spacing w:line="320" w:lineRule="exact"/>
              <w:ind w:firstLine="105" w:firstLineChars="50"/>
              <w:rPr>
                <w:rFonts w:ascii="宋体" w:hAnsi="宋体"/>
                <w:szCs w:val="21"/>
                <w:highlight w:val="none"/>
              </w:rPr>
            </w:pPr>
            <w:r>
              <w:rPr>
                <w:rFonts w:hint="eastAsia" w:ascii="宋体" w:hAnsi="宋体"/>
                <w:szCs w:val="21"/>
                <w:highlight w:val="none"/>
              </w:rPr>
              <w:t>（6）投标人不存在第二章“投标人须知”第1.4.3项规定的任何一种情形。</w:t>
            </w:r>
          </w:p>
        </w:tc>
      </w:tr>
      <w:tr w14:paraId="015A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27833AB9">
            <w:pPr>
              <w:jc w:val="center"/>
              <w:rPr>
                <w:rFonts w:ascii="宋体" w:hAnsi="宋体"/>
                <w:highlight w:val="none"/>
              </w:rPr>
            </w:pPr>
            <w:r>
              <w:rPr>
                <w:rFonts w:ascii="宋体" w:hAnsi="宋体"/>
                <w:highlight w:val="none"/>
              </w:rPr>
              <w:t>2.2.1</w:t>
            </w:r>
          </w:p>
        </w:tc>
        <w:tc>
          <w:tcPr>
            <w:tcW w:w="593" w:type="pct"/>
            <w:vAlign w:val="center"/>
          </w:tcPr>
          <w:p w14:paraId="7D8FCC87">
            <w:pPr>
              <w:jc w:val="center"/>
              <w:rPr>
                <w:rFonts w:ascii="宋体" w:hAnsi="宋体"/>
                <w:highlight w:val="none"/>
              </w:rPr>
            </w:pPr>
            <w:r>
              <w:rPr>
                <w:rFonts w:hint="eastAsia" w:ascii="宋体" w:hAnsi="宋体"/>
                <w:highlight w:val="none"/>
              </w:rPr>
              <w:t>分值构成（总分100分）</w:t>
            </w:r>
          </w:p>
        </w:tc>
        <w:tc>
          <w:tcPr>
            <w:tcW w:w="3982" w:type="pct"/>
            <w:vAlign w:val="center"/>
          </w:tcPr>
          <w:p w14:paraId="7DD2F0D8">
            <w:pPr>
              <w:ind w:firstLine="422"/>
              <w:jc w:val="left"/>
              <w:rPr>
                <w:rFonts w:ascii="宋体" w:hAnsi="宋体"/>
                <w:b/>
                <w:highlight w:val="none"/>
              </w:rPr>
            </w:pPr>
            <w:r>
              <w:rPr>
                <w:rFonts w:hint="eastAsia" w:ascii="宋体" w:hAnsi="宋体"/>
                <w:b/>
                <w:highlight w:val="none"/>
              </w:rPr>
              <w:t>第一个信封（商务及技术文件）评分分值构成：</w:t>
            </w:r>
          </w:p>
          <w:p w14:paraId="51218C13">
            <w:pPr>
              <w:ind w:firstLine="422"/>
              <w:jc w:val="left"/>
              <w:rPr>
                <w:rFonts w:ascii="宋体" w:hAnsi="宋体"/>
                <w:b/>
                <w:highlight w:val="none"/>
              </w:rPr>
            </w:pPr>
            <w:r>
              <w:rPr>
                <w:rFonts w:hint="eastAsia" w:ascii="宋体" w:hAnsi="宋体"/>
                <w:b/>
                <w:highlight w:val="none"/>
              </w:rPr>
              <w:t>技术</w:t>
            </w:r>
            <w:r>
              <w:rPr>
                <w:rFonts w:hint="eastAsia" w:ascii="宋体" w:hAnsi="宋体"/>
                <w:b/>
                <w:highlight w:val="none"/>
                <w:lang w:eastAsia="zh-CN"/>
              </w:rPr>
              <w:t>部分</w:t>
            </w:r>
            <w:r>
              <w:rPr>
                <w:rFonts w:hint="eastAsia" w:ascii="宋体" w:hAnsi="宋体"/>
                <w:b/>
                <w:highlight w:val="none"/>
              </w:rPr>
              <w:t>：</w:t>
            </w:r>
            <w:r>
              <w:rPr>
                <w:rFonts w:hint="eastAsia" w:ascii="宋体" w:hAnsi="宋体"/>
                <w:b/>
                <w:highlight w:val="none"/>
                <w:u w:val="single"/>
                <w:lang w:val="en-US" w:eastAsia="zh-CN"/>
              </w:rPr>
              <w:t>50</w:t>
            </w:r>
            <w:r>
              <w:rPr>
                <w:rFonts w:hint="eastAsia" w:ascii="宋体" w:hAnsi="宋体"/>
                <w:b/>
                <w:highlight w:val="none"/>
              </w:rPr>
              <w:t>分</w:t>
            </w:r>
          </w:p>
          <w:p w14:paraId="1EDB49D4">
            <w:pPr>
              <w:ind w:firstLine="422"/>
              <w:jc w:val="left"/>
              <w:rPr>
                <w:rFonts w:ascii="宋体" w:hAnsi="宋体"/>
                <w:b/>
                <w:highlight w:val="none"/>
              </w:rPr>
            </w:pPr>
            <w:r>
              <w:rPr>
                <w:rFonts w:hint="eastAsia" w:ascii="宋体" w:hAnsi="宋体"/>
                <w:b/>
                <w:highlight w:val="none"/>
              </w:rPr>
              <w:t>其他因素：</w:t>
            </w:r>
            <w:r>
              <w:rPr>
                <w:rFonts w:hint="eastAsia" w:ascii="宋体" w:hAnsi="宋体"/>
                <w:b/>
                <w:highlight w:val="none"/>
                <w:u w:val="single"/>
              </w:rPr>
              <w:t>20</w:t>
            </w:r>
            <w:r>
              <w:rPr>
                <w:rFonts w:hint="eastAsia" w:ascii="宋体" w:hAnsi="宋体"/>
                <w:b/>
                <w:highlight w:val="none"/>
              </w:rPr>
              <w:t>分</w:t>
            </w:r>
          </w:p>
          <w:p w14:paraId="449210E9">
            <w:pPr>
              <w:ind w:firstLine="422"/>
              <w:jc w:val="left"/>
              <w:rPr>
                <w:rFonts w:ascii="宋体" w:hAnsi="宋体"/>
                <w:b/>
                <w:highlight w:val="none"/>
              </w:rPr>
            </w:pPr>
            <w:r>
              <w:rPr>
                <w:rFonts w:hint="eastAsia" w:ascii="宋体" w:hAnsi="宋体"/>
                <w:b/>
                <w:highlight w:val="none"/>
              </w:rPr>
              <w:t>第二个信封（报价文件）评分分值构成：</w:t>
            </w:r>
          </w:p>
          <w:p w14:paraId="10FFD303">
            <w:pPr>
              <w:ind w:firstLine="422"/>
              <w:jc w:val="left"/>
              <w:rPr>
                <w:rFonts w:ascii="宋体" w:hAnsi="宋体"/>
                <w:b/>
                <w:highlight w:val="none"/>
              </w:rPr>
            </w:pPr>
            <w:r>
              <w:rPr>
                <w:rFonts w:hint="eastAsia" w:ascii="宋体" w:hAnsi="宋体"/>
                <w:b/>
                <w:highlight w:val="none"/>
              </w:rPr>
              <w:t>评标价：</w:t>
            </w:r>
            <w:r>
              <w:rPr>
                <w:rFonts w:hint="eastAsia" w:ascii="宋体" w:hAnsi="宋体"/>
                <w:b/>
                <w:highlight w:val="none"/>
                <w:u w:val="single"/>
              </w:rPr>
              <w:t>30</w:t>
            </w:r>
            <w:r>
              <w:rPr>
                <w:rFonts w:hint="eastAsia" w:ascii="宋体" w:hAnsi="宋体"/>
                <w:b/>
                <w:highlight w:val="none"/>
              </w:rPr>
              <w:t>分</w:t>
            </w:r>
          </w:p>
        </w:tc>
      </w:tr>
      <w:tr w14:paraId="510C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7298342C">
            <w:pPr>
              <w:jc w:val="center"/>
              <w:rPr>
                <w:rFonts w:ascii="宋体" w:hAnsi="宋体"/>
                <w:highlight w:val="none"/>
              </w:rPr>
            </w:pPr>
            <w:r>
              <w:rPr>
                <w:rFonts w:ascii="宋体" w:hAnsi="宋体"/>
                <w:highlight w:val="none"/>
              </w:rPr>
              <w:t>2.2.2</w:t>
            </w:r>
          </w:p>
        </w:tc>
        <w:tc>
          <w:tcPr>
            <w:tcW w:w="593" w:type="pct"/>
            <w:vAlign w:val="center"/>
          </w:tcPr>
          <w:p w14:paraId="676FBA37">
            <w:pPr>
              <w:jc w:val="center"/>
              <w:rPr>
                <w:rFonts w:ascii="宋体" w:hAnsi="宋体"/>
                <w:highlight w:val="none"/>
              </w:rPr>
            </w:pPr>
            <w:r>
              <w:rPr>
                <w:rFonts w:hint="eastAsia" w:ascii="宋体" w:hAnsi="宋体"/>
                <w:highlight w:val="none"/>
              </w:rPr>
              <w:t>评标基准价计算方法</w:t>
            </w:r>
          </w:p>
        </w:tc>
        <w:tc>
          <w:tcPr>
            <w:tcW w:w="3982" w:type="pct"/>
            <w:vAlign w:val="center"/>
          </w:tcPr>
          <w:p w14:paraId="470CD45D">
            <w:pPr>
              <w:snapToGrid w:val="0"/>
              <w:spacing w:line="320" w:lineRule="exact"/>
              <w:ind w:firstLine="422"/>
              <w:jc w:val="left"/>
              <w:rPr>
                <w:rFonts w:ascii="宋体" w:hAnsi="宋体"/>
                <w:b/>
                <w:highlight w:val="none"/>
              </w:rPr>
            </w:pPr>
            <w:r>
              <w:rPr>
                <w:rFonts w:hint="eastAsia" w:ascii="宋体" w:hAnsi="宋体"/>
                <w:b/>
                <w:highlight w:val="none"/>
              </w:rPr>
              <w:t>评标基准价的计算：</w:t>
            </w:r>
          </w:p>
          <w:p w14:paraId="49137AAA">
            <w:pPr>
              <w:snapToGrid w:val="0"/>
              <w:spacing w:line="320" w:lineRule="exact"/>
              <w:ind w:right="-107" w:firstLine="420"/>
              <w:rPr>
                <w:rFonts w:ascii="宋体" w:hAnsi="宋体"/>
                <w:szCs w:val="21"/>
                <w:highlight w:val="none"/>
              </w:rPr>
            </w:pPr>
            <w:r>
              <w:rPr>
                <w:rFonts w:hint="eastAsia" w:ascii="宋体" w:hAnsi="宋体"/>
                <w:szCs w:val="21"/>
                <w:highlight w:val="none"/>
              </w:rPr>
              <w:t>在开标现场，招标人将当场计算并宣布评标基准价。</w:t>
            </w:r>
          </w:p>
          <w:p w14:paraId="1C6BC8BD">
            <w:pPr>
              <w:snapToGrid w:val="0"/>
              <w:spacing w:line="320" w:lineRule="exact"/>
              <w:ind w:left="113" w:right="-107" w:firstLine="210" w:firstLineChars="100"/>
              <w:rPr>
                <w:rFonts w:ascii="宋体" w:hAnsi="宋体"/>
                <w:szCs w:val="21"/>
                <w:highlight w:val="none"/>
              </w:rPr>
            </w:pPr>
            <w:r>
              <w:rPr>
                <w:rFonts w:hint="eastAsia" w:ascii="宋体" w:hAnsi="宋体"/>
                <w:szCs w:val="21"/>
                <w:highlight w:val="none"/>
              </w:rPr>
              <w:t>（1）评标价的确定：</w:t>
            </w:r>
          </w:p>
          <w:p w14:paraId="29F4DC13">
            <w:pPr>
              <w:snapToGrid w:val="0"/>
              <w:spacing w:line="320" w:lineRule="exact"/>
              <w:ind w:left="113" w:right="-107" w:firstLine="210" w:firstLineChars="100"/>
              <w:rPr>
                <w:rFonts w:ascii="宋体" w:hAnsi="宋体"/>
                <w:szCs w:val="21"/>
                <w:highlight w:val="none"/>
              </w:rPr>
            </w:pPr>
            <w:r>
              <w:rPr>
                <w:rFonts w:hint="eastAsia" w:ascii="宋体" w:hAnsi="宋体"/>
                <w:szCs w:val="21"/>
                <w:highlight w:val="none"/>
              </w:rPr>
              <w:t>评标价=投标函文字报价</w:t>
            </w:r>
          </w:p>
          <w:p w14:paraId="0F4EB10F">
            <w:pPr>
              <w:snapToGrid w:val="0"/>
              <w:spacing w:line="320" w:lineRule="exact"/>
              <w:ind w:left="113" w:right="-107" w:firstLine="210" w:firstLineChars="100"/>
              <w:rPr>
                <w:rFonts w:ascii="宋体" w:hAnsi="宋体"/>
                <w:szCs w:val="21"/>
                <w:highlight w:val="none"/>
              </w:rPr>
            </w:pPr>
            <w:r>
              <w:rPr>
                <w:rFonts w:hint="eastAsia" w:ascii="宋体" w:hAnsi="宋体"/>
                <w:szCs w:val="21"/>
                <w:highlight w:val="none"/>
              </w:rPr>
              <w:t>（2）评标价平均值的计算：</w:t>
            </w:r>
          </w:p>
          <w:p w14:paraId="7B904A49">
            <w:pPr>
              <w:snapToGrid w:val="0"/>
              <w:spacing w:line="320" w:lineRule="exact"/>
              <w:ind w:right="-107" w:firstLine="426" w:firstLineChars="203"/>
              <w:rPr>
                <w:rFonts w:ascii="宋体" w:hAnsi="宋体"/>
                <w:szCs w:val="21"/>
                <w:highlight w:val="none"/>
              </w:rPr>
            </w:pPr>
            <w:r>
              <w:rPr>
                <w:rFonts w:hint="eastAsia" w:ascii="宋体" w:hAnsi="宋体"/>
                <w:szCs w:val="21"/>
                <w:highlight w:val="none"/>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14:paraId="1EDB5926">
            <w:pPr>
              <w:snapToGrid w:val="0"/>
              <w:spacing w:line="320" w:lineRule="exact"/>
              <w:ind w:right="-107" w:firstLine="426" w:firstLineChars="203"/>
              <w:rPr>
                <w:rFonts w:ascii="宋体" w:hAnsi="宋体"/>
                <w:szCs w:val="21"/>
                <w:highlight w:val="none"/>
              </w:rPr>
            </w:pPr>
            <w:r>
              <w:rPr>
                <w:rFonts w:hint="eastAsia" w:ascii="宋体" w:hAnsi="宋体"/>
                <w:szCs w:val="21"/>
                <w:highlight w:val="none"/>
              </w:rPr>
              <w:t>（3）评标基准价的确定：</w:t>
            </w:r>
          </w:p>
          <w:p w14:paraId="06A02182">
            <w:pPr>
              <w:snapToGrid w:val="0"/>
              <w:spacing w:line="320" w:lineRule="exact"/>
              <w:ind w:right="-107" w:firstLine="426" w:firstLineChars="203"/>
              <w:rPr>
                <w:rFonts w:ascii="宋体" w:hAnsi="宋体"/>
                <w:szCs w:val="21"/>
                <w:highlight w:val="none"/>
              </w:rPr>
            </w:pPr>
            <w:r>
              <w:rPr>
                <w:rFonts w:hint="eastAsia" w:ascii="宋体" w:hAnsi="宋体"/>
                <w:szCs w:val="21"/>
                <w:highlight w:val="none"/>
              </w:rPr>
              <w:t>将评标价平均值直接作为评标基准价（评标基准价保留小数点后两位，小数点后第三位四舍五入）。</w:t>
            </w:r>
          </w:p>
          <w:p w14:paraId="68614262">
            <w:pPr>
              <w:snapToGrid w:val="0"/>
              <w:spacing w:line="320" w:lineRule="exact"/>
              <w:ind w:firstLine="420" w:firstLineChars="200"/>
              <w:jc w:val="left"/>
              <w:rPr>
                <w:rFonts w:ascii="宋体" w:hAnsi="宋体"/>
                <w:highlight w:val="none"/>
              </w:rPr>
            </w:pPr>
            <w:r>
              <w:rPr>
                <w:rFonts w:hint="eastAsia" w:ascii="宋体" w:hAnsi="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8D9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1DD1C7B5">
            <w:pPr>
              <w:jc w:val="center"/>
              <w:rPr>
                <w:rFonts w:ascii="宋体" w:hAnsi="宋体"/>
                <w:highlight w:val="none"/>
              </w:rPr>
            </w:pPr>
            <w:r>
              <w:rPr>
                <w:rFonts w:ascii="宋体" w:hAnsi="宋体"/>
                <w:highlight w:val="none"/>
              </w:rPr>
              <w:t>2.2.3</w:t>
            </w:r>
          </w:p>
        </w:tc>
        <w:tc>
          <w:tcPr>
            <w:tcW w:w="593" w:type="pct"/>
            <w:vAlign w:val="center"/>
          </w:tcPr>
          <w:p w14:paraId="03D10E69">
            <w:pPr>
              <w:jc w:val="center"/>
              <w:rPr>
                <w:rFonts w:ascii="宋体" w:hAnsi="宋体"/>
                <w:highlight w:val="none"/>
              </w:rPr>
            </w:pPr>
            <w:r>
              <w:rPr>
                <w:rFonts w:hint="eastAsia" w:ascii="宋体" w:hAnsi="宋体"/>
                <w:highlight w:val="none"/>
              </w:rPr>
              <w:t>评标价的偏差率计算公式</w:t>
            </w:r>
          </w:p>
        </w:tc>
        <w:tc>
          <w:tcPr>
            <w:tcW w:w="3982" w:type="pct"/>
            <w:vAlign w:val="center"/>
          </w:tcPr>
          <w:p w14:paraId="152A69CC">
            <w:pPr>
              <w:ind w:firstLine="420"/>
              <w:jc w:val="left"/>
              <w:rPr>
                <w:rFonts w:ascii="宋体" w:hAnsi="宋体"/>
                <w:highlight w:val="none"/>
              </w:rPr>
            </w:pPr>
            <w:r>
              <w:rPr>
                <w:rFonts w:hint="eastAsia" w:ascii="宋体" w:hAnsi="宋体"/>
                <w:highlight w:val="none"/>
              </w:rPr>
              <w:t>偏差率=100%×（投标人评标价-评标基准价）／评标基准价</w:t>
            </w:r>
          </w:p>
        </w:tc>
      </w:tr>
      <w:tr w14:paraId="13F2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194B4FE9">
            <w:pPr>
              <w:jc w:val="center"/>
              <w:rPr>
                <w:rFonts w:ascii="宋体" w:hAnsi="宋体"/>
                <w:highlight w:val="none"/>
              </w:rPr>
            </w:pPr>
            <w:r>
              <w:rPr>
                <w:rFonts w:hint="eastAsia" w:ascii="宋体" w:hAnsi="宋体"/>
                <w:highlight w:val="none"/>
              </w:rPr>
              <w:t>3</w:t>
            </w:r>
            <w:r>
              <w:rPr>
                <w:rFonts w:ascii="宋体" w:hAnsi="宋体"/>
                <w:highlight w:val="none"/>
              </w:rPr>
              <w:t>.6.1</w:t>
            </w:r>
          </w:p>
        </w:tc>
        <w:tc>
          <w:tcPr>
            <w:tcW w:w="593" w:type="pct"/>
            <w:vAlign w:val="center"/>
          </w:tcPr>
          <w:p w14:paraId="3164983F">
            <w:pPr>
              <w:adjustRightInd w:val="0"/>
              <w:snapToGrid w:val="0"/>
              <w:spacing w:line="300" w:lineRule="exact"/>
              <w:jc w:val="center"/>
              <w:rPr>
                <w:rFonts w:ascii="宋体" w:hAnsi="宋体"/>
                <w:highlight w:val="none"/>
              </w:rPr>
            </w:pPr>
            <w:r>
              <w:rPr>
                <w:rFonts w:hint="eastAsia" w:ascii="宋体" w:hAnsi="宋体"/>
                <w:highlight w:val="none"/>
              </w:rPr>
              <w:t>信息查询</w:t>
            </w:r>
          </w:p>
        </w:tc>
        <w:tc>
          <w:tcPr>
            <w:tcW w:w="3982" w:type="pct"/>
            <w:vAlign w:val="center"/>
          </w:tcPr>
          <w:p w14:paraId="378CE0B9">
            <w:pPr>
              <w:autoSpaceDE w:val="0"/>
              <w:autoSpaceDN w:val="0"/>
              <w:spacing w:line="320" w:lineRule="exact"/>
              <w:rPr>
                <w:rFonts w:ascii="Times New Roman" w:hAnsi="Times New Roman"/>
                <w:highlight w:val="none"/>
              </w:rPr>
            </w:pPr>
            <w:r>
              <w:rPr>
                <w:rFonts w:hint="eastAsia" w:ascii="Times New Roman" w:hAnsi="Times New Roman"/>
                <w:highlight w:val="none"/>
              </w:rPr>
              <w:t>（1）投标人信用情况网页截图内容与在“国家企业信用信息公示系统”中严重违法失信企业名单（不含分公司，事业单位投标人不适用，下同）或在“信用中国”网站（http://www.creditchina.gov.cn/)中被列入失信被执行人、经营异常名录、重大税收违法失信主体、政府采购严重违法失信行为记录名单（均不含分公司，下同）的复核结果一致。如投标人未提供相关网页截图或所附截图与复核结果不一致，评标委员会应否决其投标。</w:t>
            </w:r>
          </w:p>
          <w:p w14:paraId="1B879693">
            <w:pPr>
              <w:autoSpaceDE w:val="0"/>
              <w:autoSpaceDN w:val="0"/>
              <w:spacing w:line="320" w:lineRule="exact"/>
              <w:rPr>
                <w:rFonts w:ascii="Times New Roman" w:hAnsi="Times New Roman"/>
                <w:highlight w:val="none"/>
              </w:rPr>
            </w:pPr>
            <w:r>
              <w:rPr>
                <w:rFonts w:hint="eastAsia" w:ascii="Times New Roman" w:hAnsi="Times New Roman"/>
                <w:highlight w:val="none"/>
              </w:rPr>
              <w:t>（2）评标委员会在评标时按照投标人提供的验证方式对电子保函或电子保证保险进行验证。如投标人未提供电子保函或电子保证保险的验证方式，或根据提供的验证方式无法核实的，评标委员会应否决其投标。</w:t>
            </w:r>
          </w:p>
          <w:p w14:paraId="7B68DBF1">
            <w:pPr>
              <w:autoSpaceDE w:val="0"/>
              <w:autoSpaceDN w:val="0"/>
              <w:spacing w:line="273" w:lineRule="auto"/>
              <w:ind w:firstLine="420" w:firstLineChars="200"/>
              <w:rPr>
                <w:rFonts w:ascii="Times New Roman" w:hAnsi="Times New Roman"/>
                <w:highlight w:val="none"/>
              </w:rPr>
            </w:pPr>
            <w:r>
              <w:rPr>
                <w:rFonts w:hint="eastAsia" w:ascii="Times New Roman" w:hAnsi="Times New Roman"/>
                <w:highlight w:val="none"/>
              </w:rPr>
              <w:t>投标人按招标文件要求提供了截图并更新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6DBF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3"/>
            <w:vAlign w:val="center"/>
          </w:tcPr>
          <w:p w14:paraId="64322EA9">
            <w:pPr>
              <w:jc w:val="left"/>
              <w:rPr>
                <w:rFonts w:ascii="宋体" w:hAnsi="宋体"/>
                <w:bCs/>
                <w:szCs w:val="21"/>
                <w:highlight w:val="none"/>
              </w:rPr>
            </w:pPr>
            <w:r>
              <w:rPr>
                <w:rFonts w:hint="eastAsia" w:ascii="宋体" w:hAnsi="宋体"/>
                <w:szCs w:val="21"/>
                <w:highlight w:val="none"/>
              </w:rPr>
              <w:t>需要补充的其他内容：</w:t>
            </w:r>
            <w:r>
              <w:rPr>
                <w:rFonts w:hint="eastAsia" w:ascii="宋体" w:hAnsi="宋体"/>
                <w:bCs/>
                <w:szCs w:val="21"/>
                <w:highlight w:val="none"/>
              </w:rPr>
              <w:t>无</w:t>
            </w:r>
          </w:p>
        </w:tc>
      </w:tr>
    </w:tbl>
    <w:p w14:paraId="25FA193B">
      <w:pPr>
        <w:ind w:firstLine="420"/>
        <w:rPr>
          <w:highlight w:val="none"/>
        </w:rPr>
      </w:pPr>
    </w:p>
    <w:p w14:paraId="34805BB0">
      <w:pPr>
        <w:ind w:firstLine="420"/>
        <w:jc w:val="right"/>
        <w:rPr>
          <w:highlight w:val="none"/>
        </w:rPr>
      </w:pPr>
      <w:r>
        <w:rPr>
          <w:highlight w:val="none"/>
        </w:rPr>
        <w:br w:type="page"/>
      </w:r>
      <w:bookmarkEnd w:id="8"/>
      <w:r>
        <w:rPr>
          <w:rFonts w:hint="eastAsia"/>
          <w:highlight w:val="none"/>
        </w:rPr>
        <w:t>续上表</w:t>
      </w:r>
    </w:p>
    <w:tbl>
      <w:tblPr>
        <w:tblStyle w:val="5"/>
        <w:tblW w:w="5173"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908"/>
        <w:gridCol w:w="470"/>
        <w:gridCol w:w="680"/>
        <w:gridCol w:w="1476"/>
        <w:gridCol w:w="691"/>
        <w:gridCol w:w="4385"/>
      </w:tblGrid>
      <w:tr w14:paraId="38E4D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6" w:hRule="atLeast"/>
        </w:trPr>
        <w:tc>
          <w:tcPr>
            <w:tcW w:w="527" w:type="pct"/>
            <w:vAlign w:val="center"/>
          </w:tcPr>
          <w:p w14:paraId="0F3D6F2B">
            <w:pPr>
              <w:autoSpaceDE w:val="0"/>
              <w:autoSpaceDN w:val="0"/>
              <w:spacing w:line="440" w:lineRule="exact"/>
              <w:ind w:right="-107" w:rightChars="0" w:firstLine="211" w:firstLineChars="100"/>
              <w:rPr>
                <w:rFonts w:ascii="宋体" w:hAnsi="宋体" w:cs="宋体"/>
                <w:b/>
                <w:kern w:val="0"/>
                <w:szCs w:val="21"/>
                <w:highlight w:val="none"/>
              </w:rPr>
            </w:pPr>
            <w:r>
              <w:rPr>
                <w:rFonts w:hint="eastAsia" w:ascii="宋体" w:hAnsi="宋体" w:cs="宋体"/>
                <w:b/>
                <w:kern w:val="0"/>
                <w:szCs w:val="21"/>
                <w:highlight w:val="none"/>
              </w:rPr>
              <w:t>条款号</w:t>
            </w:r>
          </w:p>
        </w:tc>
        <w:tc>
          <w:tcPr>
            <w:tcW w:w="1926" w:type="pct"/>
            <w:gridSpan w:val="4"/>
            <w:tcBorders>
              <w:right w:val="single" w:color="auto" w:sz="4" w:space="0"/>
            </w:tcBorders>
            <w:vAlign w:val="center"/>
          </w:tcPr>
          <w:p w14:paraId="48022194">
            <w:pPr>
              <w:autoSpaceDE w:val="0"/>
              <w:autoSpaceDN w:val="0"/>
              <w:spacing w:line="440" w:lineRule="exact"/>
              <w:ind w:right="-107" w:rightChars="0" w:firstLine="422" w:firstLineChars="0"/>
              <w:jc w:val="center"/>
              <w:rPr>
                <w:rFonts w:ascii="宋体" w:hAnsi="宋体" w:cs="宋体"/>
                <w:b/>
                <w:kern w:val="0"/>
                <w:szCs w:val="21"/>
                <w:highlight w:val="none"/>
              </w:rPr>
            </w:pPr>
            <w:r>
              <w:rPr>
                <w:rFonts w:hint="eastAsia" w:ascii="宋体" w:hAnsi="宋体" w:cs="宋体"/>
                <w:b/>
                <w:kern w:val="0"/>
                <w:szCs w:val="21"/>
                <w:highlight w:val="none"/>
              </w:rPr>
              <w:t>评审因素与权重分值</w:t>
            </w:r>
          </w:p>
        </w:tc>
        <w:tc>
          <w:tcPr>
            <w:tcW w:w="2545" w:type="pct"/>
            <w:vMerge w:val="restart"/>
            <w:tcBorders>
              <w:left w:val="single" w:color="auto" w:sz="4" w:space="0"/>
            </w:tcBorders>
            <w:vAlign w:val="center"/>
          </w:tcPr>
          <w:p w14:paraId="1CCA7445">
            <w:pPr>
              <w:autoSpaceDE w:val="0"/>
              <w:autoSpaceDN w:val="0"/>
              <w:spacing w:line="440" w:lineRule="exact"/>
              <w:ind w:right="-107" w:rightChars="0" w:firstLine="422" w:firstLineChars="0"/>
              <w:jc w:val="center"/>
              <w:rPr>
                <w:rFonts w:hint="default" w:ascii="宋体" w:hAnsi="宋体" w:eastAsia="宋体" w:cs="宋体"/>
                <w:b/>
                <w:kern w:val="0"/>
                <w:szCs w:val="21"/>
                <w:highlight w:val="none"/>
                <w:lang w:val="en-US" w:eastAsia="zh-CN"/>
              </w:rPr>
            </w:pPr>
            <w:r>
              <w:rPr>
                <w:rFonts w:hint="eastAsia" w:ascii="宋体" w:hAnsi="宋体" w:cs="宋体"/>
                <w:b/>
                <w:kern w:val="0"/>
                <w:szCs w:val="21"/>
                <w:highlight w:val="none"/>
              </w:rPr>
              <w:t>评分标准</w:t>
            </w:r>
            <w:r>
              <w:rPr>
                <w:rFonts w:hint="eastAsia" w:ascii="宋体" w:hAnsi="宋体" w:cs="宋体"/>
                <w:b/>
                <w:kern w:val="0"/>
                <w:szCs w:val="21"/>
                <w:highlight w:val="none"/>
                <w:lang w:val="en-US" w:eastAsia="zh-CN"/>
              </w:rPr>
              <w:t xml:space="preserve"> </w:t>
            </w:r>
          </w:p>
        </w:tc>
      </w:tr>
      <w:tr w14:paraId="7E399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9" w:hRule="atLeast"/>
        </w:trPr>
        <w:tc>
          <w:tcPr>
            <w:tcW w:w="527" w:type="pct"/>
            <w:vMerge w:val="restart"/>
            <w:vAlign w:val="center"/>
          </w:tcPr>
          <w:p w14:paraId="3A5FA74C">
            <w:pPr>
              <w:jc w:val="center"/>
              <w:rPr>
                <w:rFonts w:ascii="宋体" w:hAnsi="宋体" w:cs="宋体"/>
                <w:kern w:val="0"/>
                <w:szCs w:val="21"/>
                <w:highlight w:val="none"/>
              </w:rPr>
            </w:pPr>
            <w:r>
              <w:rPr>
                <w:rFonts w:hint="eastAsia" w:ascii="宋体" w:hAnsi="宋体"/>
                <w:szCs w:val="21"/>
                <w:highlight w:val="none"/>
              </w:rPr>
              <w:t>2.2.4(1)</w:t>
            </w:r>
          </w:p>
        </w:tc>
        <w:tc>
          <w:tcPr>
            <w:tcW w:w="273" w:type="pct"/>
            <w:vAlign w:val="center"/>
          </w:tcPr>
          <w:p w14:paraId="695AD3E6">
            <w:pPr>
              <w:jc w:val="center"/>
              <w:rPr>
                <w:rFonts w:ascii="宋体" w:hAnsi="宋体"/>
                <w:szCs w:val="21"/>
                <w:highlight w:val="none"/>
              </w:rPr>
            </w:pPr>
            <w:r>
              <w:rPr>
                <w:rFonts w:hint="eastAsia" w:ascii="宋体" w:hAnsi="宋体"/>
                <w:szCs w:val="21"/>
                <w:highlight w:val="none"/>
              </w:rPr>
              <w:t>评分</w:t>
            </w:r>
          </w:p>
          <w:p w14:paraId="3D90011F">
            <w:pPr>
              <w:jc w:val="center"/>
              <w:rPr>
                <w:rFonts w:ascii="宋体" w:hAnsi="宋体"/>
                <w:szCs w:val="21"/>
                <w:highlight w:val="none"/>
              </w:rPr>
            </w:pPr>
            <w:r>
              <w:rPr>
                <w:rFonts w:hint="eastAsia" w:ascii="宋体" w:hAnsi="宋体"/>
                <w:szCs w:val="21"/>
                <w:highlight w:val="none"/>
              </w:rPr>
              <w:t>因素</w:t>
            </w:r>
          </w:p>
        </w:tc>
        <w:tc>
          <w:tcPr>
            <w:tcW w:w="395" w:type="pct"/>
            <w:vAlign w:val="center"/>
          </w:tcPr>
          <w:p w14:paraId="16F912A0">
            <w:pPr>
              <w:jc w:val="center"/>
              <w:rPr>
                <w:rFonts w:ascii="宋体" w:hAnsi="宋体"/>
                <w:szCs w:val="21"/>
                <w:highlight w:val="none"/>
              </w:rPr>
            </w:pPr>
            <w:r>
              <w:rPr>
                <w:rFonts w:hint="eastAsia" w:ascii="宋体" w:hAnsi="宋体"/>
                <w:szCs w:val="21"/>
                <w:highlight w:val="none"/>
              </w:rPr>
              <w:t>评分因素权重分值</w:t>
            </w:r>
          </w:p>
        </w:tc>
        <w:tc>
          <w:tcPr>
            <w:tcW w:w="857" w:type="pct"/>
            <w:tcBorders>
              <w:right w:val="single" w:color="auto" w:sz="4" w:space="0"/>
            </w:tcBorders>
            <w:vAlign w:val="center"/>
          </w:tcPr>
          <w:p w14:paraId="6EFE599B">
            <w:pPr>
              <w:jc w:val="center"/>
              <w:rPr>
                <w:rFonts w:ascii="宋体" w:hAnsi="宋体" w:cs="宋体"/>
                <w:kern w:val="0"/>
                <w:szCs w:val="21"/>
                <w:highlight w:val="none"/>
              </w:rPr>
            </w:pPr>
            <w:r>
              <w:rPr>
                <w:rFonts w:hint="eastAsia" w:ascii="宋体" w:hAnsi="宋体" w:cs="宋体"/>
                <w:kern w:val="0"/>
                <w:szCs w:val="21"/>
                <w:highlight w:val="none"/>
              </w:rPr>
              <w:t>各评分因素</w:t>
            </w:r>
          </w:p>
          <w:p w14:paraId="46764EF0">
            <w:pPr>
              <w:jc w:val="center"/>
              <w:rPr>
                <w:rFonts w:ascii="宋体" w:hAnsi="宋体" w:cs="宋体"/>
                <w:kern w:val="0"/>
                <w:szCs w:val="21"/>
                <w:highlight w:val="none"/>
              </w:rPr>
            </w:pPr>
            <w:r>
              <w:rPr>
                <w:rFonts w:hint="eastAsia" w:ascii="宋体" w:hAnsi="宋体" w:cs="宋体"/>
                <w:kern w:val="0"/>
                <w:szCs w:val="21"/>
                <w:highlight w:val="none"/>
              </w:rPr>
              <w:t>细分项</w:t>
            </w:r>
          </w:p>
        </w:tc>
        <w:tc>
          <w:tcPr>
            <w:tcW w:w="401" w:type="pct"/>
            <w:tcBorders>
              <w:left w:val="single" w:color="auto" w:sz="4" w:space="0"/>
              <w:right w:val="single" w:color="auto" w:sz="4" w:space="0"/>
            </w:tcBorders>
            <w:vAlign w:val="center"/>
          </w:tcPr>
          <w:p w14:paraId="29531E45">
            <w:pPr>
              <w:jc w:val="center"/>
              <w:rPr>
                <w:rFonts w:ascii="宋体" w:hAnsi="宋体"/>
                <w:szCs w:val="21"/>
                <w:highlight w:val="none"/>
              </w:rPr>
            </w:pPr>
            <w:r>
              <w:rPr>
                <w:rFonts w:hint="eastAsia" w:ascii="宋体" w:hAnsi="宋体"/>
                <w:szCs w:val="21"/>
                <w:highlight w:val="none"/>
              </w:rPr>
              <w:t>分值</w:t>
            </w:r>
          </w:p>
        </w:tc>
        <w:tc>
          <w:tcPr>
            <w:tcW w:w="2545" w:type="pct"/>
            <w:vMerge w:val="continue"/>
            <w:tcBorders>
              <w:left w:val="single" w:color="auto" w:sz="4" w:space="0"/>
              <w:bottom w:val="single" w:color="auto" w:sz="4" w:space="0"/>
            </w:tcBorders>
            <w:vAlign w:val="center"/>
          </w:tcPr>
          <w:p w14:paraId="3528E891">
            <w:pPr>
              <w:autoSpaceDE w:val="0"/>
              <w:autoSpaceDN w:val="0"/>
              <w:snapToGrid w:val="0"/>
              <w:ind w:right="-107" w:rightChars="0" w:firstLine="420" w:firstLineChars="0"/>
              <w:jc w:val="center"/>
              <w:rPr>
                <w:rFonts w:ascii="宋体" w:hAnsi="宋体" w:cs="宋体"/>
                <w:kern w:val="0"/>
                <w:szCs w:val="21"/>
                <w:highlight w:val="none"/>
              </w:rPr>
            </w:pPr>
          </w:p>
        </w:tc>
      </w:tr>
      <w:tr w14:paraId="563AF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7" w:hRule="atLeast"/>
        </w:trPr>
        <w:tc>
          <w:tcPr>
            <w:tcW w:w="527" w:type="pct"/>
            <w:vMerge w:val="continue"/>
            <w:vAlign w:val="center"/>
          </w:tcPr>
          <w:p w14:paraId="05240E8F">
            <w:pPr>
              <w:autoSpaceDE w:val="0"/>
              <w:autoSpaceDN w:val="0"/>
              <w:snapToGrid w:val="0"/>
              <w:ind w:right="-107" w:rightChars="0" w:firstLine="420" w:firstLineChars="0"/>
              <w:jc w:val="center"/>
              <w:rPr>
                <w:rFonts w:ascii="宋体" w:hAnsi="宋体" w:cs="宋体"/>
                <w:kern w:val="0"/>
                <w:szCs w:val="21"/>
                <w:highlight w:val="none"/>
              </w:rPr>
            </w:pPr>
          </w:p>
        </w:tc>
        <w:tc>
          <w:tcPr>
            <w:tcW w:w="273" w:type="pct"/>
            <w:vMerge w:val="restart"/>
            <w:vAlign w:val="center"/>
          </w:tcPr>
          <w:p w14:paraId="01C1F023">
            <w:pPr>
              <w:jc w:val="center"/>
              <w:rPr>
                <w:rFonts w:ascii="宋体" w:hAnsi="宋体" w:cs="宋体"/>
                <w:kern w:val="0"/>
                <w:szCs w:val="21"/>
                <w:highlight w:val="none"/>
              </w:rPr>
            </w:pPr>
            <w:r>
              <w:rPr>
                <w:rFonts w:hint="eastAsia" w:ascii="宋体" w:hAnsi="宋体" w:cs="宋体"/>
                <w:kern w:val="0"/>
                <w:szCs w:val="21"/>
                <w:highlight w:val="none"/>
              </w:rPr>
              <w:t>技术</w:t>
            </w:r>
            <w:r>
              <w:rPr>
                <w:rFonts w:hint="eastAsia" w:ascii="宋体" w:hAnsi="宋体" w:cs="宋体"/>
                <w:kern w:val="0"/>
                <w:szCs w:val="21"/>
                <w:highlight w:val="none"/>
                <w:lang w:eastAsia="zh-CN"/>
              </w:rPr>
              <w:t>部分</w:t>
            </w:r>
          </w:p>
        </w:tc>
        <w:tc>
          <w:tcPr>
            <w:tcW w:w="395" w:type="pct"/>
            <w:vMerge w:val="restart"/>
            <w:vAlign w:val="center"/>
          </w:tcPr>
          <w:p w14:paraId="15E4F195">
            <w:pPr>
              <w:jc w:val="center"/>
              <w:rPr>
                <w:rFonts w:ascii="宋体" w:hAnsi="宋体" w:cs="宋体"/>
                <w:kern w:val="0"/>
                <w:szCs w:val="21"/>
                <w:highlight w:val="none"/>
              </w:rPr>
            </w:pPr>
            <w:r>
              <w:rPr>
                <w:rFonts w:hint="eastAsia" w:ascii="宋体" w:hAnsi="宋体" w:cs="宋体"/>
                <w:kern w:val="0"/>
                <w:szCs w:val="21"/>
                <w:highlight w:val="none"/>
                <w:lang w:val="en-US" w:eastAsia="zh-CN"/>
              </w:rPr>
              <w:t>50</w:t>
            </w:r>
            <w:r>
              <w:rPr>
                <w:rFonts w:hint="eastAsia" w:ascii="宋体" w:hAnsi="宋体" w:cs="宋体"/>
                <w:kern w:val="0"/>
                <w:szCs w:val="21"/>
                <w:highlight w:val="none"/>
              </w:rPr>
              <w:t>分</w:t>
            </w:r>
          </w:p>
        </w:tc>
        <w:tc>
          <w:tcPr>
            <w:tcW w:w="857" w:type="pct"/>
            <w:vMerge w:val="restart"/>
            <w:tcBorders>
              <w:right w:val="single" w:color="auto" w:sz="4" w:space="0"/>
            </w:tcBorders>
            <w:vAlign w:val="center"/>
          </w:tcPr>
          <w:p w14:paraId="358460E9">
            <w:pPr>
              <w:jc w:val="center"/>
              <w:rPr>
                <w:rFonts w:hint="eastAsia" w:ascii="Times New Roman" w:hAnsi="Times New Roman" w:eastAsia="宋体"/>
                <w:kern w:val="0"/>
                <w:szCs w:val="21"/>
                <w:highlight w:val="none"/>
                <w:lang w:eastAsia="zh-CN"/>
              </w:rPr>
            </w:pPr>
            <w:r>
              <w:rPr>
                <w:rFonts w:hint="eastAsia" w:ascii="Times New Roman" w:hAnsi="Times New Roman" w:eastAsia="宋体"/>
                <w:kern w:val="0"/>
                <w:szCs w:val="21"/>
                <w:highlight w:val="none"/>
                <w:lang w:val="en-US" w:eastAsia="zh-CN"/>
              </w:rPr>
              <w:t xml:space="preserve">产品技术 </w:t>
            </w:r>
          </w:p>
          <w:p w14:paraId="0885FE99">
            <w:pPr>
              <w:jc w:val="center"/>
              <w:rPr>
                <w:rFonts w:hint="eastAsia" w:ascii="Times New Roman" w:hAnsi="Times New Roman" w:eastAsia="宋体"/>
                <w:kern w:val="0"/>
                <w:szCs w:val="21"/>
                <w:highlight w:val="none"/>
                <w:lang w:eastAsia="zh-CN"/>
              </w:rPr>
            </w:pPr>
            <w:r>
              <w:rPr>
                <w:rFonts w:hint="default" w:ascii="Times New Roman" w:hAnsi="Times New Roman" w:eastAsia="宋体"/>
                <w:kern w:val="0"/>
                <w:szCs w:val="21"/>
                <w:highlight w:val="none"/>
                <w:lang w:val="en-US" w:eastAsia="zh-CN"/>
              </w:rPr>
              <w:t xml:space="preserve">参数响应 </w:t>
            </w:r>
          </w:p>
          <w:p w14:paraId="0D084DB5">
            <w:pPr>
              <w:jc w:val="center"/>
              <w:rPr>
                <w:rFonts w:hint="eastAsia" w:ascii="Times New Roman" w:hAnsi="Times New Roman" w:eastAsia="宋体"/>
                <w:kern w:val="0"/>
                <w:szCs w:val="21"/>
                <w:highlight w:val="none"/>
                <w:lang w:eastAsia="zh-CN"/>
              </w:rPr>
            </w:pPr>
            <w:r>
              <w:rPr>
                <w:rFonts w:hint="default" w:ascii="Times New Roman" w:hAnsi="Times New Roman" w:eastAsia="宋体"/>
                <w:kern w:val="0"/>
                <w:szCs w:val="21"/>
                <w:highlight w:val="none"/>
                <w:lang w:val="en-US" w:eastAsia="zh-CN"/>
              </w:rPr>
              <w:t>情况</w:t>
            </w:r>
          </w:p>
          <w:p w14:paraId="69284E8F">
            <w:pPr>
              <w:jc w:val="center"/>
              <w:rPr>
                <w:rFonts w:ascii="宋体" w:hAnsi="宋体"/>
                <w:szCs w:val="21"/>
                <w:highlight w:val="none"/>
              </w:rPr>
            </w:pPr>
          </w:p>
        </w:tc>
        <w:tc>
          <w:tcPr>
            <w:tcW w:w="401" w:type="pct"/>
            <w:vMerge w:val="restart"/>
            <w:tcBorders>
              <w:left w:val="single" w:color="auto" w:sz="4" w:space="0"/>
              <w:right w:val="single" w:color="auto" w:sz="4" w:space="0"/>
            </w:tcBorders>
            <w:vAlign w:val="center"/>
          </w:tcPr>
          <w:p w14:paraId="7FD1F86A">
            <w:pPr>
              <w:jc w:val="center"/>
              <w:rPr>
                <w:rFonts w:ascii="宋体" w:hAnsi="宋体"/>
                <w:szCs w:val="21"/>
                <w:highlight w:val="none"/>
              </w:rPr>
            </w:pPr>
            <w:r>
              <w:rPr>
                <w:rFonts w:hint="eastAsia" w:ascii="Times New Roman" w:hAnsi="Times New Roman"/>
                <w:szCs w:val="21"/>
                <w:highlight w:val="none"/>
                <w:lang w:val="en-US" w:eastAsia="zh-CN"/>
              </w:rPr>
              <w:t>20</w:t>
            </w:r>
            <w:r>
              <w:rPr>
                <w:rFonts w:ascii="Times New Roman" w:hAnsi="Times New Roman"/>
                <w:szCs w:val="21"/>
                <w:highlight w:val="none"/>
              </w:rPr>
              <w:t>分</w:t>
            </w:r>
          </w:p>
        </w:tc>
        <w:tc>
          <w:tcPr>
            <w:tcW w:w="2545" w:type="pct"/>
            <w:tcBorders>
              <w:top w:val="single" w:color="auto" w:sz="4" w:space="0"/>
              <w:left w:val="single" w:color="auto" w:sz="4" w:space="0"/>
            </w:tcBorders>
            <w:vAlign w:val="center"/>
          </w:tcPr>
          <w:p w14:paraId="72136310">
            <w:pPr>
              <w:pStyle w:val="4"/>
              <w:ind w:right="113" w:rightChars="0"/>
              <w:jc w:val="left"/>
              <w:rPr>
                <w:rFonts w:hint="eastAsia" w:ascii="宋体" w:hAnsi="宋体" w:eastAsia="宋体"/>
                <w:sz w:val="21"/>
                <w:szCs w:val="21"/>
                <w:highlight w:val="none"/>
                <w:lang w:val="en-US" w:eastAsia="zh-CN"/>
              </w:rPr>
            </w:pPr>
            <w:r>
              <w:rPr>
                <w:rFonts w:hint="eastAsia" w:ascii="宋体" w:hAnsi="宋体" w:eastAsia="宋体" w:cs="Times New Roman"/>
                <w:sz w:val="21"/>
                <w:szCs w:val="21"/>
                <w:highlight w:val="none"/>
              </w:rPr>
              <w:t>完全满足招标文件要求，设备整体性能优越，得16-20分</w:t>
            </w:r>
            <w:r>
              <w:rPr>
                <w:rFonts w:hint="eastAsia" w:hAnsi="宋体" w:cs="Times New Roman"/>
                <w:sz w:val="21"/>
                <w:szCs w:val="21"/>
                <w:highlight w:val="none"/>
                <w:lang w:val="en-US" w:eastAsia="zh-CN"/>
              </w:rPr>
              <w:t>;</w:t>
            </w:r>
          </w:p>
        </w:tc>
      </w:tr>
      <w:tr w14:paraId="10356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7" w:hRule="atLeast"/>
        </w:trPr>
        <w:tc>
          <w:tcPr>
            <w:tcW w:w="527" w:type="pct"/>
            <w:vMerge w:val="continue"/>
            <w:vAlign w:val="center"/>
          </w:tcPr>
          <w:p w14:paraId="742A2906">
            <w:pPr>
              <w:pStyle w:val="4"/>
              <w:adjustRightInd w:val="0"/>
              <w:snapToGrid w:val="0"/>
              <w:spacing w:line="320" w:lineRule="exact"/>
              <w:jc w:val="left"/>
              <w:rPr>
                <w:highlight w:val="none"/>
              </w:rPr>
            </w:pPr>
          </w:p>
        </w:tc>
        <w:tc>
          <w:tcPr>
            <w:tcW w:w="273" w:type="pct"/>
            <w:vMerge w:val="continue"/>
            <w:vAlign w:val="center"/>
          </w:tcPr>
          <w:p w14:paraId="0886F472">
            <w:pPr>
              <w:pStyle w:val="4"/>
              <w:adjustRightInd w:val="0"/>
              <w:snapToGrid w:val="0"/>
              <w:spacing w:line="320" w:lineRule="exact"/>
              <w:jc w:val="left"/>
              <w:rPr>
                <w:highlight w:val="none"/>
              </w:rPr>
            </w:pPr>
          </w:p>
        </w:tc>
        <w:tc>
          <w:tcPr>
            <w:tcW w:w="395" w:type="pct"/>
            <w:vMerge w:val="continue"/>
            <w:vAlign w:val="center"/>
          </w:tcPr>
          <w:p w14:paraId="1B81F64F">
            <w:pPr>
              <w:pStyle w:val="4"/>
              <w:adjustRightInd w:val="0"/>
              <w:snapToGrid w:val="0"/>
              <w:spacing w:line="320" w:lineRule="exact"/>
              <w:jc w:val="left"/>
              <w:rPr>
                <w:highlight w:val="none"/>
              </w:rPr>
            </w:pPr>
          </w:p>
        </w:tc>
        <w:tc>
          <w:tcPr>
            <w:tcW w:w="857" w:type="pct"/>
            <w:vMerge w:val="continue"/>
            <w:tcBorders>
              <w:right w:val="single" w:color="auto" w:sz="4" w:space="0"/>
            </w:tcBorders>
            <w:vAlign w:val="center"/>
          </w:tcPr>
          <w:p w14:paraId="7A2EB08B">
            <w:pPr>
              <w:pStyle w:val="4"/>
              <w:adjustRightInd w:val="0"/>
              <w:snapToGrid w:val="0"/>
              <w:spacing w:line="320" w:lineRule="exact"/>
              <w:jc w:val="left"/>
              <w:rPr>
                <w:highlight w:val="none"/>
              </w:rPr>
            </w:pPr>
          </w:p>
        </w:tc>
        <w:tc>
          <w:tcPr>
            <w:tcW w:w="401" w:type="pct"/>
            <w:vMerge w:val="continue"/>
            <w:tcBorders>
              <w:left w:val="single" w:color="auto" w:sz="4" w:space="0"/>
              <w:right w:val="single" w:color="auto" w:sz="4" w:space="0"/>
            </w:tcBorders>
            <w:vAlign w:val="center"/>
          </w:tcPr>
          <w:p w14:paraId="1D0F41AE">
            <w:pPr>
              <w:pStyle w:val="4"/>
              <w:adjustRightInd w:val="0"/>
              <w:snapToGrid w:val="0"/>
              <w:spacing w:line="320" w:lineRule="exact"/>
              <w:jc w:val="left"/>
              <w:rPr>
                <w:highlight w:val="none"/>
              </w:rPr>
            </w:pPr>
          </w:p>
        </w:tc>
        <w:tc>
          <w:tcPr>
            <w:tcW w:w="2545" w:type="pct"/>
            <w:tcBorders>
              <w:top w:val="single" w:color="auto" w:sz="4" w:space="0"/>
              <w:left w:val="single" w:color="auto" w:sz="4" w:space="0"/>
            </w:tcBorders>
            <w:vAlign w:val="center"/>
          </w:tcPr>
          <w:p w14:paraId="114DE817">
            <w:pPr>
              <w:pStyle w:val="4"/>
              <w:ind w:right="113" w:rightChars="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较好满足招标文件要求，设备整体性能较好，得12-16分；</w:t>
            </w:r>
          </w:p>
        </w:tc>
      </w:tr>
      <w:tr w14:paraId="4E92C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7" w:hRule="atLeast"/>
        </w:trPr>
        <w:tc>
          <w:tcPr>
            <w:tcW w:w="527" w:type="pct"/>
            <w:vMerge w:val="continue"/>
            <w:vAlign w:val="center"/>
          </w:tcPr>
          <w:p w14:paraId="01A6D82F">
            <w:pPr>
              <w:pStyle w:val="4"/>
              <w:adjustRightInd w:val="0"/>
              <w:snapToGrid w:val="0"/>
              <w:spacing w:line="320" w:lineRule="exact"/>
              <w:jc w:val="left"/>
              <w:rPr>
                <w:rFonts w:hint="default" w:ascii="宋体" w:hAnsi="宋体" w:eastAsia="宋体" w:cs="宋体"/>
                <w:sz w:val="21"/>
                <w:szCs w:val="21"/>
                <w:highlight w:val="none"/>
                <w:lang w:val="en-US" w:eastAsia="zh-CN"/>
              </w:rPr>
            </w:pPr>
          </w:p>
        </w:tc>
        <w:tc>
          <w:tcPr>
            <w:tcW w:w="273" w:type="pct"/>
            <w:vMerge w:val="continue"/>
            <w:vAlign w:val="center"/>
          </w:tcPr>
          <w:p w14:paraId="73EA6EEA">
            <w:pPr>
              <w:pStyle w:val="4"/>
              <w:adjustRightInd w:val="0"/>
              <w:snapToGrid w:val="0"/>
              <w:spacing w:line="320" w:lineRule="exact"/>
              <w:jc w:val="left"/>
              <w:rPr>
                <w:rFonts w:hint="default" w:ascii="宋体" w:hAnsi="宋体" w:eastAsia="宋体" w:cs="宋体"/>
                <w:sz w:val="21"/>
                <w:szCs w:val="21"/>
                <w:highlight w:val="none"/>
                <w:lang w:val="en-US" w:eastAsia="zh-CN"/>
              </w:rPr>
            </w:pPr>
          </w:p>
        </w:tc>
        <w:tc>
          <w:tcPr>
            <w:tcW w:w="395" w:type="pct"/>
            <w:vMerge w:val="continue"/>
            <w:vAlign w:val="center"/>
          </w:tcPr>
          <w:p w14:paraId="536AA329">
            <w:pPr>
              <w:pStyle w:val="4"/>
              <w:adjustRightInd w:val="0"/>
              <w:snapToGrid w:val="0"/>
              <w:spacing w:line="320" w:lineRule="exact"/>
              <w:jc w:val="left"/>
              <w:rPr>
                <w:rFonts w:hint="default" w:ascii="宋体" w:hAnsi="宋体" w:eastAsia="宋体" w:cs="宋体"/>
                <w:sz w:val="21"/>
                <w:szCs w:val="21"/>
                <w:highlight w:val="none"/>
                <w:lang w:val="en-US" w:eastAsia="zh-CN"/>
              </w:rPr>
            </w:pPr>
          </w:p>
        </w:tc>
        <w:tc>
          <w:tcPr>
            <w:tcW w:w="857" w:type="pct"/>
            <w:vMerge w:val="continue"/>
            <w:tcBorders>
              <w:right w:val="single" w:color="auto" w:sz="4" w:space="0"/>
            </w:tcBorders>
            <w:vAlign w:val="center"/>
          </w:tcPr>
          <w:p w14:paraId="68A418A5">
            <w:pPr>
              <w:pStyle w:val="4"/>
              <w:adjustRightInd w:val="0"/>
              <w:snapToGrid w:val="0"/>
              <w:spacing w:line="320" w:lineRule="exact"/>
              <w:jc w:val="left"/>
              <w:rPr>
                <w:rFonts w:hint="default" w:ascii="宋体" w:hAnsi="宋体" w:eastAsia="宋体" w:cs="宋体"/>
                <w:sz w:val="21"/>
                <w:szCs w:val="21"/>
                <w:highlight w:val="none"/>
                <w:lang w:val="en-US" w:eastAsia="zh-CN"/>
              </w:rPr>
            </w:pPr>
          </w:p>
        </w:tc>
        <w:tc>
          <w:tcPr>
            <w:tcW w:w="401" w:type="pct"/>
            <w:vMerge w:val="continue"/>
            <w:tcBorders>
              <w:left w:val="single" w:color="auto" w:sz="4" w:space="0"/>
              <w:right w:val="single" w:color="auto" w:sz="4" w:space="0"/>
            </w:tcBorders>
            <w:vAlign w:val="center"/>
          </w:tcPr>
          <w:p w14:paraId="5A7C5086">
            <w:pPr>
              <w:pStyle w:val="4"/>
              <w:adjustRightInd w:val="0"/>
              <w:snapToGrid w:val="0"/>
              <w:spacing w:line="320" w:lineRule="exact"/>
              <w:jc w:val="left"/>
              <w:rPr>
                <w:rFonts w:hint="default" w:ascii="宋体" w:hAnsi="宋体" w:eastAsia="宋体" w:cs="宋体"/>
                <w:sz w:val="21"/>
                <w:szCs w:val="21"/>
                <w:highlight w:val="none"/>
                <w:lang w:val="en-US" w:eastAsia="zh-CN"/>
              </w:rPr>
            </w:pPr>
          </w:p>
        </w:tc>
        <w:tc>
          <w:tcPr>
            <w:tcW w:w="2545" w:type="pct"/>
            <w:tcBorders>
              <w:top w:val="single" w:color="auto" w:sz="4" w:space="0"/>
              <w:left w:val="single" w:color="auto" w:sz="4" w:space="0"/>
            </w:tcBorders>
            <w:vAlign w:val="center"/>
          </w:tcPr>
          <w:p w14:paraId="3CD51C24">
            <w:pPr>
              <w:pStyle w:val="4"/>
              <w:ind w:right="113" w:rightChars="0"/>
              <w:jc w:val="left"/>
              <w:rPr>
                <w:rFonts w:hint="eastAsia" w:ascii="宋体" w:hAnsi="宋体" w:eastAsia="宋体" w:cs="Times New Roman"/>
                <w:sz w:val="21"/>
                <w:szCs w:val="21"/>
                <w:highlight w:val="none"/>
                <w:lang w:val="en-US" w:eastAsia="zh-CN"/>
              </w:rPr>
            </w:pPr>
            <w:r>
              <w:rPr>
                <w:rFonts w:hint="eastAsia" w:hAnsi="宋体" w:cs="Times New Roman"/>
                <w:sz w:val="21"/>
                <w:szCs w:val="21"/>
                <w:highlight w:val="none"/>
                <w:lang w:eastAsia="zh-CN"/>
              </w:rPr>
              <w:t>基本</w:t>
            </w:r>
            <w:r>
              <w:rPr>
                <w:rFonts w:hint="eastAsia" w:ascii="宋体" w:hAnsi="宋体" w:eastAsia="宋体" w:cs="Times New Roman"/>
                <w:sz w:val="21"/>
                <w:szCs w:val="21"/>
                <w:highlight w:val="none"/>
              </w:rPr>
              <w:t>满足招标文件要求，设备整体性能一般，得</w:t>
            </w:r>
            <w:r>
              <w:rPr>
                <w:rFonts w:hint="eastAsia" w:hAnsi="宋体" w:cs="Times New Roman"/>
                <w:sz w:val="21"/>
                <w:szCs w:val="21"/>
                <w:highlight w:val="none"/>
                <w:lang w:val="en-US" w:eastAsia="zh-CN"/>
              </w:rPr>
              <w:t>12</w:t>
            </w:r>
            <w:r>
              <w:rPr>
                <w:rFonts w:hint="eastAsia" w:ascii="宋体" w:hAnsi="宋体" w:eastAsia="宋体" w:cs="Times New Roman"/>
                <w:sz w:val="21"/>
                <w:szCs w:val="21"/>
                <w:highlight w:val="none"/>
              </w:rPr>
              <w:t>分。</w:t>
            </w:r>
          </w:p>
        </w:tc>
      </w:tr>
      <w:tr w14:paraId="6EAF6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9" w:hRule="atLeast"/>
        </w:trPr>
        <w:tc>
          <w:tcPr>
            <w:tcW w:w="527" w:type="pct"/>
            <w:vMerge w:val="continue"/>
            <w:vAlign w:val="center"/>
          </w:tcPr>
          <w:p w14:paraId="2DF7F23B">
            <w:pPr>
              <w:autoSpaceDE w:val="0"/>
              <w:autoSpaceDN w:val="0"/>
              <w:snapToGrid w:val="0"/>
              <w:ind w:right="-107" w:rightChars="0" w:firstLine="420" w:firstLineChars="0"/>
              <w:jc w:val="center"/>
              <w:rPr>
                <w:rFonts w:ascii="宋体" w:hAnsi="宋体" w:cs="宋体"/>
                <w:kern w:val="0"/>
                <w:szCs w:val="21"/>
                <w:highlight w:val="none"/>
              </w:rPr>
            </w:pPr>
          </w:p>
        </w:tc>
        <w:tc>
          <w:tcPr>
            <w:tcW w:w="273" w:type="pct"/>
            <w:vMerge w:val="continue"/>
            <w:vAlign w:val="center"/>
          </w:tcPr>
          <w:p w14:paraId="6E0CB7DD">
            <w:pPr>
              <w:jc w:val="center"/>
              <w:rPr>
                <w:rFonts w:ascii="宋体" w:hAnsi="宋体" w:cs="宋体"/>
                <w:kern w:val="0"/>
                <w:szCs w:val="21"/>
                <w:highlight w:val="none"/>
              </w:rPr>
            </w:pPr>
          </w:p>
        </w:tc>
        <w:tc>
          <w:tcPr>
            <w:tcW w:w="395" w:type="pct"/>
            <w:vMerge w:val="continue"/>
            <w:vAlign w:val="center"/>
          </w:tcPr>
          <w:p w14:paraId="005B240C">
            <w:pPr>
              <w:jc w:val="center"/>
              <w:rPr>
                <w:rFonts w:ascii="宋体" w:hAnsi="宋体" w:cs="宋体"/>
                <w:kern w:val="0"/>
                <w:szCs w:val="21"/>
                <w:highlight w:val="none"/>
              </w:rPr>
            </w:pPr>
          </w:p>
        </w:tc>
        <w:tc>
          <w:tcPr>
            <w:tcW w:w="857" w:type="pct"/>
            <w:vMerge w:val="restart"/>
            <w:tcBorders>
              <w:right w:val="single" w:color="auto" w:sz="4" w:space="0"/>
            </w:tcBorders>
            <w:vAlign w:val="center"/>
          </w:tcPr>
          <w:p w14:paraId="17DDB2FA">
            <w:pPr>
              <w:jc w:val="center"/>
              <w:rPr>
                <w:rFonts w:ascii="Times New Roman" w:hAnsi="Times New Roman" w:eastAsia="宋体"/>
                <w:kern w:val="0"/>
                <w:szCs w:val="21"/>
                <w:highlight w:val="none"/>
              </w:rPr>
            </w:pPr>
            <w:r>
              <w:rPr>
                <w:rFonts w:hint="default" w:ascii="Times New Roman" w:hAnsi="Times New Roman" w:eastAsia="宋体" w:cs="Times New Roman"/>
                <w:kern w:val="0"/>
                <w:sz w:val="21"/>
                <w:szCs w:val="21"/>
                <w:highlight w:val="none"/>
              </w:rPr>
              <w:t>供货方案</w:t>
            </w:r>
          </w:p>
        </w:tc>
        <w:tc>
          <w:tcPr>
            <w:tcW w:w="401" w:type="pct"/>
            <w:vMerge w:val="restart"/>
            <w:tcBorders>
              <w:left w:val="single" w:color="auto" w:sz="4" w:space="0"/>
              <w:right w:val="single" w:color="auto" w:sz="4" w:space="0"/>
            </w:tcBorders>
            <w:vAlign w:val="center"/>
          </w:tcPr>
          <w:p w14:paraId="0FED9F71">
            <w:pPr>
              <w:jc w:val="center"/>
              <w:rPr>
                <w:rFonts w:ascii="Times New Roman" w:hAnsi="Times New Roman"/>
                <w:szCs w:val="21"/>
                <w:highlight w:val="none"/>
              </w:rPr>
            </w:pPr>
            <w:r>
              <w:rPr>
                <w:rFonts w:hint="eastAsia" w:ascii="Times New Roman" w:hAnsi="Times New Roman"/>
                <w:szCs w:val="21"/>
                <w:highlight w:val="none"/>
              </w:rPr>
              <w:t>10</w:t>
            </w:r>
            <w:r>
              <w:rPr>
                <w:rFonts w:ascii="Times New Roman" w:hAnsi="Times New Roman"/>
                <w:szCs w:val="21"/>
                <w:highlight w:val="none"/>
              </w:rPr>
              <w:t>分</w:t>
            </w:r>
          </w:p>
        </w:tc>
        <w:tc>
          <w:tcPr>
            <w:tcW w:w="2545" w:type="pct"/>
            <w:tcBorders>
              <w:top w:val="single" w:color="auto" w:sz="4" w:space="0"/>
              <w:left w:val="single" w:color="auto" w:sz="4" w:space="0"/>
            </w:tcBorders>
            <w:vAlign w:val="top"/>
          </w:tcPr>
          <w:p w14:paraId="00CE4BE1">
            <w:pPr>
              <w:pStyle w:val="4"/>
              <w:ind w:right="113" w:rightChars="0"/>
              <w:jc w:val="left"/>
              <w:rPr>
                <w:rFonts w:hint="eastAsia" w:ascii="宋体" w:hAnsi="宋体" w:eastAsia="宋体"/>
                <w:kern w:val="0"/>
                <w:sz w:val="21"/>
                <w:szCs w:val="21"/>
                <w:highlight w:val="none"/>
              </w:rPr>
            </w:pPr>
            <w:r>
              <w:rPr>
                <w:rFonts w:hint="eastAsia" w:ascii="宋体" w:hAnsi="宋体" w:eastAsia="宋体" w:cs="Times New Roman"/>
                <w:sz w:val="21"/>
                <w:szCs w:val="21"/>
                <w:highlight w:val="none"/>
              </w:rPr>
              <w:t>投标人提供的供货方案切实可行、供货能力强、交货进度有保障、能够保质保量的完成供货，针对供货过程中的特殊情况有预案，得8-10分；</w:t>
            </w:r>
          </w:p>
        </w:tc>
      </w:tr>
      <w:tr w14:paraId="061BD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7" w:hRule="atLeast"/>
        </w:trPr>
        <w:tc>
          <w:tcPr>
            <w:tcW w:w="527" w:type="pct"/>
            <w:vMerge w:val="continue"/>
            <w:vAlign w:val="center"/>
          </w:tcPr>
          <w:p w14:paraId="6774CB44">
            <w:pPr>
              <w:ind w:right="113" w:rightChars="0"/>
              <w:jc w:val="left"/>
              <w:rPr>
                <w:highlight w:val="none"/>
              </w:rPr>
            </w:pPr>
          </w:p>
        </w:tc>
        <w:tc>
          <w:tcPr>
            <w:tcW w:w="273" w:type="pct"/>
            <w:vMerge w:val="continue"/>
            <w:vAlign w:val="center"/>
          </w:tcPr>
          <w:p w14:paraId="42A4046B">
            <w:pPr>
              <w:ind w:right="113" w:rightChars="0"/>
              <w:jc w:val="left"/>
              <w:rPr>
                <w:highlight w:val="none"/>
              </w:rPr>
            </w:pPr>
          </w:p>
        </w:tc>
        <w:tc>
          <w:tcPr>
            <w:tcW w:w="395" w:type="pct"/>
            <w:vMerge w:val="continue"/>
            <w:vAlign w:val="center"/>
          </w:tcPr>
          <w:p w14:paraId="774545CA">
            <w:pPr>
              <w:ind w:right="113" w:rightChars="0"/>
              <w:jc w:val="left"/>
              <w:rPr>
                <w:highlight w:val="none"/>
              </w:rPr>
            </w:pPr>
          </w:p>
        </w:tc>
        <w:tc>
          <w:tcPr>
            <w:tcW w:w="857" w:type="pct"/>
            <w:vMerge w:val="continue"/>
            <w:tcBorders>
              <w:right w:val="single" w:color="auto" w:sz="4" w:space="0"/>
            </w:tcBorders>
            <w:vAlign w:val="center"/>
          </w:tcPr>
          <w:p w14:paraId="32BA3A5A">
            <w:pPr>
              <w:ind w:right="113" w:rightChars="0"/>
              <w:jc w:val="left"/>
              <w:rPr>
                <w:highlight w:val="none"/>
              </w:rPr>
            </w:pPr>
          </w:p>
        </w:tc>
        <w:tc>
          <w:tcPr>
            <w:tcW w:w="401" w:type="pct"/>
            <w:vMerge w:val="continue"/>
            <w:tcBorders>
              <w:left w:val="single" w:color="auto" w:sz="4" w:space="0"/>
              <w:right w:val="single" w:color="auto" w:sz="4" w:space="0"/>
            </w:tcBorders>
            <w:vAlign w:val="center"/>
          </w:tcPr>
          <w:p w14:paraId="1D6B599E">
            <w:pPr>
              <w:ind w:right="113" w:rightChars="0"/>
              <w:jc w:val="left"/>
              <w:rPr>
                <w:highlight w:val="none"/>
              </w:rPr>
            </w:pPr>
          </w:p>
        </w:tc>
        <w:tc>
          <w:tcPr>
            <w:tcW w:w="2545" w:type="pct"/>
            <w:tcBorders>
              <w:top w:val="single" w:color="auto" w:sz="4" w:space="0"/>
              <w:left w:val="single" w:color="auto" w:sz="4" w:space="0"/>
            </w:tcBorders>
            <w:vAlign w:val="top"/>
          </w:tcPr>
          <w:p w14:paraId="742C7D2D">
            <w:pPr>
              <w:pStyle w:val="4"/>
              <w:ind w:right="113" w:rightChars="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投标人提供的供货方案可行、供货能力较强、交货进度满足招标文件要求，得6-8分；</w:t>
            </w:r>
          </w:p>
        </w:tc>
      </w:tr>
      <w:tr w14:paraId="7901B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7" w:hRule="atLeast"/>
        </w:trPr>
        <w:tc>
          <w:tcPr>
            <w:tcW w:w="527" w:type="pct"/>
            <w:vMerge w:val="continue"/>
            <w:vAlign w:val="center"/>
          </w:tcPr>
          <w:p w14:paraId="269B94B9">
            <w:pPr>
              <w:ind w:right="113" w:rightChars="0"/>
              <w:jc w:val="left"/>
              <w:rPr>
                <w:rFonts w:hint="eastAsia" w:ascii="宋体" w:hAnsi="宋体" w:eastAsia="宋体" w:cs="宋体"/>
                <w:color w:val="auto"/>
                <w:sz w:val="24"/>
                <w:szCs w:val="24"/>
                <w:highlight w:val="none"/>
              </w:rPr>
            </w:pPr>
          </w:p>
        </w:tc>
        <w:tc>
          <w:tcPr>
            <w:tcW w:w="273" w:type="pct"/>
            <w:vMerge w:val="continue"/>
            <w:vAlign w:val="center"/>
          </w:tcPr>
          <w:p w14:paraId="31069EBB">
            <w:pPr>
              <w:ind w:right="113" w:rightChars="0"/>
              <w:jc w:val="left"/>
              <w:rPr>
                <w:rFonts w:hint="eastAsia" w:ascii="宋体" w:hAnsi="宋体" w:eastAsia="宋体" w:cs="宋体"/>
                <w:color w:val="auto"/>
                <w:sz w:val="24"/>
                <w:szCs w:val="24"/>
                <w:highlight w:val="none"/>
              </w:rPr>
            </w:pPr>
          </w:p>
        </w:tc>
        <w:tc>
          <w:tcPr>
            <w:tcW w:w="395" w:type="pct"/>
            <w:vMerge w:val="continue"/>
            <w:vAlign w:val="center"/>
          </w:tcPr>
          <w:p w14:paraId="780009CC">
            <w:pPr>
              <w:ind w:right="113" w:rightChars="0"/>
              <w:jc w:val="left"/>
              <w:rPr>
                <w:rFonts w:hint="eastAsia" w:ascii="宋体" w:hAnsi="宋体" w:eastAsia="宋体" w:cs="宋体"/>
                <w:color w:val="auto"/>
                <w:sz w:val="24"/>
                <w:szCs w:val="24"/>
                <w:highlight w:val="none"/>
              </w:rPr>
            </w:pPr>
          </w:p>
        </w:tc>
        <w:tc>
          <w:tcPr>
            <w:tcW w:w="857" w:type="pct"/>
            <w:vMerge w:val="continue"/>
            <w:tcBorders>
              <w:right w:val="single" w:color="auto" w:sz="4" w:space="0"/>
            </w:tcBorders>
            <w:vAlign w:val="center"/>
          </w:tcPr>
          <w:p w14:paraId="1184A639">
            <w:pPr>
              <w:ind w:right="113" w:rightChars="0"/>
              <w:jc w:val="left"/>
              <w:rPr>
                <w:rFonts w:hint="eastAsia" w:ascii="宋体" w:hAnsi="宋体" w:eastAsia="宋体" w:cs="宋体"/>
                <w:color w:val="auto"/>
                <w:sz w:val="24"/>
                <w:szCs w:val="24"/>
                <w:highlight w:val="none"/>
              </w:rPr>
            </w:pPr>
          </w:p>
        </w:tc>
        <w:tc>
          <w:tcPr>
            <w:tcW w:w="401" w:type="pct"/>
            <w:vMerge w:val="continue"/>
            <w:tcBorders>
              <w:left w:val="single" w:color="auto" w:sz="4" w:space="0"/>
              <w:right w:val="single" w:color="auto" w:sz="4" w:space="0"/>
            </w:tcBorders>
            <w:vAlign w:val="center"/>
          </w:tcPr>
          <w:p w14:paraId="63D9A4C8">
            <w:pPr>
              <w:ind w:right="113" w:rightChars="0"/>
              <w:jc w:val="left"/>
              <w:rPr>
                <w:rFonts w:hint="eastAsia" w:ascii="宋体" w:hAnsi="宋体" w:eastAsia="宋体" w:cs="宋体"/>
                <w:color w:val="auto"/>
                <w:sz w:val="24"/>
                <w:szCs w:val="24"/>
                <w:highlight w:val="none"/>
              </w:rPr>
            </w:pPr>
          </w:p>
        </w:tc>
        <w:tc>
          <w:tcPr>
            <w:tcW w:w="2545" w:type="pct"/>
            <w:tcBorders>
              <w:top w:val="single" w:color="auto" w:sz="4" w:space="0"/>
              <w:left w:val="single" w:color="auto" w:sz="4" w:space="0"/>
            </w:tcBorders>
            <w:vAlign w:val="top"/>
          </w:tcPr>
          <w:p w14:paraId="70F1FCB5">
            <w:pPr>
              <w:pStyle w:val="4"/>
              <w:ind w:right="113" w:rightChars="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投标人提供的供货方案一般、供货能力一般、交货进度基本满足招标文件要求，得6分。</w:t>
            </w:r>
          </w:p>
        </w:tc>
      </w:tr>
      <w:tr w14:paraId="675FB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9" w:hRule="atLeast"/>
        </w:trPr>
        <w:tc>
          <w:tcPr>
            <w:tcW w:w="527" w:type="pct"/>
            <w:vMerge w:val="continue"/>
            <w:vAlign w:val="center"/>
          </w:tcPr>
          <w:p w14:paraId="72ECD318">
            <w:pPr>
              <w:autoSpaceDE w:val="0"/>
              <w:autoSpaceDN w:val="0"/>
              <w:snapToGrid w:val="0"/>
              <w:ind w:right="-107" w:rightChars="0" w:firstLine="420" w:firstLineChars="0"/>
              <w:jc w:val="center"/>
              <w:rPr>
                <w:rFonts w:ascii="宋体" w:hAnsi="宋体" w:cs="宋体"/>
                <w:kern w:val="0"/>
                <w:szCs w:val="21"/>
                <w:highlight w:val="none"/>
              </w:rPr>
            </w:pPr>
          </w:p>
        </w:tc>
        <w:tc>
          <w:tcPr>
            <w:tcW w:w="273" w:type="pct"/>
            <w:vMerge w:val="continue"/>
            <w:vAlign w:val="center"/>
          </w:tcPr>
          <w:p w14:paraId="128D268B">
            <w:pPr>
              <w:jc w:val="center"/>
              <w:rPr>
                <w:rFonts w:ascii="宋体" w:hAnsi="宋体" w:cs="宋体"/>
                <w:kern w:val="0"/>
                <w:szCs w:val="21"/>
                <w:highlight w:val="none"/>
              </w:rPr>
            </w:pPr>
          </w:p>
        </w:tc>
        <w:tc>
          <w:tcPr>
            <w:tcW w:w="395" w:type="pct"/>
            <w:vMerge w:val="continue"/>
            <w:vAlign w:val="center"/>
          </w:tcPr>
          <w:p w14:paraId="6F6CED85">
            <w:pPr>
              <w:jc w:val="center"/>
              <w:rPr>
                <w:rFonts w:ascii="宋体" w:hAnsi="宋体" w:cs="宋体"/>
                <w:kern w:val="0"/>
                <w:szCs w:val="21"/>
                <w:highlight w:val="none"/>
              </w:rPr>
            </w:pPr>
          </w:p>
        </w:tc>
        <w:tc>
          <w:tcPr>
            <w:tcW w:w="857" w:type="pct"/>
            <w:vMerge w:val="restart"/>
            <w:tcBorders>
              <w:right w:val="single" w:color="auto" w:sz="4" w:space="0"/>
            </w:tcBorders>
            <w:vAlign w:val="center"/>
          </w:tcPr>
          <w:p w14:paraId="65D16AD2">
            <w:pPr>
              <w:jc w:val="center"/>
              <w:rPr>
                <w:rFonts w:ascii="Times New Roman" w:hAnsi="Times New Roman"/>
                <w:kern w:val="0"/>
                <w:szCs w:val="21"/>
                <w:highlight w:val="none"/>
              </w:rPr>
            </w:pPr>
            <w:r>
              <w:rPr>
                <w:rFonts w:hint="eastAsia" w:ascii="Times New Roman" w:hAnsi="Times New Roman"/>
                <w:color w:val="auto"/>
                <w:kern w:val="0"/>
                <w:szCs w:val="21"/>
                <w:highlight w:val="none"/>
                <w:lang w:eastAsia="zh-CN"/>
              </w:rPr>
              <w:t>培训方案</w:t>
            </w:r>
          </w:p>
        </w:tc>
        <w:tc>
          <w:tcPr>
            <w:tcW w:w="401" w:type="pct"/>
            <w:vMerge w:val="restart"/>
            <w:tcBorders>
              <w:left w:val="single" w:color="auto" w:sz="4" w:space="0"/>
              <w:right w:val="single" w:color="auto" w:sz="4" w:space="0"/>
            </w:tcBorders>
            <w:vAlign w:val="center"/>
          </w:tcPr>
          <w:p w14:paraId="5557C8C8">
            <w:pPr>
              <w:jc w:val="center"/>
              <w:rPr>
                <w:rFonts w:ascii="Times New Roman" w:hAnsi="Times New Roman"/>
                <w:szCs w:val="21"/>
                <w:highlight w:val="none"/>
              </w:rPr>
            </w:pPr>
            <w:r>
              <w:rPr>
                <w:rFonts w:hint="eastAsia" w:ascii="Times New Roman" w:hAnsi="Times New Roman"/>
                <w:szCs w:val="21"/>
                <w:highlight w:val="none"/>
                <w:lang w:val="en-US" w:eastAsia="zh-CN"/>
              </w:rPr>
              <w:t>5</w:t>
            </w:r>
            <w:r>
              <w:rPr>
                <w:rFonts w:ascii="Times New Roman" w:hAnsi="Times New Roman"/>
                <w:szCs w:val="21"/>
                <w:highlight w:val="none"/>
              </w:rPr>
              <w:t>分</w:t>
            </w:r>
          </w:p>
        </w:tc>
        <w:tc>
          <w:tcPr>
            <w:tcW w:w="2545" w:type="pct"/>
            <w:tcBorders>
              <w:top w:val="single" w:color="auto" w:sz="4" w:space="0"/>
              <w:left w:val="single" w:color="auto" w:sz="4" w:space="0"/>
            </w:tcBorders>
            <w:vAlign w:val="center"/>
          </w:tcPr>
          <w:p w14:paraId="6D78BE01">
            <w:pPr>
              <w:adjustRightInd/>
              <w:snapToGrid/>
              <w:spacing w:line="240" w:lineRule="auto"/>
              <w:jc w:val="left"/>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bidi="ar-SA"/>
              </w:rPr>
              <w:t>根据投标人培训方案、人员组成、经验、计划安排及内容进行评审：提供了内容完整、详实可行的方案，有很强的针对性和可操作性，得4-5分。</w:t>
            </w:r>
          </w:p>
        </w:tc>
      </w:tr>
      <w:tr w14:paraId="3C5C5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7" w:hRule="atLeast"/>
        </w:trPr>
        <w:tc>
          <w:tcPr>
            <w:tcW w:w="527" w:type="pct"/>
            <w:vMerge w:val="continue"/>
            <w:vAlign w:val="center"/>
          </w:tcPr>
          <w:p w14:paraId="54FFB4DC">
            <w:pPr>
              <w:pStyle w:val="4"/>
              <w:adjustRightInd w:val="0"/>
              <w:snapToGrid w:val="0"/>
              <w:spacing w:line="320" w:lineRule="exact"/>
              <w:jc w:val="left"/>
              <w:rPr>
                <w:highlight w:val="none"/>
              </w:rPr>
            </w:pPr>
          </w:p>
        </w:tc>
        <w:tc>
          <w:tcPr>
            <w:tcW w:w="273" w:type="pct"/>
            <w:vMerge w:val="continue"/>
            <w:vAlign w:val="center"/>
          </w:tcPr>
          <w:p w14:paraId="66386D7C">
            <w:pPr>
              <w:pStyle w:val="4"/>
              <w:adjustRightInd w:val="0"/>
              <w:snapToGrid w:val="0"/>
              <w:spacing w:line="320" w:lineRule="exact"/>
              <w:jc w:val="left"/>
              <w:rPr>
                <w:highlight w:val="none"/>
              </w:rPr>
            </w:pPr>
          </w:p>
        </w:tc>
        <w:tc>
          <w:tcPr>
            <w:tcW w:w="395" w:type="pct"/>
            <w:vMerge w:val="continue"/>
            <w:vAlign w:val="center"/>
          </w:tcPr>
          <w:p w14:paraId="15E8C994">
            <w:pPr>
              <w:pStyle w:val="4"/>
              <w:adjustRightInd w:val="0"/>
              <w:snapToGrid w:val="0"/>
              <w:spacing w:line="320" w:lineRule="exact"/>
              <w:jc w:val="left"/>
              <w:rPr>
                <w:highlight w:val="none"/>
              </w:rPr>
            </w:pPr>
          </w:p>
        </w:tc>
        <w:tc>
          <w:tcPr>
            <w:tcW w:w="857" w:type="pct"/>
            <w:vMerge w:val="continue"/>
            <w:tcBorders>
              <w:right w:val="single" w:color="auto" w:sz="4" w:space="0"/>
            </w:tcBorders>
            <w:vAlign w:val="center"/>
          </w:tcPr>
          <w:p w14:paraId="487B1CF1">
            <w:pPr>
              <w:pStyle w:val="4"/>
              <w:adjustRightInd w:val="0"/>
              <w:snapToGrid w:val="0"/>
              <w:spacing w:line="320" w:lineRule="exact"/>
              <w:jc w:val="left"/>
              <w:rPr>
                <w:highlight w:val="none"/>
              </w:rPr>
            </w:pPr>
          </w:p>
        </w:tc>
        <w:tc>
          <w:tcPr>
            <w:tcW w:w="401" w:type="pct"/>
            <w:vMerge w:val="continue"/>
            <w:tcBorders>
              <w:left w:val="single" w:color="auto" w:sz="4" w:space="0"/>
              <w:right w:val="single" w:color="auto" w:sz="4" w:space="0"/>
            </w:tcBorders>
            <w:vAlign w:val="center"/>
          </w:tcPr>
          <w:p w14:paraId="72301ED0">
            <w:pPr>
              <w:pStyle w:val="4"/>
              <w:adjustRightInd w:val="0"/>
              <w:snapToGrid w:val="0"/>
              <w:spacing w:line="320" w:lineRule="exact"/>
              <w:jc w:val="left"/>
              <w:rPr>
                <w:highlight w:val="none"/>
              </w:rPr>
            </w:pPr>
          </w:p>
        </w:tc>
        <w:tc>
          <w:tcPr>
            <w:tcW w:w="2545" w:type="pct"/>
            <w:tcBorders>
              <w:top w:val="single" w:color="auto" w:sz="4" w:space="0"/>
              <w:left w:val="single" w:color="auto" w:sz="4" w:space="0"/>
            </w:tcBorders>
            <w:vAlign w:val="center"/>
          </w:tcPr>
          <w:p w14:paraId="6EA5D20D">
            <w:pPr>
              <w:pStyle w:val="4"/>
              <w:adjustRightInd/>
              <w:snapToGrid/>
              <w:spacing w:line="240" w:lineRule="auto"/>
              <w:jc w:val="left"/>
              <w:rPr>
                <w:rFonts w:hint="eastAsia" w:ascii="宋体" w:hAnsi="宋体" w:eastAsia="宋体" w:cs="Times New Roman"/>
                <w:kern w:val="0"/>
                <w:sz w:val="21"/>
                <w:szCs w:val="21"/>
                <w:highlight w:val="none"/>
                <w:lang w:val="en-US" w:eastAsia="zh-CN" w:bidi="ar-SA"/>
              </w:rPr>
            </w:pPr>
            <w:r>
              <w:rPr>
                <w:rFonts w:hint="default" w:ascii="宋体" w:hAnsi="宋体" w:eastAsia="宋体" w:cs="Times New Roman"/>
                <w:kern w:val="0"/>
                <w:sz w:val="21"/>
                <w:szCs w:val="21"/>
                <w:highlight w:val="none"/>
                <w:lang w:val="en-US" w:eastAsia="zh-CN" w:bidi="ar-SA"/>
              </w:rPr>
              <w:t>提供了通用、简单的方案，符合</w:t>
            </w:r>
            <w:r>
              <w:rPr>
                <w:rFonts w:hint="eastAsia" w:ascii="宋体" w:hAnsi="宋体" w:eastAsia="宋体" w:cs="Times New Roman"/>
                <w:kern w:val="0"/>
                <w:sz w:val="21"/>
                <w:szCs w:val="21"/>
                <w:highlight w:val="none"/>
                <w:lang w:val="en-US" w:eastAsia="zh-CN" w:bidi="ar-SA"/>
              </w:rPr>
              <w:t>发包人</w:t>
            </w:r>
            <w:r>
              <w:rPr>
                <w:rFonts w:hint="default" w:ascii="宋体" w:hAnsi="宋体" w:eastAsia="宋体" w:cs="Times New Roman"/>
                <w:kern w:val="0"/>
                <w:sz w:val="21"/>
                <w:szCs w:val="21"/>
                <w:highlight w:val="none"/>
                <w:lang w:val="en-US" w:eastAsia="zh-CN" w:bidi="ar-SA"/>
              </w:rPr>
              <w:t>需求，得</w:t>
            </w:r>
            <w:r>
              <w:rPr>
                <w:rFonts w:hint="eastAsia" w:hAnsi="宋体" w:cs="Times New Roman"/>
                <w:kern w:val="0"/>
                <w:sz w:val="21"/>
                <w:szCs w:val="21"/>
                <w:highlight w:val="none"/>
                <w:lang w:val="en-US" w:eastAsia="zh-CN" w:bidi="ar-SA"/>
              </w:rPr>
              <w:t>3</w:t>
            </w:r>
            <w:r>
              <w:rPr>
                <w:rFonts w:hint="eastAsia" w:ascii="宋体" w:hAnsi="宋体" w:eastAsia="宋体" w:cs="Times New Roman"/>
                <w:kern w:val="0"/>
                <w:sz w:val="21"/>
                <w:szCs w:val="21"/>
                <w:highlight w:val="none"/>
                <w:lang w:val="en-US" w:eastAsia="zh-CN" w:bidi="ar-SA"/>
              </w:rPr>
              <w:t>-4</w:t>
            </w:r>
            <w:r>
              <w:rPr>
                <w:rFonts w:hint="default" w:ascii="宋体" w:hAnsi="宋体" w:eastAsia="宋体" w:cs="Times New Roman"/>
                <w:kern w:val="0"/>
                <w:sz w:val="21"/>
                <w:szCs w:val="21"/>
                <w:highlight w:val="none"/>
                <w:lang w:val="en-US" w:eastAsia="zh-CN" w:bidi="ar-SA"/>
              </w:rPr>
              <w:t>分；</w:t>
            </w:r>
          </w:p>
        </w:tc>
      </w:tr>
      <w:tr w14:paraId="698A8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6" w:hRule="atLeast"/>
        </w:trPr>
        <w:tc>
          <w:tcPr>
            <w:tcW w:w="527" w:type="pct"/>
            <w:vMerge w:val="continue"/>
            <w:vAlign w:val="center"/>
          </w:tcPr>
          <w:p w14:paraId="7C642715">
            <w:pPr>
              <w:pStyle w:val="4"/>
              <w:adjustRightInd w:val="0"/>
              <w:snapToGrid w:val="0"/>
              <w:spacing w:line="320" w:lineRule="exact"/>
              <w:jc w:val="left"/>
              <w:rPr>
                <w:rFonts w:hint="default" w:hAnsi="Times New Roman"/>
                <w:sz w:val="21"/>
                <w:szCs w:val="21"/>
                <w:highlight w:val="none"/>
              </w:rPr>
            </w:pPr>
          </w:p>
        </w:tc>
        <w:tc>
          <w:tcPr>
            <w:tcW w:w="273" w:type="pct"/>
            <w:vMerge w:val="continue"/>
            <w:vAlign w:val="center"/>
          </w:tcPr>
          <w:p w14:paraId="6762E0F6">
            <w:pPr>
              <w:pStyle w:val="4"/>
              <w:adjustRightInd w:val="0"/>
              <w:snapToGrid w:val="0"/>
              <w:spacing w:line="320" w:lineRule="exact"/>
              <w:jc w:val="left"/>
              <w:rPr>
                <w:rFonts w:hint="default" w:hAnsi="Times New Roman"/>
                <w:sz w:val="21"/>
                <w:szCs w:val="21"/>
                <w:highlight w:val="none"/>
              </w:rPr>
            </w:pPr>
          </w:p>
        </w:tc>
        <w:tc>
          <w:tcPr>
            <w:tcW w:w="395" w:type="pct"/>
            <w:vMerge w:val="continue"/>
            <w:vAlign w:val="center"/>
          </w:tcPr>
          <w:p w14:paraId="1497F72D">
            <w:pPr>
              <w:pStyle w:val="4"/>
              <w:adjustRightInd w:val="0"/>
              <w:snapToGrid w:val="0"/>
              <w:spacing w:line="320" w:lineRule="exact"/>
              <w:jc w:val="left"/>
              <w:rPr>
                <w:rFonts w:hint="default" w:hAnsi="Times New Roman"/>
                <w:sz w:val="21"/>
                <w:szCs w:val="21"/>
                <w:highlight w:val="none"/>
              </w:rPr>
            </w:pPr>
          </w:p>
        </w:tc>
        <w:tc>
          <w:tcPr>
            <w:tcW w:w="857" w:type="pct"/>
            <w:vMerge w:val="continue"/>
            <w:tcBorders>
              <w:right w:val="single" w:color="auto" w:sz="4" w:space="0"/>
            </w:tcBorders>
            <w:vAlign w:val="center"/>
          </w:tcPr>
          <w:p w14:paraId="241E67FD">
            <w:pPr>
              <w:pStyle w:val="4"/>
              <w:adjustRightInd w:val="0"/>
              <w:snapToGrid w:val="0"/>
              <w:spacing w:line="320" w:lineRule="exact"/>
              <w:jc w:val="left"/>
              <w:rPr>
                <w:rFonts w:hint="default" w:hAnsi="Times New Roman"/>
                <w:sz w:val="21"/>
                <w:szCs w:val="21"/>
                <w:highlight w:val="none"/>
              </w:rPr>
            </w:pPr>
          </w:p>
        </w:tc>
        <w:tc>
          <w:tcPr>
            <w:tcW w:w="401" w:type="pct"/>
            <w:vMerge w:val="continue"/>
            <w:tcBorders>
              <w:left w:val="single" w:color="auto" w:sz="4" w:space="0"/>
              <w:right w:val="single" w:color="auto" w:sz="4" w:space="0"/>
            </w:tcBorders>
            <w:vAlign w:val="center"/>
          </w:tcPr>
          <w:p w14:paraId="25F36DA4">
            <w:pPr>
              <w:pStyle w:val="4"/>
              <w:adjustRightInd w:val="0"/>
              <w:snapToGrid w:val="0"/>
              <w:spacing w:line="320" w:lineRule="exact"/>
              <w:jc w:val="left"/>
              <w:rPr>
                <w:rFonts w:hint="default" w:hAnsi="Times New Roman"/>
                <w:sz w:val="21"/>
                <w:szCs w:val="21"/>
                <w:highlight w:val="none"/>
              </w:rPr>
            </w:pPr>
          </w:p>
        </w:tc>
        <w:tc>
          <w:tcPr>
            <w:tcW w:w="2545" w:type="pct"/>
            <w:tcBorders>
              <w:top w:val="single" w:color="auto" w:sz="4" w:space="0"/>
              <w:left w:val="single" w:color="auto" w:sz="4" w:space="0"/>
            </w:tcBorders>
            <w:vAlign w:val="center"/>
          </w:tcPr>
          <w:p w14:paraId="68747A22">
            <w:pPr>
              <w:pStyle w:val="4"/>
              <w:adjustRightInd/>
              <w:snapToGrid/>
              <w:spacing w:line="240" w:lineRule="auto"/>
              <w:jc w:val="left"/>
              <w:rPr>
                <w:rFonts w:hint="default"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bidi="ar-SA"/>
              </w:rPr>
              <w:t>方案内容可行，但内容不够完整，得</w:t>
            </w:r>
            <w:r>
              <w:rPr>
                <w:rFonts w:hint="eastAsia" w:hAnsi="宋体" w:cs="Times New Roman"/>
                <w:kern w:val="0"/>
                <w:sz w:val="21"/>
                <w:szCs w:val="21"/>
                <w:highlight w:val="none"/>
                <w:lang w:val="en-US" w:eastAsia="zh-CN" w:bidi="ar-SA"/>
              </w:rPr>
              <w:t>3</w:t>
            </w:r>
            <w:r>
              <w:rPr>
                <w:rFonts w:hint="eastAsia" w:ascii="宋体" w:hAnsi="宋体" w:eastAsia="宋体" w:cs="Times New Roman"/>
                <w:kern w:val="0"/>
                <w:sz w:val="21"/>
                <w:szCs w:val="21"/>
                <w:highlight w:val="none"/>
                <w:lang w:val="en-US" w:eastAsia="zh-CN" w:bidi="ar-SA"/>
              </w:rPr>
              <w:t>分。</w:t>
            </w:r>
          </w:p>
        </w:tc>
      </w:tr>
      <w:tr w14:paraId="3E79B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527" w:type="pct"/>
            <w:vMerge w:val="continue"/>
            <w:vAlign w:val="center"/>
          </w:tcPr>
          <w:p w14:paraId="58421077">
            <w:pPr>
              <w:autoSpaceDE w:val="0"/>
              <w:autoSpaceDN w:val="0"/>
              <w:snapToGrid w:val="0"/>
              <w:ind w:right="-107" w:rightChars="0" w:firstLine="420" w:firstLineChars="0"/>
              <w:jc w:val="center"/>
              <w:rPr>
                <w:rFonts w:ascii="宋体" w:hAnsi="宋体" w:cs="宋体"/>
                <w:kern w:val="0"/>
                <w:szCs w:val="21"/>
                <w:highlight w:val="none"/>
              </w:rPr>
            </w:pPr>
          </w:p>
        </w:tc>
        <w:tc>
          <w:tcPr>
            <w:tcW w:w="273" w:type="pct"/>
            <w:vMerge w:val="continue"/>
            <w:vAlign w:val="center"/>
          </w:tcPr>
          <w:p w14:paraId="6615F1BD">
            <w:pPr>
              <w:autoSpaceDE w:val="0"/>
              <w:autoSpaceDN w:val="0"/>
              <w:snapToGrid w:val="0"/>
              <w:ind w:right="-107" w:rightChars="0" w:firstLine="420" w:firstLineChars="0"/>
              <w:jc w:val="center"/>
              <w:rPr>
                <w:rFonts w:ascii="宋体" w:hAnsi="宋体" w:cs="宋体"/>
                <w:kern w:val="0"/>
                <w:szCs w:val="21"/>
                <w:highlight w:val="none"/>
              </w:rPr>
            </w:pPr>
          </w:p>
        </w:tc>
        <w:tc>
          <w:tcPr>
            <w:tcW w:w="395" w:type="pct"/>
            <w:vMerge w:val="continue"/>
            <w:vAlign w:val="center"/>
          </w:tcPr>
          <w:p w14:paraId="0D5BBD01">
            <w:pPr>
              <w:autoSpaceDE w:val="0"/>
              <w:autoSpaceDN w:val="0"/>
              <w:snapToGrid w:val="0"/>
              <w:ind w:right="-107" w:rightChars="0" w:firstLine="420" w:firstLineChars="0"/>
              <w:jc w:val="center"/>
              <w:rPr>
                <w:rFonts w:ascii="宋体" w:hAnsi="宋体" w:cs="宋体"/>
                <w:kern w:val="0"/>
                <w:szCs w:val="21"/>
                <w:highlight w:val="none"/>
              </w:rPr>
            </w:pPr>
          </w:p>
        </w:tc>
        <w:tc>
          <w:tcPr>
            <w:tcW w:w="857" w:type="pct"/>
            <w:vMerge w:val="restart"/>
            <w:tcBorders>
              <w:right w:val="single" w:color="auto" w:sz="4" w:space="0"/>
            </w:tcBorders>
            <w:vAlign w:val="center"/>
          </w:tcPr>
          <w:p w14:paraId="4352F1C1">
            <w:pPr>
              <w:jc w:val="center"/>
              <w:rPr>
                <w:rFonts w:ascii="宋体" w:hAnsi="宋体"/>
                <w:szCs w:val="21"/>
                <w:highlight w:val="none"/>
              </w:rPr>
            </w:pPr>
            <w:r>
              <w:rPr>
                <w:rFonts w:hint="eastAsia"/>
                <w:kern w:val="0"/>
                <w:szCs w:val="21"/>
                <w:highlight w:val="none"/>
                <w:lang w:eastAsia="zh-CN"/>
              </w:rPr>
              <w:t>安装调试</w:t>
            </w:r>
            <w:r>
              <w:rPr>
                <w:rFonts w:hint="default"/>
                <w:kern w:val="0"/>
                <w:szCs w:val="21"/>
                <w:highlight w:val="none"/>
              </w:rPr>
              <w:t>方案</w:t>
            </w:r>
          </w:p>
        </w:tc>
        <w:tc>
          <w:tcPr>
            <w:tcW w:w="401" w:type="pct"/>
            <w:vMerge w:val="restart"/>
            <w:tcBorders>
              <w:left w:val="single" w:color="auto" w:sz="4" w:space="0"/>
              <w:right w:val="single" w:color="auto" w:sz="4" w:space="0"/>
            </w:tcBorders>
            <w:vAlign w:val="center"/>
          </w:tcPr>
          <w:p w14:paraId="347EAAF1">
            <w:pPr>
              <w:jc w:val="center"/>
              <w:rPr>
                <w:rFonts w:ascii="宋体" w:hAnsi="宋体"/>
                <w:szCs w:val="21"/>
                <w:highlight w:val="none"/>
              </w:rPr>
            </w:pPr>
            <w:r>
              <w:rPr>
                <w:rFonts w:hint="eastAsia" w:ascii="Times New Roman" w:hAnsi="Times New Roman"/>
                <w:szCs w:val="21"/>
                <w:highlight w:val="none"/>
              </w:rPr>
              <w:t>5</w:t>
            </w:r>
            <w:r>
              <w:rPr>
                <w:rFonts w:ascii="Times New Roman" w:hAnsi="Times New Roman"/>
                <w:szCs w:val="21"/>
                <w:highlight w:val="none"/>
              </w:rPr>
              <w:t>分</w:t>
            </w:r>
          </w:p>
        </w:tc>
        <w:tc>
          <w:tcPr>
            <w:tcW w:w="2545" w:type="pct"/>
            <w:tcBorders>
              <w:left w:val="single" w:color="auto" w:sz="4" w:space="0"/>
            </w:tcBorders>
            <w:vAlign w:val="center"/>
          </w:tcPr>
          <w:p w14:paraId="483D6DDB">
            <w:pPr>
              <w:widowControl/>
              <w:adjustRightInd w:val="0"/>
              <w:snapToGrid w:val="0"/>
              <w:spacing w:line="320" w:lineRule="exact"/>
              <w:jc w:val="left"/>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bidi="ar-SA"/>
              </w:rPr>
              <w:t>提供安装调试方案，方案完善，齐全的得4-5分。</w:t>
            </w:r>
          </w:p>
        </w:tc>
      </w:tr>
      <w:tr w14:paraId="516B8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trPr>
        <w:tc>
          <w:tcPr>
            <w:tcW w:w="527" w:type="pct"/>
            <w:vMerge w:val="continue"/>
            <w:vAlign w:val="center"/>
          </w:tcPr>
          <w:p w14:paraId="4B640D64">
            <w:pPr>
              <w:pStyle w:val="4"/>
              <w:adjustRightInd w:val="0"/>
              <w:snapToGrid w:val="0"/>
              <w:spacing w:line="320" w:lineRule="exact"/>
              <w:jc w:val="left"/>
              <w:rPr>
                <w:highlight w:val="none"/>
              </w:rPr>
            </w:pPr>
          </w:p>
        </w:tc>
        <w:tc>
          <w:tcPr>
            <w:tcW w:w="273" w:type="pct"/>
            <w:vMerge w:val="continue"/>
            <w:vAlign w:val="center"/>
          </w:tcPr>
          <w:p w14:paraId="3BBE1E38">
            <w:pPr>
              <w:pStyle w:val="4"/>
              <w:adjustRightInd w:val="0"/>
              <w:snapToGrid w:val="0"/>
              <w:spacing w:line="320" w:lineRule="exact"/>
              <w:jc w:val="left"/>
              <w:rPr>
                <w:highlight w:val="none"/>
              </w:rPr>
            </w:pPr>
          </w:p>
        </w:tc>
        <w:tc>
          <w:tcPr>
            <w:tcW w:w="395" w:type="pct"/>
            <w:vMerge w:val="continue"/>
            <w:vAlign w:val="center"/>
          </w:tcPr>
          <w:p w14:paraId="145BBBCA">
            <w:pPr>
              <w:pStyle w:val="4"/>
              <w:adjustRightInd w:val="0"/>
              <w:snapToGrid w:val="0"/>
              <w:spacing w:line="320" w:lineRule="exact"/>
              <w:jc w:val="left"/>
              <w:rPr>
                <w:highlight w:val="none"/>
              </w:rPr>
            </w:pPr>
          </w:p>
        </w:tc>
        <w:tc>
          <w:tcPr>
            <w:tcW w:w="857" w:type="pct"/>
            <w:vMerge w:val="continue"/>
            <w:tcBorders>
              <w:right w:val="single" w:color="auto" w:sz="4" w:space="0"/>
            </w:tcBorders>
            <w:vAlign w:val="center"/>
          </w:tcPr>
          <w:p w14:paraId="29C83A62">
            <w:pPr>
              <w:pStyle w:val="4"/>
              <w:adjustRightInd w:val="0"/>
              <w:snapToGrid w:val="0"/>
              <w:spacing w:line="320" w:lineRule="exact"/>
              <w:jc w:val="left"/>
              <w:rPr>
                <w:highlight w:val="none"/>
              </w:rPr>
            </w:pPr>
          </w:p>
        </w:tc>
        <w:tc>
          <w:tcPr>
            <w:tcW w:w="401" w:type="pct"/>
            <w:vMerge w:val="continue"/>
            <w:tcBorders>
              <w:left w:val="single" w:color="auto" w:sz="4" w:space="0"/>
              <w:right w:val="single" w:color="auto" w:sz="4" w:space="0"/>
            </w:tcBorders>
            <w:vAlign w:val="center"/>
          </w:tcPr>
          <w:p w14:paraId="52D9482F">
            <w:pPr>
              <w:pStyle w:val="4"/>
              <w:adjustRightInd w:val="0"/>
              <w:snapToGrid w:val="0"/>
              <w:spacing w:line="320" w:lineRule="exact"/>
              <w:jc w:val="left"/>
              <w:rPr>
                <w:highlight w:val="none"/>
              </w:rPr>
            </w:pPr>
          </w:p>
        </w:tc>
        <w:tc>
          <w:tcPr>
            <w:tcW w:w="2545" w:type="pct"/>
            <w:tcBorders>
              <w:left w:val="single" w:color="auto" w:sz="4" w:space="0"/>
            </w:tcBorders>
            <w:vAlign w:val="center"/>
          </w:tcPr>
          <w:p w14:paraId="3B74DAC9">
            <w:pPr>
              <w:widowControl/>
              <w:adjustRightInd w:val="0"/>
              <w:snapToGrid w:val="0"/>
              <w:spacing w:line="320" w:lineRule="exact"/>
              <w:jc w:val="left"/>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bidi="ar-SA"/>
              </w:rPr>
              <w:t>提供安装调试方案，方案合理、可行，符合本项目的实际的得3-4分。</w:t>
            </w:r>
          </w:p>
        </w:tc>
      </w:tr>
      <w:tr w14:paraId="000E9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527" w:type="pct"/>
            <w:vMerge w:val="continue"/>
            <w:vAlign w:val="center"/>
          </w:tcPr>
          <w:p w14:paraId="15306D3E">
            <w:pPr>
              <w:pStyle w:val="4"/>
              <w:adjustRightInd w:val="0"/>
              <w:snapToGrid w:val="0"/>
              <w:spacing w:line="320" w:lineRule="exact"/>
              <w:jc w:val="left"/>
              <w:rPr>
                <w:rFonts w:hint="default"/>
                <w:sz w:val="21"/>
                <w:szCs w:val="21"/>
                <w:highlight w:val="none"/>
              </w:rPr>
            </w:pPr>
          </w:p>
        </w:tc>
        <w:tc>
          <w:tcPr>
            <w:tcW w:w="273" w:type="pct"/>
            <w:vMerge w:val="continue"/>
            <w:vAlign w:val="center"/>
          </w:tcPr>
          <w:p w14:paraId="07470F78">
            <w:pPr>
              <w:pStyle w:val="4"/>
              <w:adjustRightInd w:val="0"/>
              <w:snapToGrid w:val="0"/>
              <w:spacing w:line="320" w:lineRule="exact"/>
              <w:jc w:val="left"/>
              <w:rPr>
                <w:rFonts w:hint="default"/>
                <w:sz w:val="21"/>
                <w:szCs w:val="21"/>
                <w:highlight w:val="none"/>
              </w:rPr>
            </w:pPr>
          </w:p>
        </w:tc>
        <w:tc>
          <w:tcPr>
            <w:tcW w:w="395" w:type="pct"/>
            <w:vMerge w:val="continue"/>
            <w:vAlign w:val="center"/>
          </w:tcPr>
          <w:p w14:paraId="73948BE9">
            <w:pPr>
              <w:pStyle w:val="4"/>
              <w:adjustRightInd w:val="0"/>
              <w:snapToGrid w:val="0"/>
              <w:spacing w:line="320" w:lineRule="exact"/>
              <w:jc w:val="left"/>
              <w:rPr>
                <w:rFonts w:hint="default"/>
                <w:sz w:val="21"/>
                <w:szCs w:val="21"/>
                <w:highlight w:val="none"/>
              </w:rPr>
            </w:pPr>
          </w:p>
        </w:tc>
        <w:tc>
          <w:tcPr>
            <w:tcW w:w="857" w:type="pct"/>
            <w:vMerge w:val="continue"/>
            <w:tcBorders>
              <w:right w:val="single" w:color="auto" w:sz="4" w:space="0"/>
            </w:tcBorders>
            <w:vAlign w:val="center"/>
          </w:tcPr>
          <w:p w14:paraId="789748FF">
            <w:pPr>
              <w:pStyle w:val="4"/>
              <w:adjustRightInd w:val="0"/>
              <w:snapToGrid w:val="0"/>
              <w:spacing w:line="320" w:lineRule="exact"/>
              <w:jc w:val="left"/>
              <w:rPr>
                <w:rFonts w:hint="default"/>
                <w:sz w:val="21"/>
                <w:szCs w:val="21"/>
                <w:highlight w:val="none"/>
              </w:rPr>
            </w:pPr>
          </w:p>
        </w:tc>
        <w:tc>
          <w:tcPr>
            <w:tcW w:w="401" w:type="pct"/>
            <w:vMerge w:val="continue"/>
            <w:tcBorders>
              <w:left w:val="single" w:color="auto" w:sz="4" w:space="0"/>
              <w:right w:val="single" w:color="auto" w:sz="4" w:space="0"/>
            </w:tcBorders>
            <w:vAlign w:val="center"/>
          </w:tcPr>
          <w:p w14:paraId="3373AF20">
            <w:pPr>
              <w:pStyle w:val="4"/>
              <w:adjustRightInd w:val="0"/>
              <w:snapToGrid w:val="0"/>
              <w:spacing w:line="320" w:lineRule="exact"/>
              <w:jc w:val="left"/>
              <w:rPr>
                <w:rFonts w:hint="default"/>
                <w:sz w:val="21"/>
                <w:szCs w:val="21"/>
                <w:highlight w:val="none"/>
              </w:rPr>
            </w:pPr>
          </w:p>
        </w:tc>
        <w:tc>
          <w:tcPr>
            <w:tcW w:w="2545" w:type="pct"/>
            <w:tcBorders>
              <w:left w:val="single" w:color="auto" w:sz="4" w:space="0"/>
            </w:tcBorders>
            <w:vAlign w:val="center"/>
          </w:tcPr>
          <w:p w14:paraId="4BC5A847">
            <w:pPr>
              <w:widowControl/>
              <w:adjustRightInd w:val="0"/>
              <w:snapToGrid w:val="0"/>
              <w:spacing w:line="320" w:lineRule="exact"/>
              <w:jc w:val="left"/>
              <w:rPr>
                <w:rFonts w:hint="default"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bidi="ar-SA"/>
              </w:rPr>
              <w:t>方案基本满足招标文件的需求得3分。</w:t>
            </w:r>
          </w:p>
        </w:tc>
      </w:tr>
      <w:tr w14:paraId="10690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9" w:hRule="atLeast"/>
        </w:trPr>
        <w:tc>
          <w:tcPr>
            <w:tcW w:w="527" w:type="pct"/>
            <w:vMerge w:val="continue"/>
            <w:vAlign w:val="center"/>
          </w:tcPr>
          <w:p w14:paraId="58BB615A">
            <w:pPr>
              <w:autoSpaceDE w:val="0"/>
              <w:autoSpaceDN w:val="0"/>
              <w:snapToGrid w:val="0"/>
              <w:ind w:right="-107" w:rightChars="0" w:firstLine="420" w:firstLineChars="0"/>
              <w:jc w:val="center"/>
              <w:rPr>
                <w:rFonts w:ascii="宋体" w:hAnsi="宋体" w:cs="宋体"/>
                <w:kern w:val="0"/>
                <w:szCs w:val="21"/>
                <w:highlight w:val="none"/>
              </w:rPr>
            </w:pPr>
          </w:p>
        </w:tc>
        <w:tc>
          <w:tcPr>
            <w:tcW w:w="273" w:type="pct"/>
            <w:vMerge w:val="continue"/>
            <w:vAlign w:val="center"/>
          </w:tcPr>
          <w:p w14:paraId="191AF926">
            <w:pPr>
              <w:autoSpaceDE w:val="0"/>
              <w:autoSpaceDN w:val="0"/>
              <w:snapToGrid w:val="0"/>
              <w:ind w:right="-107" w:rightChars="0" w:firstLine="420" w:firstLineChars="0"/>
              <w:jc w:val="center"/>
              <w:rPr>
                <w:rFonts w:ascii="宋体" w:hAnsi="宋体" w:cs="宋体"/>
                <w:kern w:val="0"/>
                <w:szCs w:val="21"/>
                <w:highlight w:val="none"/>
              </w:rPr>
            </w:pPr>
          </w:p>
        </w:tc>
        <w:tc>
          <w:tcPr>
            <w:tcW w:w="395" w:type="pct"/>
            <w:vMerge w:val="continue"/>
            <w:vAlign w:val="center"/>
          </w:tcPr>
          <w:p w14:paraId="0764039B">
            <w:pPr>
              <w:autoSpaceDE w:val="0"/>
              <w:autoSpaceDN w:val="0"/>
              <w:snapToGrid w:val="0"/>
              <w:ind w:right="-107" w:rightChars="0" w:firstLine="420" w:firstLineChars="0"/>
              <w:jc w:val="center"/>
              <w:rPr>
                <w:rFonts w:ascii="宋体" w:hAnsi="宋体" w:cs="宋体"/>
                <w:kern w:val="0"/>
                <w:szCs w:val="21"/>
                <w:highlight w:val="none"/>
              </w:rPr>
            </w:pPr>
          </w:p>
        </w:tc>
        <w:tc>
          <w:tcPr>
            <w:tcW w:w="857" w:type="pct"/>
            <w:vMerge w:val="restart"/>
            <w:tcBorders>
              <w:right w:val="single" w:color="auto" w:sz="4" w:space="0"/>
            </w:tcBorders>
            <w:vAlign w:val="center"/>
          </w:tcPr>
          <w:p w14:paraId="5B7A91C6">
            <w:pPr>
              <w:jc w:val="center"/>
              <w:rPr>
                <w:rFonts w:ascii="宋体" w:hAnsi="宋体"/>
                <w:szCs w:val="21"/>
                <w:highlight w:val="none"/>
              </w:rPr>
            </w:pPr>
            <w:r>
              <w:rPr>
                <w:rFonts w:hint="default"/>
                <w:kern w:val="0"/>
                <w:szCs w:val="21"/>
                <w:highlight w:val="none"/>
              </w:rPr>
              <w:t>售后服务方案</w:t>
            </w:r>
          </w:p>
        </w:tc>
        <w:tc>
          <w:tcPr>
            <w:tcW w:w="401" w:type="pct"/>
            <w:vMerge w:val="restart"/>
            <w:tcBorders>
              <w:left w:val="single" w:color="auto" w:sz="4" w:space="0"/>
              <w:right w:val="single" w:color="auto" w:sz="4" w:space="0"/>
            </w:tcBorders>
            <w:vAlign w:val="center"/>
          </w:tcPr>
          <w:p w14:paraId="5615E854">
            <w:pPr>
              <w:jc w:val="center"/>
              <w:rPr>
                <w:rFonts w:ascii="宋体" w:hAnsi="宋体"/>
                <w:szCs w:val="21"/>
                <w:highlight w:val="none"/>
              </w:rPr>
            </w:pPr>
            <w:r>
              <w:rPr>
                <w:rFonts w:hint="eastAsia" w:ascii="Times New Roman" w:hAnsi="Times New Roman"/>
                <w:szCs w:val="21"/>
                <w:highlight w:val="none"/>
                <w:lang w:val="en-US" w:eastAsia="zh-CN"/>
              </w:rPr>
              <w:t>10</w:t>
            </w:r>
            <w:r>
              <w:rPr>
                <w:rFonts w:ascii="Times New Roman" w:hAnsi="Times New Roman"/>
                <w:szCs w:val="21"/>
                <w:highlight w:val="none"/>
              </w:rPr>
              <w:t>分</w:t>
            </w:r>
          </w:p>
        </w:tc>
        <w:tc>
          <w:tcPr>
            <w:tcW w:w="2545" w:type="pct"/>
            <w:tcBorders>
              <w:left w:val="single" w:color="auto" w:sz="4" w:space="0"/>
            </w:tcBorders>
            <w:vAlign w:val="center"/>
          </w:tcPr>
          <w:p w14:paraId="2D828A74">
            <w:pPr>
              <w:pStyle w:val="4"/>
              <w:adjustRightInd/>
              <w:snapToGrid/>
              <w:spacing w:line="240" w:lineRule="auto"/>
              <w:jc w:val="left"/>
              <w:rPr>
                <w:rFonts w:hint="eastAsia" w:ascii="宋体" w:hAnsi="宋体" w:eastAsia="宋体"/>
                <w:sz w:val="21"/>
                <w:szCs w:val="21"/>
                <w:highlight w:val="none"/>
              </w:rPr>
            </w:pPr>
            <w:r>
              <w:rPr>
                <w:rFonts w:hint="eastAsia" w:ascii="宋体" w:hAnsi="宋体" w:eastAsia="宋体"/>
                <w:sz w:val="21"/>
                <w:szCs w:val="21"/>
                <w:highlight w:val="none"/>
              </w:rPr>
              <w:t>维护保障实施能力强，能够提供有效、稳定、可靠的维修、保养服务，售后服务体系完善且能够很好的服务招标人，得8-10分；</w:t>
            </w:r>
          </w:p>
        </w:tc>
      </w:tr>
      <w:tr w14:paraId="6B99F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9" w:hRule="atLeast"/>
        </w:trPr>
        <w:tc>
          <w:tcPr>
            <w:tcW w:w="527" w:type="pct"/>
            <w:vMerge w:val="continue"/>
            <w:vAlign w:val="center"/>
          </w:tcPr>
          <w:p w14:paraId="5777FB5B">
            <w:pPr>
              <w:ind w:right="113" w:rightChars="0"/>
              <w:jc w:val="left"/>
              <w:rPr>
                <w:highlight w:val="none"/>
              </w:rPr>
            </w:pPr>
          </w:p>
        </w:tc>
        <w:tc>
          <w:tcPr>
            <w:tcW w:w="273" w:type="pct"/>
            <w:vMerge w:val="continue"/>
            <w:vAlign w:val="center"/>
          </w:tcPr>
          <w:p w14:paraId="130DBCCC">
            <w:pPr>
              <w:ind w:right="113" w:rightChars="0"/>
              <w:jc w:val="left"/>
              <w:rPr>
                <w:highlight w:val="none"/>
              </w:rPr>
            </w:pPr>
          </w:p>
        </w:tc>
        <w:tc>
          <w:tcPr>
            <w:tcW w:w="395" w:type="pct"/>
            <w:vMerge w:val="continue"/>
            <w:vAlign w:val="center"/>
          </w:tcPr>
          <w:p w14:paraId="7BDBD229">
            <w:pPr>
              <w:ind w:right="113" w:rightChars="0"/>
              <w:jc w:val="left"/>
              <w:rPr>
                <w:highlight w:val="none"/>
              </w:rPr>
            </w:pPr>
          </w:p>
        </w:tc>
        <w:tc>
          <w:tcPr>
            <w:tcW w:w="857" w:type="pct"/>
            <w:vMerge w:val="continue"/>
            <w:tcBorders>
              <w:right w:val="single" w:color="auto" w:sz="4" w:space="0"/>
            </w:tcBorders>
            <w:vAlign w:val="center"/>
          </w:tcPr>
          <w:p w14:paraId="06A1F45F">
            <w:pPr>
              <w:ind w:right="113" w:rightChars="0"/>
              <w:jc w:val="left"/>
              <w:rPr>
                <w:highlight w:val="none"/>
              </w:rPr>
            </w:pPr>
          </w:p>
        </w:tc>
        <w:tc>
          <w:tcPr>
            <w:tcW w:w="401" w:type="pct"/>
            <w:vMerge w:val="continue"/>
            <w:tcBorders>
              <w:left w:val="single" w:color="auto" w:sz="4" w:space="0"/>
              <w:right w:val="single" w:color="auto" w:sz="4" w:space="0"/>
            </w:tcBorders>
            <w:vAlign w:val="center"/>
          </w:tcPr>
          <w:p w14:paraId="04210591">
            <w:pPr>
              <w:ind w:right="113" w:rightChars="0"/>
              <w:jc w:val="left"/>
              <w:rPr>
                <w:highlight w:val="none"/>
              </w:rPr>
            </w:pPr>
          </w:p>
        </w:tc>
        <w:tc>
          <w:tcPr>
            <w:tcW w:w="2545" w:type="pct"/>
            <w:tcBorders>
              <w:left w:val="single" w:color="auto" w:sz="4" w:space="0"/>
            </w:tcBorders>
            <w:vAlign w:val="center"/>
          </w:tcPr>
          <w:p w14:paraId="3EA7A275">
            <w:pPr>
              <w:pStyle w:val="4"/>
              <w:ind w:right="113" w:rightChars="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维护保障实施能力较强，能够提供比较有效、稳定、可靠的维修、保养服务，售后服务体系较完善，能较好的服务招标人，得6-8分</w:t>
            </w:r>
          </w:p>
        </w:tc>
      </w:tr>
      <w:tr w14:paraId="1BCF2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7" w:hRule="atLeast"/>
        </w:trPr>
        <w:tc>
          <w:tcPr>
            <w:tcW w:w="527" w:type="pct"/>
            <w:vMerge w:val="continue"/>
            <w:vAlign w:val="center"/>
          </w:tcPr>
          <w:p w14:paraId="427F4A91">
            <w:pPr>
              <w:ind w:right="113" w:rightChars="0"/>
              <w:jc w:val="left"/>
              <w:rPr>
                <w:rFonts w:hint="eastAsia" w:ascii="宋体" w:hAnsi="宋体" w:eastAsia="宋体" w:cs="宋体"/>
                <w:color w:val="auto"/>
                <w:sz w:val="24"/>
                <w:szCs w:val="24"/>
                <w:highlight w:val="none"/>
              </w:rPr>
            </w:pPr>
          </w:p>
        </w:tc>
        <w:tc>
          <w:tcPr>
            <w:tcW w:w="273" w:type="pct"/>
            <w:vMerge w:val="continue"/>
            <w:vAlign w:val="center"/>
          </w:tcPr>
          <w:p w14:paraId="6F6DC0F3">
            <w:pPr>
              <w:ind w:right="113" w:rightChars="0"/>
              <w:jc w:val="left"/>
              <w:rPr>
                <w:rFonts w:hint="eastAsia" w:ascii="宋体" w:hAnsi="宋体" w:eastAsia="宋体" w:cs="宋体"/>
                <w:color w:val="auto"/>
                <w:sz w:val="24"/>
                <w:szCs w:val="24"/>
                <w:highlight w:val="none"/>
              </w:rPr>
            </w:pPr>
          </w:p>
        </w:tc>
        <w:tc>
          <w:tcPr>
            <w:tcW w:w="395" w:type="pct"/>
            <w:vMerge w:val="continue"/>
            <w:vAlign w:val="center"/>
          </w:tcPr>
          <w:p w14:paraId="1D122BC6">
            <w:pPr>
              <w:ind w:right="113" w:rightChars="0"/>
              <w:jc w:val="left"/>
              <w:rPr>
                <w:rFonts w:hint="eastAsia" w:ascii="宋体" w:hAnsi="宋体" w:eastAsia="宋体" w:cs="宋体"/>
                <w:color w:val="auto"/>
                <w:sz w:val="24"/>
                <w:szCs w:val="24"/>
                <w:highlight w:val="none"/>
              </w:rPr>
            </w:pPr>
          </w:p>
        </w:tc>
        <w:tc>
          <w:tcPr>
            <w:tcW w:w="857" w:type="pct"/>
            <w:vMerge w:val="continue"/>
            <w:tcBorders>
              <w:right w:val="single" w:color="auto" w:sz="4" w:space="0"/>
            </w:tcBorders>
            <w:vAlign w:val="center"/>
          </w:tcPr>
          <w:p w14:paraId="170EAAF7">
            <w:pPr>
              <w:ind w:right="113" w:rightChars="0"/>
              <w:jc w:val="left"/>
              <w:rPr>
                <w:rFonts w:hint="eastAsia" w:ascii="宋体" w:hAnsi="宋体" w:eastAsia="宋体" w:cs="宋体"/>
                <w:color w:val="auto"/>
                <w:sz w:val="24"/>
                <w:szCs w:val="24"/>
                <w:highlight w:val="none"/>
              </w:rPr>
            </w:pPr>
          </w:p>
        </w:tc>
        <w:tc>
          <w:tcPr>
            <w:tcW w:w="401" w:type="pct"/>
            <w:vMerge w:val="continue"/>
            <w:tcBorders>
              <w:left w:val="single" w:color="auto" w:sz="4" w:space="0"/>
              <w:right w:val="single" w:color="auto" w:sz="4" w:space="0"/>
            </w:tcBorders>
            <w:vAlign w:val="center"/>
          </w:tcPr>
          <w:p w14:paraId="6CFE685D">
            <w:pPr>
              <w:ind w:right="113" w:rightChars="0"/>
              <w:jc w:val="left"/>
              <w:rPr>
                <w:rFonts w:hint="eastAsia" w:ascii="宋体" w:hAnsi="宋体" w:eastAsia="宋体" w:cs="宋体"/>
                <w:color w:val="auto"/>
                <w:sz w:val="24"/>
                <w:szCs w:val="24"/>
                <w:highlight w:val="none"/>
              </w:rPr>
            </w:pPr>
          </w:p>
        </w:tc>
        <w:tc>
          <w:tcPr>
            <w:tcW w:w="2545" w:type="pct"/>
            <w:tcBorders>
              <w:left w:val="single" w:color="auto" w:sz="4" w:space="0"/>
            </w:tcBorders>
            <w:vAlign w:val="center"/>
          </w:tcPr>
          <w:p w14:paraId="0D828D27">
            <w:pPr>
              <w:pStyle w:val="4"/>
              <w:ind w:right="113" w:rightChars="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维护保障实施能力一般，能够提供基本的维修、保养服务得6分</w:t>
            </w:r>
          </w:p>
        </w:tc>
      </w:tr>
      <w:tr w14:paraId="41A45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87" w:hRule="atLeast"/>
        </w:trPr>
        <w:tc>
          <w:tcPr>
            <w:tcW w:w="527" w:type="pct"/>
            <w:vAlign w:val="center"/>
          </w:tcPr>
          <w:p w14:paraId="3D7D60AF">
            <w:pPr>
              <w:pStyle w:val="4"/>
              <w:rPr>
                <w:rFonts w:hAnsi="宋体" w:cs="宋体"/>
                <w:sz w:val="21"/>
                <w:szCs w:val="21"/>
                <w:highlight w:val="none"/>
              </w:rPr>
            </w:pPr>
            <w:r>
              <w:rPr>
                <w:rFonts w:hint="eastAsia" w:hAnsi="宋体"/>
                <w:sz w:val="21"/>
                <w:szCs w:val="21"/>
                <w:highlight w:val="none"/>
              </w:rPr>
              <w:t>2.2.4(</w:t>
            </w:r>
            <w:r>
              <w:rPr>
                <w:rFonts w:hint="eastAsia" w:hAnsi="宋体"/>
                <w:sz w:val="21"/>
                <w:szCs w:val="21"/>
                <w:highlight w:val="none"/>
                <w:lang w:val="en-US" w:eastAsia="zh-CN"/>
              </w:rPr>
              <w:t>2</w:t>
            </w:r>
            <w:r>
              <w:rPr>
                <w:rFonts w:hint="eastAsia" w:hAnsi="宋体"/>
                <w:sz w:val="21"/>
                <w:szCs w:val="21"/>
                <w:highlight w:val="none"/>
              </w:rPr>
              <w:t>)</w:t>
            </w:r>
          </w:p>
        </w:tc>
        <w:tc>
          <w:tcPr>
            <w:tcW w:w="273" w:type="pct"/>
            <w:vAlign w:val="center"/>
          </w:tcPr>
          <w:p w14:paraId="79A070DC">
            <w:pPr>
              <w:pStyle w:val="4"/>
              <w:rPr>
                <w:rFonts w:hAnsi="宋体"/>
                <w:sz w:val="21"/>
                <w:szCs w:val="21"/>
                <w:highlight w:val="none"/>
              </w:rPr>
            </w:pPr>
            <w:r>
              <w:rPr>
                <w:rFonts w:hint="eastAsia" w:hAnsi="宋体"/>
                <w:sz w:val="21"/>
                <w:szCs w:val="21"/>
                <w:highlight w:val="none"/>
              </w:rPr>
              <w:t>评标价</w:t>
            </w:r>
          </w:p>
        </w:tc>
        <w:tc>
          <w:tcPr>
            <w:tcW w:w="395" w:type="pct"/>
            <w:vAlign w:val="center"/>
          </w:tcPr>
          <w:p w14:paraId="4DF314AE">
            <w:pPr>
              <w:pStyle w:val="4"/>
              <w:rPr>
                <w:rFonts w:ascii="Times New Roman" w:hAnsi="Times New Roman"/>
                <w:kern w:val="2"/>
                <w:sz w:val="21"/>
                <w:szCs w:val="21"/>
                <w:highlight w:val="none"/>
              </w:rPr>
            </w:pPr>
            <w:r>
              <w:rPr>
                <w:rFonts w:hint="eastAsia" w:hAnsi="宋体"/>
                <w:sz w:val="21"/>
                <w:szCs w:val="21"/>
                <w:highlight w:val="none"/>
              </w:rPr>
              <w:t>30分</w:t>
            </w:r>
          </w:p>
        </w:tc>
        <w:tc>
          <w:tcPr>
            <w:tcW w:w="3803" w:type="pct"/>
            <w:gridSpan w:val="3"/>
            <w:vAlign w:val="center"/>
          </w:tcPr>
          <w:p w14:paraId="479928A0">
            <w:pPr>
              <w:pStyle w:val="4"/>
              <w:jc w:val="left"/>
              <w:rPr>
                <w:rFonts w:hAnsi="宋体"/>
                <w:sz w:val="21"/>
                <w:szCs w:val="21"/>
                <w:highlight w:val="none"/>
              </w:rPr>
            </w:pPr>
            <w:r>
              <w:rPr>
                <w:rFonts w:hint="eastAsia" w:hAnsi="宋体"/>
                <w:sz w:val="21"/>
                <w:szCs w:val="21"/>
                <w:highlight w:val="none"/>
              </w:rPr>
              <w:t>评标价得分计算公式：</w:t>
            </w:r>
          </w:p>
          <w:p w14:paraId="733915FD">
            <w:pPr>
              <w:pStyle w:val="4"/>
              <w:jc w:val="left"/>
              <w:rPr>
                <w:rFonts w:hAnsi="宋体"/>
                <w:sz w:val="21"/>
                <w:szCs w:val="21"/>
                <w:highlight w:val="none"/>
              </w:rPr>
            </w:pPr>
            <w:r>
              <w:rPr>
                <w:rFonts w:hint="eastAsia" w:hAnsi="宋体"/>
                <w:sz w:val="21"/>
                <w:szCs w:val="21"/>
                <w:highlight w:val="none"/>
              </w:rPr>
              <w:t>（1）如果投标人的评标价＞评标基准价，则评标价得分=F-偏差率×100×E1；</w:t>
            </w:r>
          </w:p>
          <w:p w14:paraId="5FACB324">
            <w:pPr>
              <w:pStyle w:val="4"/>
              <w:jc w:val="left"/>
              <w:rPr>
                <w:rFonts w:hAnsi="宋体"/>
                <w:sz w:val="21"/>
                <w:szCs w:val="21"/>
                <w:highlight w:val="none"/>
              </w:rPr>
            </w:pPr>
            <w:r>
              <w:rPr>
                <w:rFonts w:hint="eastAsia" w:hAnsi="宋体"/>
                <w:sz w:val="21"/>
                <w:szCs w:val="21"/>
                <w:highlight w:val="none"/>
              </w:rPr>
              <w:t>（2）如果投标人的评标价≤评标基准价，则评标价得分=F+偏差率×100×E2。</w:t>
            </w:r>
          </w:p>
          <w:p w14:paraId="046103F6">
            <w:pPr>
              <w:pStyle w:val="4"/>
              <w:jc w:val="left"/>
              <w:rPr>
                <w:rFonts w:ascii="Times New Roman" w:hAnsi="Times New Roman"/>
                <w:kern w:val="2"/>
                <w:sz w:val="21"/>
                <w:szCs w:val="21"/>
                <w:highlight w:val="none"/>
              </w:rPr>
            </w:pPr>
            <w:r>
              <w:rPr>
                <w:rFonts w:hint="eastAsia" w:hAnsi="宋体"/>
                <w:sz w:val="21"/>
                <w:szCs w:val="21"/>
                <w:highlight w:val="none"/>
              </w:rPr>
              <w:t>其中，F=30；E1=</w:t>
            </w:r>
            <w:r>
              <w:rPr>
                <w:rFonts w:hint="eastAsia" w:hAnsi="宋体"/>
                <w:sz w:val="21"/>
                <w:szCs w:val="21"/>
                <w:highlight w:val="none"/>
                <w:lang w:val="en-US" w:eastAsia="zh-CN"/>
              </w:rPr>
              <w:t>0.</w:t>
            </w:r>
            <w:r>
              <w:rPr>
                <w:rFonts w:hint="eastAsia" w:hAnsi="宋体"/>
                <w:sz w:val="21"/>
                <w:szCs w:val="21"/>
                <w:highlight w:val="none"/>
              </w:rPr>
              <w:t>2；E2=</w:t>
            </w:r>
            <w:r>
              <w:rPr>
                <w:rFonts w:hint="eastAsia" w:hAnsi="宋体"/>
                <w:sz w:val="21"/>
                <w:szCs w:val="21"/>
                <w:highlight w:val="none"/>
                <w:lang w:val="en-US" w:eastAsia="zh-CN"/>
              </w:rPr>
              <w:t>0.</w:t>
            </w:r>
            <w:r>
              <w:rPr>
                <w:rFonts w:hint="eastAsia" w:hAnsi="宋体"/>
                <w:sz w:val="21"/>
                <w:szCs w:val="21"/>
                <w:highlight w:val="none"/>
              </w:rPr>
              <w:t>1；评标价最低得分为0分。</w:t>
            </w:r>
          </w:p>
        </w:tc>
      </w:tr>
      <w:tr w14:paraId="7AFCA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3" w:hRule="atLeast"/>
        </w:trPr>
        <w:tc>
          <w:tcPr>
            <w:tcW w:w="527" w:type="pct"/>
            <w:vAlign w:val="center"/>
          </w:tcPr>
          <w:p w14:paraId="4F50FB5F">
            <w:pPr>
              <w:pStyle w:val="4"/>
              <w:rPr>
                <w:rFonts w:hAnsi="宋体"/>
                <w:sz w:val="21"/>
                <w:szCs w:val="21"/>
                <w:highlight w:val="none"/>
              </w:rPr>
            </w:pPr>
            <w:r>
              <w:rPr>
                <w:rFonts w:hint="eastAsia" w:hAnsi="宋体"/>
                <w:sz w:val="21"/>
                <w:szCs w:val="21"/>
                <w:highlight w:val="none"/>
              </w:rPr>
              <w:t>2.2.4(</w:t>
            </w:r>
            <w:r>
              <w:rPr>
                <w:rFonts w:hint="eastAsia" w:hAnsi="宋体"/>
                <w:sz w:val="21"/>
                <w:szCs w:val="21"/>
                <w:highlight w:val="none"/>
                <w:lang w:val="en-US" w:eastAsia="zh-CN"/>
              </w:rPr>
              <w:t>3</w:t>
            </w:r>
            <w:r>
              <w:rPr>
                <w:rFonts w:hint="eastAsia" w:hAnsi="宋体"/>
                <w:sz w:val="21"/>
                <w:szCs w:val="21"/>
                <w:highlight w:val="none"/>
              </w:rPr>
              <w:t>)</w:t>
            </w:r>
          </w:p>
        </w:tc>
        <w:tc>
          <w:tcPr>
            <w:tcW w:w="273" w:type="pct"/>
            <w:vAlign w:val="center"/>
          </w:tcPr>
          <w:p w14:paraId="1AFBC50C">
            <w:pPr>
              <w:pStyle w:val="4"/>
              <w:rPr>
                <w:rFonts w:hAnsi="宋体"/>
                <w:sz w:val="21"/>
                <w:szCs w:val="21"/>
                <w:highlight w:val="none"/>
              </w:rPr>
            </w:pPr>
            <w:r>
              <w:rPr>
                <w:rFonts w:hint="eastAsia" w:hAnsi="宋体"/>
                <w:sz w:val="21"/>
                <w:szCs w:val="21"/>
                <w:highlight w:val="none"/>
              </w:rPr>
              <w:t>其他因素</w:t>
            </w:r>
          </w:p>
        </w:tc>
        <w:tc>
          <w:tcPr>
            <w:tcW w:w="395" w:type="pct"/>
            <w:vAlign w:val="center"/>
          </w:tcPr>
          <w:p w14:paraId="6292BF9D">
            <w:pPr>
              <w:pStyle w:val="4"/>
              <w:rPr>
                <w:rFonts w:hAnsi="宋体"/>
                <w:sz w:val="21"/>
                <w:szCs w:val="21"/>
                <w:highlight w:val="none"/>
              </w:rPr>
            </w:pPr>
            <w:r>
              <w:rPr>
                <w:rFonts w:hint="eastAsia" w:hAnsi="宋体"/>
                <w:sz w:val="21"/>
                <w:szCs w:val="21"/>
                <w:highlight w:val="none"/>
              </w:rPr>
              <w:t>业绩</w:t>
            </w:r>
          </w:p>
          <w:p w14:paraId="7F9F74F5">
            <w:pPr>
              <w:pStyle w:val="4"/>
              <w:rPr>
                <w:rFonts w:hAnsi="宋体"/>
                <w:sz w:val="21"/>
                <w:szCs w:val="21"/>
                <w:highlight w:val="none"/>
              </w:rPr>
            </w:pPr>
            <w:r>
              <w:rPr>
                <w:rFonts w:hint="eastAsia" w:hAnsi="宋体"/>
                <w:sz w:val="21"/>
                <w:szCs w:val="21"/>
                <w:highlight w:val="none"/>
              </w:rPr>
              <w:t>20分</w:t>
            </w:r>
          </w:p>
        </w:tc>
        <w:tc>
          <w:tcPr>
            <w:tcW w:w="3803" w:type="pct"/>
            <w:gridSpan w:val="3"/>
            <w:vAlign w:val="center"/>
          </w:tcPr>
          <w:p w14:paraId="2A0CE48F">
            <w:pPr>
              <w:pStyle w:val="4"/>
              <w:jc w:val="left"/>
              <w:rPr>
                <w:rFonts w:hAnsi="宋体"/>
                <w:sz w:val="21"/>
                <w:szCs w:val="21"/>
                <w:highlight w:val="none"/>
              </w:rPr>
            </w:pPr>
            <w:r>
              <w:rPr>
                <w:rFonts w:hint="eastAsia" w:hAnsi="宋体"/>
                <w:sz w:val="21"/>
                <w:szCs w:val="21"/>
                <w:highlight w:val="none"/>
              </w:rPr>
              <w:t>投标人满足资格审查条件（业绩最低要求）得</w:t>
            </w:r>
            <w:r>
              <w:rPr>
                <w:rFonts w:hAnsi="宋体"/>
                <w:sz w:val="21"/>
                <w:szCs w:val="21"/>
                <w:highlight w:val="none"/>
              </w:rPr>
              <w:t>1</w:t>
            </w:r>
            <w:r>
              <w:rPr>
                <w:rFonts w:hint="eastAsia" w:hAnsi="宋体"/>
                <w:sz w:val="21"/>
                <w:szCs w:val="21"/>
                <w:highlight w:val="none"/>
              </w:rPr>
              <w:t>2分。</w:t>
            </w:r>
          </w:p>
          <w:p w14:paraId="799725C5">
            <w:pPr>
              <w:pStyle w:val="4"/>
              <w:jc w:val="left"/>
              <w:rPr>
                <w:rFonts w:hAnsi="宋体"/>
                <w:sz w:val="21"/>
                <w:szCs w:val="21"/>
                <w:highlight w:val="none"/>
              </w:rPr>
            </w:pPr>
            <w:r>
              <w:rPr>
                <w:rFonts w:hint="eastAsia" w:hAnsi="宋体"/>
                <w:sz w:val="21"/>
                <w:szCs w:val="21"/>
                <w:highlight w:val="none"/>
              </w:rPr>
              <w:t>投标人每增加一项满足资格审查条件（业绩最低要求）的业绩加4分，最多加8分。</w:t>
            </w:r>
          </w:p>
        </w:tc>
      </w:tr>
    </w:tbl>
    <w:p w14:paraId="3E0AE5A2">
      <w:pPr>
        <w:ind w:firstLine="400"/>
        <w:rPr>
          <w:rFonts w:hint="eastAsia" w:ascii="宋体" w:hAnsi="宋体"/>
          <w:kern w:val="0"/>
          <w:sz w:val="20"/>
          <w:szCs w:val="20"/>
          <w:highlight w:val="none"/>
        </w:rPr>
      </w:pPr>
      <w:r>
        <w:rPr>
          <w:rFonts w:hint="eastAsia" w:ascii="宋体" w:hAnsi="宋体"/>
          <w:kern w:val="0"/>
          <w:sz w:val="20"/>
          <w:szCs w:val="20"/>
          <w:highlight w:val="none"/>
        </w:rPr>
        <w:t>注：1、</w:t>
      </w:r>
      <w:r>
        <w:rPr>
          <w:rFonts w:hint="eastAsia" w:ascii="宋体" w:hAnsi="宋体"/>
          <w:kern w:val="0"/>
          <w:sz w:val="20"/>
          <w:szCs w:val="20"/>
          <w:highlight w:val="none"/>
          <w:lang w:eastAsia="zh-CN"/>
        </w:rPr>
        <w:t>技术部分各项</w:t>
      </w:r>
      <w:r>
        <w:rPr>
          <w:rFonts w:hint="eastAsia" w:ascii="宋体" w:hAnsi="宋体"/>
          <w:kern w:val="0"/>
          <w:sz w:val="20"/>
          <w:szCs w:val="20"/>
          <w:highlight w:val="none"/>
        </w:rPr>
        <w:t>得分应以评标委员会各成员的打分平均值确定；评委打分保留1位小数，汇总得分保留小数点后两位。</w:t>
      </w:r>
    </w:p>
    <w:p w14:paraId="060798BA">
      <w:pPr>
        <w:ind w:firstLine="400"/>
        <w:rPr>
          <w:rFonts w:ascii="宋体" w:hAnsi="宋体"/>
          <w:kern w:val="0"/>
          <w:sz w:val="20"/>
          <w:szCs w:val="20"/>
          <w:highlight w:val="none"/>
        </w:rPr>
      </w:pPr>
      <w:r>
        <w:rPr>
          <w:rFonts w:hint="eastAsia" w:ascii="宋体" w:hAnsi="宋体"/>
          <w:kern w:val="0"/>
          <w:sz w:val="20"/>
          <w:szCs w:val="20"/>
          <w:highlight w:val="none"/>
        </w:rPr>
        <w:t>2、</w:t>
      </w:r>
      <w:r>
        <w:rPr>
          <w:rFonts w:hint="eastAsia" w:ascii="宋体" w:hAnsi="宋体"/>
          <w:kern w:val="0"/>
          <w:sz w:val="20"/>
          <w:szCs w:val="20"/>
          <w:highlight w:val="none"/>
          <w:lang w:eastAsia="zh-CN"/>
        </w:rPr>
        <w:t>技术部分各项</w:t>
      </w:r>
      <w:r>
        <w:rPr>
          <w:rFonts w:hint="eastAsia" w:ascii="宋体" w:hAnsi="宋体"/>
          <w:kern w:val="0"/>
          <w:sz w:val="20"/>
          <w:szCs w:val="20"/>
          <w:highlight w:val="none"/>
        </w:rPr>
        <w:t>评审因素细分项缺项则该项得0</w:t>
      </w:r>
      <w:bookmarkEnd w:id="5"/>
      <w:r>
        <w:rPr>
          <w:rFonts w:hint="eastAsia" w:ascii="宋体" w:hAnsi="宋体"/>
          <w:kern w:val="0"/>
          <w:sz w:val="20"/>
          <w:szCs w:val="20"/>
          <w:highlight w:val="none"/>
        </w:rPr>
        <w:t>分。</w:t>
      </w:r>
      <w:bookmarkEnd w:id="6"/>
      <w:bookmarkEnd w:id="27"/>
    </w:p>
    <w:bookmarkEnd w:id="7"/>
    <w:p w14:paraId="36A48CFF">
      <w:bookmarkStart w:id="28" w:name="_GoBack"/>
      <w:bookmarkEnd w:id="2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DYxNTJjZmI2NmVkYTMyOWVjMGFiZjEzZGM5NjgifQ=="/>
  </w:docVars>
  <w:rsids>
    <w:rsidRoot w:val="00000000"/>
    <w:rsid w:val="2B937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ind w:firstLine="560" w:firstLineChars="200"/>
    </w:pPr>
    <w:rPr>
      <w:rFonts w:ascii="Cambria" w:hAnsi="Cambria"/>
      <w:szCs w:val="24"/>
    </w:rPr>
  </w:style>
  <w:style w:type="paragraph" w:styleId="4">
    <w:name w:val="Plain Text"/>
    <w:basedOn w:val="1"/>
    <w:qFormat/>
    <w:uiPriority w:val="0"/>
    <w:pPr>
      <w:jc w:val="center"/>
    </w:pPr>
    <w:rPr>
      <w:rFonts w:ascii="宋体" w:hAnsi="Courier New"/>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2024-11-01T01:19:54Z</dcterms:created>
  <dc:creator>Administrator</dc:creator>
  <cp:lastModifiedBy>李娜</cp:lastModifiedBy>
  <dcterms:modified xsi:type="dcterms:W3CDTF">2024-11-01T01:19:58Z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89C45AC920C14C64A40C13112B3CE626_12</vt:lpwstr>
  </property>
</Properties>
</file>