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480" w:lineRule="exact"/>
        <w:ind w:firstLine="240"/>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pPr>
              <w:pStyle w:val="6"/>
              <w:spacing w:before="0" w:beforeAutospacing="0" w:after="0" w:afterAutospacing="0" w:line="480" w:lineRule="exact"/>
              <w:ind w:firstLine="240"/>
              <w:contextualSpacing/>
              <w:jc w:val="center"/>
              <w:rPr>
                <w:rFonts w:hint="eastAsia" w:cs="宋体"/>
              </w:rPr>
            </w:pPr>
            <w:r>
              <w:rPr>
                <w:rFonts w:hint="eastAsia" w:cs="宋体"/>
              </w:rPr>
              <w:t>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pPr>
              <w:spacing w:line="480" w:lineRule="exact"/>
              <w:ind w:left="-62" w:leftChars="-22" w:firstLine="240"/>
              <w:rPr>
                <w:rFonts w:hint="eastAsia" w:ascii="宋体" w:hAnsi="宋体"/>
                <w:sz w:val="24"/>
                <w:szCs w:val="24"/>
              </w:rPr>
            </w:pPr>
            <w:r>
              <w:rPr>
                <w:rFonts w:hint="eastAsia" w:ascii="宋体" w:hAnsi="宋体"/>
                <w:sz w:val="24"/>
                <w:szCs w:val="24"/>
              </w:rPr>
              <w:t>1、具有独立法人资格，持有有效的营业执照或事业单位法人证书。</w:t>
            </w:r>
          </w:p>
          <w:p>
            <w:pPr>
              <w:spacing w:line="480" w:lineRule="exact"/>
              <w:ind w:left="-62" w:leftChars="-22" w:firstLine="240"/>
              <w:rPr>
                <w:rFonts w:hint="eastAsia" w:ascii="宋体" w:hAnsi="宋体"/>
                <w:sz w:val="24"/>
                <w:szCs w:val="24"/>
              </w:rPr>
            </w:pPr>
            <w:r>
              <w:rPr>
                <w:rFonts w:hint="eastAsia" w:ascii="宋体" w:hAnsi="宋体"/>
                <w:sz w:val="24"/>
                <w:szCs w:val="24"/>
              </w:rPr>
              <w:t>2、具备行政主管部门颁发的测绘乙级及以上资质证书(专业范围包括工程测量和界线与不动产测绘)。</w:t>
            </w:r>
          </w:p>
        </w:tc>
      </w:tr>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pPr>
              <w:pStyle w:val="6"/>
              <w:spacing w:before="0" w:beforeAutospacing="0" w:after="0" w:afterAutospacing="0" w:line="480" w:lineRule="exact"/>
              <w:ind w:firstLine="240"/>
              <w:contextualSpacing/>
              <w:jc w:val="center"/>
              <w:rPr>
                <w:rFonts w:hint="eastAsia" w:cs="宋体"/>
              </w:rPr>
            </w:pPr>
            <w:r>
              <w:rPr>
                <w:rFonts w:hint="eastAsia" w:cs="宋体"/>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pPr>
              <w:pStyle w:val="4"/>
              <w:spacing w:line="480" w:lineRule="exact"/>
              <w:rPr>
                <w:rFonts w:hint="eastAsia" w:ascii="宋体" w:hAnsi="宋体"/>
                <w:sz w:val="24"/>
                <w:szCs w:val="24"/>
              </w:rPr>
            </w:pPr>
            <w:r>
              <w:rPr>
                <w:rFonts w:hint="eastAsia" w:ascii="宋体" w:hAnsi="宋体"/>
                <w:sz w:val="24"/>
                <w:szCs w:val="24"/>
              </w:rPr>
              <w:t>1、近5年内（2019年10月1日至今，以合同签订时间为准），至少承担过1项高速公路勘测定界工作业绩。</w:t>
            </w:r>
          </w:p>
          <w:p>
            <w:pPr>
              <w:pStyle w:val="4"/>
              <w:spacing w:line="480" w:lineRule="exact"/>
              <w:rPr>
                <w:rFonts w:hint="eastAsia" w:ascii="宋体" w:hAnsi="宋体"/>
                <w:sz w:val="24"/>
                <w:szCs w:val="24"/>
              </w:rPr>
            </w:pPr>
            <w:r>
              <w:rPr>
                <w:rFonts w:hint="eastAsia" w:ascii="宋体" w:hAnsi="宋体"/>
                <w:sz w:val="24"/>
                <w:szCs w:val="24"/>
              </w:rPr>
              <w:t>2、近5年内（2019年10月1日至今，以合同签订时间为准），至少承担过1项高速公路土地组卷工作业绩。</w:t>
            </w:r>
          </w:p>
          <w:p>
            <w:pPr>
              <w:pStyle w:val="4"/>
              <w:spacing w:line="480" w:lineRule="exact"/>
              <w:ind w:firstLine="240"/>
              <w:rPr>
                <w:rFonts w:hint="eastAsia" w:ascii="宋体" w:hAnsi="宋体"/>
                <w:sz w:val="24"/>
                <w:szCs w:val="24"/>
              </w:rPr>
            </w:pPr>
            <w:r>
              <w:rPr>
                <w:sz w:val="24"/>
                <w:szCs w:val="24"/>
              </w:rPr>
              <w:t>注：</w:t>
            </w:r>
            <w:r>
              <w:rPr>
                <w:rFonts w:hint="eastAsia" w:ascii="宋体" w:hAnsi="宋体"/>
                <w:sz w:val="24"/>
                <w:szCs w:val="24"/>
              </w:rPr>
              <w:t xml:space="preserve"> </w:t>
            </w:r>
            <w:r>
              <w:rPr>
                <w:rFonts w:hint="eastAsia" w:ascii="宋体" w:hAnsi="宋体"/>
                <w:sz w:val="24"/>
              </w:rPr>
              <w:t>投标人有</w:t>
            </w:r>
            <w:r>
              <w:rPr>
                <w:rFonts w:hint="eastAsia" w:ascii="宋体" w:hAnsi="宋体"/>
                <w:sz w:val="24"/>
                <w:szCs w:val="24"/>
              </w:rPr>
              <w:t>1项高速公路勘测定界工作业绩和1项高速公路土地组卷工作业绩</w:t>
            </w:r>
            <w:r>
              <w:rPr>
                <w:rFonts w:hint="eastAsia" w:ascii="宋体" w:hAnsi="宋体"/>
                <w:sz w:val="24"/>
              </w:rPr>
              <w:t>视为</w:t>
            </w:r>
            <w:r>
              <w:rPr>
                <w:rFonts w:hint="eastAsia" w:ascii="宋体" w:hAnsi="宋体"/>
                <w:sz w:val="24"/>
                <w:szCs w:val="24"/>
              </w:rPr>
              <w:t>满足本项要求。</w:t>
            </w:r>
          </w:p>
        </w:tc>
      </w:tr>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附录3 资格审查条件（信誉最低要求）</w:t>
      </w:r>
    </w:p>
    <w:tbl>
      <w:tblPr>
        <w:tblStyle w:val="7"/>
        <w:tblW w:w="958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580" w:type="dxa"/>
            <w:vAlign w:val="center"/>
          </w:tcPr>
          <w:p>
            <w:pPr>
              <w:pStyle w:val="6"/>
              <w:spacing w:before="0" w:beforeAutospacing="0" w:after="0" w:afterAutospacing="0" w:line="480" w:lineRule="exact"/>
              <w:ind w:firstLine="240"/>
              <w:contextualSpacing/>
              <w:jc w:val="center"/>
              <w:rPr>
                <w:rFonts w:hint="eastAsia" w:cs="宋体"/>
              </w:rPr>
            </w:pPr>
            <w:r>
              <w:rPr>
                <w:rFonts w:hint="eastAsia" w:cs="宋体"/>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9580" w:type="dxa"/>
            <w:vAlign w:val="center"/>
          </w:tcPr>
          <w:p>
            <w:pPr>
              <w:spacing w:line="480" w:lineRule="exact"/>
              <w:ind w:firstLine="240"/>
              <w:rPr>
                <w:rFonts w:hint="eastAsia" w:ascii="宋体" w:hAnsi="宋体"/>
              </w:rPr>
            </w:pPr>
            <w:r>
              <w:rPr>
                <w:rFonts w:hint="eastAsia"/>
                <w:sz w:val="24"/>
              </w:rPr>
              <w:t>投标人在近1年内（2023年10月1日至今）不曾在高速公路土地组卷项目合同中违约被驱逐或因投标人自身的原因而使合同被解除。</w:t>
            </w:r>
          </w:p>
        </w:tc>
      </w:tr>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pPr>
              <w:spacing w:line="480" w:lineRule="exact"/>
              <w:rPr>
                <w:rFonts w:hint="eastAsia" w:ascii="宋体" w:hAnsi="宋体"/>
                <w:sz w:val="24"/>
                <w:szCs w:val="24"/>
              </w:rPr>
            </w:pPr>
            <w:r>
              <w:rPr>
                <w:rFonts w:hint="eastAsia" w:ascii="宋体" w:hAnsi="宋体"/>
                <w:sz w:val="24"/>
                <w:szCs w:val="24"/>
              </w:rPr>
              <w:t>人   员</w:t>
            </w:r>
          </w:p>
        </w:tc>
        <w:tc>
          <w:tcPr>
            <w:tcW w:w="850" w:type="dxa"/>
            <w:vAlign w:val="center"/>
          </w:tcPr>
          <w:p>
            <w:pPr>
              <w:spacing w:line="480" w:lineRule="exact"/>
              <w:jc w:val="center"/>
              <w:rPr>
                <w:rFonts w:hint="eastAsia" w:ascii="宋体" w:hAnsi="宋体"/>
                <w:sz w:val="24"/>
                <w:szCs w:val="24"/>
              </w:rPr>
            </w:pPr>
            <w:r>
              <w:rPr>
                <w:rFonts w:hint="eastAsia" w:ascii="宋体" w:hAnsi="宋体"/>
                <w:sz w:val="24"/>
                <w:szCs w:val="24"/>
              </w:rPr>
              <w:t>数量</w:t>
            </w:r>
          </w:p>
        </w:tc>
        <w:tc>
          <w:tcPr>
            <w:tcW w:w="7626" w:type="dxa"/>
            <w:vAlign w:val="center"/>
          </w:tcPr>
          <w:p>
            <w:pPr>
              <w:spacing w:line="480" w:lineRule="exact"/>
              <w:ind w:firstLine="240"/>
              <w:jc w:val="center"/>
              <w:rPr>
                <w:rFonts w:hint="eastAsia" w:ascii="宋体" w:hAnsi="宋体"/>
                <w:sz w:val="24"/>
                <w:szCs w:val="24"/>
              </w:rPr>
            </w:pPr>
            <w:r>
              <w:rPr>
                <w:rFonts w:hint="eastAsia" w:ascii="宋体" w:hAnsi="宋体"/>
                <w:sz w:val="24"/>
                <w:szCs w:val="24"/>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pPr>
              <w:spacing w:line="480" w:lineRule="exact"/>
              <w:jc w:val="center"/>
              <w:rPr>
                <w:rFonts w:hint="eastAsia" w:ascii="宋体" w:hAnsi="宋体"/>
                <w:sz w:val="24"/>
                <w:szCs w:val="24"/>
              </w:rPr>
            </w:pPr>
            <w:bookmarkStart w:id="0" w:name="_Hlk175584432"/>
            <w:r>
              <w:rPr>
                <w:rFonts w:hint="eastAsia" w:ascii="宋体" w:hAnsi="宋体"/>
                <w:sz w:val="24"/>
                <w:szCs w:val="24"/>
              </w:rPr>
              <w:t>项目</w:t>
            </w:r>
          </w:p>
          <w:p>
            <w:pPr>
              <w:spacing w:line="480" w:lineRule="exact"/>
              <w:jc w:val="center"/>
              <w:rPr>
                <w:rFonts w:hint="eastAsia" w:ascii="宋体" w:hAnsi="宋体"/>
                <w:sz w:val="24"/>
                <w:szCs w:val="24"/>
              </w:rPr>
            </w:pPr>
            <w:r>
              <w:rPr>
                <w:rFonts w:hint="eastAsia" w:ascii="宋体" w:hAnsi="宋体"/>
                <w:sz w:val="24"/>
                <w:szCs w:val="24"/>
              </w:rPr>
              <w:t>负责人</w:t>
            </w:r>
            <w:bookmarkEnd w:id="0"/>
          </w:p>
        </w:tc>
        <w:tc>
          <w:tcPr>
            <w:tcW w:w="850" w:type="dxa"/>
            <w:vAlign w:val="center"/>
          </w:tcPr>
          <w:p>
            <w:pPr>
              <w:spacing w:line="480" w:lineRule="exact"/>
              <w:ind w:firstLine="240"/>
              <w:jc w:val="center"/>
              <w:rPr>
                <w:rFonts w:hint="eastAsia" w:ascii="宋体" w:hAnsi="宋体"/>
                <w:sz w:val="24"/>
                <w:szCs w:val="24"/>
              </w:rPr>
            </w:pPr>
            <w:r>
              <w:rPr>
                <w:rFonts w:hint="eastAsia" w:ascii="宋体" w:hAnsi="宋体"/>
                <w:sz w:val="24"/>
                <w:szCs w:val="24"/>
              </w:rPr>
              <w:t>1</w:t>
            </w:r>
          </w:p>
        </w:tc>
        <w:tc>
          <w:tcPr>
            <w:tcW w:w="7626" w:type="dxa"/>
            <w:vAlign w:val="center"/>
          </w:tcPr>
          <w:p>
            <w:pPr>
              <w:spacing w:line="480" w:lineRule="exact"/>
              <w:rPr>
                <w:rFonts w:hint="eastAsia" w:ascii="宋体" w:hAnsi="宋体"/>
                <w:sz w:val="24"/>
                <w:szCs w:val="24"/>
              </w:rPr>
            </w:pPr>
            <w:r>
              <w:rPr>
                <w:rFonts w:hint="eastAsia" w:ascii="宋体" w:hAnsi="宋体"/>
                <w:sz w:val="24"/>
                <w:szCs w:val="24"/>
              </w:rPr>
              <w:t>1、具有中级及以上职称。</w:t>
            </w:r>
          </w:p>
          <w:p>
            <w:pPr>
              <w:pStyle w:val="4"/>
              <w:spacing w:line="480" w:lineRule="exact"/>
              <w:rPr>
                <w:rFonts w:hint="eastAsia" w:ascii="宋体" w:hAnsi="宋体"/>
                <w:sz w:val="24"/>
                <w:szCs w:val="24"/>
              </w:rPr>
            </w:pPr>
            <w:r>
              <w:rPr>
                <w:rFonts w:hint="eastAsia" w:ascii="宋体" w:hAnsi="宋体"/>
                <w:sz w:val="24"/>
                <w:szCs w:val="24"/>
              </w:rPr>
              <w:t>2、近5年内（2019年10月1日至今，以合同签订时间为准），至少承担过1项高速公路勘测定界工作业绩或高速公路土地组卷工作业绩的项目负责人。</w:t>
            </w:r>
          </w:p>
        </w:tc>
      </w:tr>
    </w:tbl>
    <w:p>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pPr>
        <w:pStyle w:val="9"/>
        <w:spacing w:line="480" w:lineRule="exact"/>
        <w:ind w:firstLine="301"/>
        <w:rPr>
          <w:rFonts w:hint="eastAsia" w:ascii="宋体" w:hAnsi="宋体" w:eastAsia="宋体"/>
          <w:sz w:val="30"/>
          <w:szCs w:val="30"/>
        </w:rPr>
      </w:pPr>
      <w:bookmarkStart w:id="1" w:name="_Toc511635241"/>
      <w:bookmarkStart w:id="2" w:name="_Toc459307890"/>
      <w:bookmarkStart w:id="3" w:name="_Toc101801418"/>
      <w:bookmarkStart w:id="4" w:name="_Toc509846348"/>
      <w:bookmarkStart w:id="5" w:name="_Toc509660966"/>
      <w:bookmarkStart w:id="6" w:name="_Toc450319202"/>
      <w:bookmarkStart w:id="7" w:name="_Toc509659998"/>
      <w:bookmarkStart w:id="8" w:name="_Toc502992691"/>
      <w:bookmarkStart w:id="9" w:name="_Toc444271617"/>
      <w:bookmarkStart w:id="10" w:name="_Toc445382083"/>
      <w:bookmarkStart w:id="11" w:name="_Toc445222503"/>
      <w:bookmarkStart w:id="12" w:name="_Toc444088432"/>
      <w:r>
        <w:rPr>
          <w:rFonts w:hint="eastAsia" w:ascii="宋体" w:hAnsi="宋体" w:eastAsia="宋体"/>
          <w:sz w:val="30"/>
          <w:szCs w:val="30"/>
        </w:rPr>
        <w:t>评标办法（综合评估法）</w:t>
      </w:r>
      <w:bookmarkEnd w:id="1"/>
      <w:bookmarkEnd w:id="2"/>
      <w:bookmarkEnd w:id="3"/>
      <w:bookmarkEnd w:id="4"/>
      <w:bookmarkEnd w:id="5"/>
      <w:bookmarkEnd w:id="6"/>
      <w:bookmarkEnd w:id="7"/>
      <w:bookmarkEnd w:id="8"/>
    </w:p>
    <w:bookmarkEnd w:id="9"/>
    <w:bookmarkEnd w:id="10"/>
    <w:bookmarkEnd w:id="11"/>
    <w:bookmarkEnd w:id="12"/>
    <w:p>
      <w:pPr>
        <w:pStyle w:val="10"/>
        <w:spacing w:line="480" w:lineRule="exact"/>
        <w:ind w:firstLine="241"/>
        <w:rPr>
          <w:rFonts w:hint="eastAsia" w:ascii="宋体" w:hAnsi="宋体"/>
          <w:sz w:val="24"/>
          <w:szCs w:val="24"/>
          <w:vertAlign w:val="superscript"/>
        </w:rPr>
      </w:pPr>
      <w:bookmarkStart w:id="13" w:name="_Toc101801419"/>
      <w:bookmarkStart w:id="14" w:name="_Toc511635242"/>
      <w:bookmarkStart w:id="15" w:name="_Hlk102120823"/>
      <w:r>
        <w:rPr>
          <w:rFonts w:hint="eastAsia" w:ascii="宋体" w:hAnsi="宋体"/>
          <w:sz w:val="24"/>
          <w:szCs w:val="24"/>
        </w:rPr>
        <w:t>评标办法前附表</w:t>
      </w:r>
      <w:bookmarkEnd w:id="13"/>
      <w:bookmarkEnd w:id="14"/>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条款号</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条款名称</w:t>
            </w:r>
          </w:p>
        </w:tc>
        <w:tc>
          <w:tcPr>
            <w:tcW w:w="7279"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1</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评标办法</w:t>
            </w:r>
          </w:p>
        </w:tc>
        <w:tc>
          <w:tcPr>
            <w:tcW w:w="7279"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276" w:lineRule="auto"/>
              <w:ind w:firstLine="480" w:firstLineChars="200"/>
              <w:rPr>
                <w:rFonts w:hint="eastAsia" w:ascii="宋体" w:hAnsi="宋体"/>
                <w:sz w:val="24"/>
                <w:szCs w:val="24"/>
              </w:rPr>
            </w:pPr>
            <w:r>
              <w:rPr>
                <w:rFonts w:hint="eastAsia" w:ascii="宋体" w:hAnsi="宋体"/>
                <w:sz w:val="24"/>
                <w:szCs w:val="24"/>
              </w:rPr>
              <w:t>（1）评标价低的投标人优先；</w:t>
            </w:r>
          </w:p>
          <w:p>
            <w:pPr>
              <w:spacing w:line="276" w:lineRule="auto"/>
              <w:ind w:firstLine="480" w:firstLineChars="200"/>
              <w:rPr>
                <w:rFonts w:hint="eastAsia" w:ascii="宋体" w:hAnsi="宋体"/>
                <w:sz w:val="24"/>
                <w:szCs w:val="24"/>
              </w:rPr>
            </w:pPr>
            <w:r>
              <w:rPr>
                <w:rFonts w:hint="eastAsia" w:ascii="宋体" w:hAnsi="宋体"/>
                <w:sz w:val="24"/>
                <w:szCs w:val="24"/>
              </w:rPr>
              <w:t>（2）技术建议书得分较高的投标人优先；</w:t>
            </w:r>
          </w:p>
          <w:p>
            <w:pPr>
              <w:spacing w:line="276" w:lineRule="auto"/>
              <w:ind w:firstLine="480" w:firstLineChars="200"/>
              <w:rPr>
                <w:rFonts w:hint="eastAsia" w:ascii="宋体" w:hAnsi="宋体"/>
                <w:sz w:val="24"/>
                <w:szCs w:val="24"/>
              </w:rPr>
            </w:pPr>
            <w:r>
              <w:rPr>
                <w:rFonts w:hint="eastAsia" w:ascii="宋体" w:hAnsi="宋体"/>
                <w:sz w:val="24"/>
                <w:szCs w:val="24"/>
              </w:rPr>
              <w:t>（3）投标文件中满足附录2资格审查条件(业绩最低要求)的业绩累计金额高的优先。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2.1.1</w:t>
            </w:r>
          </w:p>
          <w:p>
            <w:pPr>
              <w:spacing w:line="276" w:lineRule="auto"/>
              <w:ind w:firstLine="240"/>
              <w:jc w:val="center"/>
              <w:rPr>
                <w:rFonts w:hint="eastAsia" w:ascii="宋体" w:hAnsi="宋体"/>
                <w:sz w:val="24"/>
                <w:szCs w:val="24"/>
              </w:rPr>
            </w:pPr>
            <w:r>
              <w:rPr>
                <w:rFonts w:ascii="宋体" w:hAnsi="宋体"/>
                <w:sz w:val="24"/>
                <w:szCs w:val="24"/>
              </w:rPr>
              <w:t>2.1.3</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pPr>
              <w:tabs>
                <w:tab w:val="left" w:pos="3060"/>
              </w:tabs>
              <w:spacing w:line="320" w:lineRule="exact"/>
              <w:ind w:firstLine="241"/>
              <w:rPr>
                <w:rFonts w:hint="eastAsia" w:ascii="宋体" w:hAnsi="宋体"/>
                <w:b/>
                <w:sz w:val="24"/>
                <w:szCs w:val="24"/>
              </w:rPr>
            </w:pPr>
            <w:r>
              <w:rPr>
                <w:rFonts w:hint="eastAsia" w:ascii="宋体" w:hAnsi="宋体"/>
                <w:b/>
                <w:sz w:val="24"/>
                <w:szCs w:val="24"/>
              </w:rPr>
              <w:t>第一个信封（商务文件）评审标准：</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（1）投标文件按照招标文件规定的格式、内容填写，字迹清晰可辨：</w:t>
            </w:r>
          </w:p>
          <w:p>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a．投标函按招标文件规定填报了招标人名称、项目名称、补遗书编号（如有）、项目负责人相关信息、服务期限、质量要求、安全目标等内容；</w:t>
            </w:r>
          </w:p>
          <w:p>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b．投标文件组成齐全完整，内容均按规定填写。</w:t>
            </w:r>
          </w:p>
          <w:p>
            <w:pPr>
              <w:tabs>
                <w:tab w:val="left" w:pos="3060"/>
              </w:tabs>
              <w:spacing w:line="320" w:lineRule="exact"/>
              <w:ind w:firstLine="240" w:firstLineChars="100"/>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（6）投标人未以联合体形式投标。</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（8）投标人未提交两个以上不同的投标文件。</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（9）投标文件中未出现有关投标报价的内容。</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（10）投标文件载明的招标项目完成期限未超过招标文件规定的时限。</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a.投标人应接受招标文件规定的风险划分原则，未提出新的风险划分办法；</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b.投标人未增加发包人的责任范围，或减少投标人义务；</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c.投标人未提出不同的支付办法；</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d.投标人对合同纠纷、事故处理办法未提出异议；</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e.投标人在投标活动中无欺诈行为；</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f.投标人未对合同条款有重要保留。</w:t>
            </w:r>
          </w:p>
          <w:p>
            <w:pPr>
              <w:tabs>
                <w:tab w:val="left" w:pos="3060"/>
              </w:tabs>
              <w:spacing w:line="276" w:lineRule="auto"/>
              <w:ind w:firstLine="241"/>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pPr>
              <w:pStyle w:val="11"/>
              <w:numPr>
                <w:ilvl w:val="0"/>
                <w:numId w:val="1"/>
              </w:numPr>
              <w:tabs>
                <w:tab w:val="left" w:pos="3060"/>
              </w:tabs>
              <w:spacing w:line="276" w:lineRule="auto"/>
              <w:ind w:firstLineChars="0"/>
              <w:rPr>
                <w:rFonts w:hint="eastAsia" w:ascii="宋体" w:hAnsi="宋体"/>
                <w:sz w:val="24"/>
                <w:szCs w:val="24"/>
              </w:rPr>
            </w:pPr>
            <w:r>
              <w:rPr>
                <w:rFonts w:hint="eastAsia" w:ascii="宋体" w:hAnsi="宋体"/>
                <w:sz w:val="24"/>
                <w:szCs w:val="24"/>
              </w:rPr>
              <w:t>技术建议书（暗标）编制符合招标文件第二章“投标人须知”第10.2款的规定。</w:t>
            </w:r>
          </w:p>
          <w:p>
            <w:pPr>
              <w:tabs>
                <w:tab w:val="left" w:pos="3060"/>
              </w:tabs>
              <w:spacing w:line="276" w:lineRule="auto"/>
              <w:ind w:firstLine="241"/>
              <w:rPr>
                <w:rFonts w:hint="eastAsia" w:ascii="宋体" w:hAnsi="宋体"/>
                <w:b/>
                <w:sz w:val="24"/>
                <w:szCs w:val="24"/>
              </w:rPr>
            </w:pPr>
            <w:r>
              <w:rPr>
                <w:rFonts w:hint="eastAsia" w:ascii="宋体" w:hAnsi="宋体"/>
                <w:b/>
                <w:sz w:val="24"/>
                <w:szCs w:val="24"/>
              </w:rPr>
              <w:t>第二个信封（报价文件）评审标准：</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b．已标价报价清单说明文字与招标文件规定一致，未进行实质性修改和</w:t>
            </w:r>
            <w:r>
              <w:rPr>
                <w:rFonts w:hint="eastAsia" w:ascii="宋体" w:hAnsi="宋体"/>
                <w:sz w:val="24"/>
                <w:szCs w:val="24"/>
              </w:rPr>
              <w:t>删减；</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c．投标文件组成齐全完整，内容均按规定填写。</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(3)投标报价未超过招标文件设定的最高投标限价。</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(4)投标报价的大写金额能够确定具体数值。</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(5)同一投标人未提交两个以上不同的投标报价。</w:t>
            </w:r>
          </w:p>
          <w:p>
            <w:pPr>
              <w:tabs>
                <w:tab w:val="left" w:pos="3060"/>
              </w:tabs>
              <w:spacing w:line="276" w:lineRule="auto"/>
              <w:ind w:firstLine="120" w:firstLineChars="50"/>
              <w:rPr>
                <w:rFonts w:hint="eastAsia" w:ascii="宋体" w:hAnsi="宋体"/>
                <w:sz w:val="24"/>
                <w:szCs w:val="24"/>
              </w:rPr>
            </w:pPr>
            <w:r>
              <w:rPr>
                <w:rFonts w:hint="eastAsia" w:ascii="宋体" w:hAnsi="宋体"/>
                <w:sz w:val="24"/>
                <w:szCs w:val="24"/>
              </w:rPr>
              <w:t>(6)报价清单中的投标报价和投标函大写金额报价一致。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2.1.2</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资格评审标准</w:t>
            </w:r>
          </w:p>
        </w:tc>
        <w:tc>
          <w:tcPr>
            <w:tcW w:w="7279" w:type="dxa"/>
          </w:tcPr>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投标人具备有效的营业执照(或事业单位法人证书)</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2.2.1</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分值构成</w:t>
            </w:r>
          </w:p>
        </w:tc>
        <w:tc>
          <w:tcPr>
            <w:tcW w:w="7279" w:type="dxa"/>
            <w:vAlign w:val="center"/>
          </w:tcPr>
          <w:p>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pPr>
              <w:autoSpaceDE w:val="0"/>
              <w:autoSpaceDN w:val="0"/>
              <w:adjustRightInd w:val="0"/>
              <w:spacing w:line="276" w:lineRule="auto"/>
              <w:ind w:left="107" w:firstLine="240"/>
              <w:jc w:val="left"/>
              <w:rPr>
                <w:rFonts w:hint="eastAsia" w:ascii="宋体" w:hAnsi="宋体" w:cs="宋?"/>
                <w:kern w:val="0"/>
                <w:sz w:val="24"/>
                <w:szCs w:val="24"/>
              </w:rPr>
            </w:pPr>
            <w:r>
              <w:rPr>
                <w:rFonts w:hint="eastAsia" w:ascii="宋体" w:hAnsi="宋体" w:cs="宋?"/>
                <w:kern w:val="0"/>
                <w:sz w:val="24"/>
                <w:szCs w:val="24"/>
              </w:rPr>
              <w:t>技术建议书：45</w:t>
            </w:r>
            <w:r>
              <w:rPr>
                <w:rFonts w:ascii="宋体" w:hAnsi="宋体" w:cs="宋?"/>
                <w:kern w:val="0"/>
                <w:sz w:val="24"/>
                <w:szCs w:val="24"/>
              </w:rPr>
              <w:t>分</w:t>
            </w:r>
          </w:p>
          <w:p>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主要人员：20分</w:t>
            </w:r>
          </w:p>
          <w:p>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第二信封（报价文件）评分分值构成：</w:t>
            </w:r>
          </w:p>
          <w:p>
            <w:pPr>
              <w:autoSpaceDE w:val="0"/>
              <w:autoSpaceDN w:val="0"/>
              <w:adjustRightInd w:val="0"/>
              <w:spacing w:line="276" w:lineRule="auto"/>
              <w:ind w:left="107" w:firstLine="240"/>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pPr>
              <w:spacing w:line="276" w:lineRule="auto"/>
              <w:ind w:right="113" w:firstLine="240"/>
              <w:jc w:val="center"/>
              <w:rPr>
                <w:rFonts w:hint="eastAsia" w:ascii="宋体" w:hAnsi="宋体"/>
                <w:sz w:val="24"/>
                <w:szCs w:val="24"/>
              </w:rPr>
            </w:pPr>
            <w:r>
              <w:rPr>
                <w:rFonts w:ascii="宋体" w:hAnsi="宋体"/>
                <w:sz w:val="24"/>
                <w:szCs w:val="24"/>
              </w:rPr>
              <w:t>2.2.2</w:t>
            </w:r>
          </w:p>
        </w:tc>
        <w:tc>
          <w:tcPr>
            <w:tcW w:w="1277" w:type="dxa"/>
            <w:vAlign w:val="center"/>
          </w:tcPr>
          <w:p>
            <w:pPr>
              <w:spacing w:line="276" w:lineRule="auto"/>
              <w:ind w:right="113" w:firstLine="240"/>
              <w:rPr>
                <w:rFonts w:hint="eastAsia" w:ascii="宋体" w:hAnsi="宋体"/>
                <w:sz w:val="24"/>
                <w:szCs w:val="24"/>
              </w:rPr>
            </w:pPr>
            <w:r>
              <w:rPr>
                <w:rFonts w:hint="eastAsia" w:ascii="宋体" w:hAnsi="宋体"/>
                <w:sz w:val="24"/>
                <w:szCs w:val="24"/>
              </w:rPr>
              <w:t>评标基准价计算方法</w:t>
            </w:r>
          </w:p>
        </w:tc>
        <w:tc>
          <w:tcPr>
            <w:tcW w:w="7279" w:type="dxa"/>
            <w:vAlign w:val="center"/>
          </w:tcPr>
          <w:p>
            <w:pPr>
              <w:snapToGrid w:val="0"/>
              <w:spacing w:line="320" w:lineRule="exact"/>
              <w:jc w:val="left"/>
              <w:rPr>
                <w:rFonts w:hint="eastAsia" w:ascii="宋体" w:hAnsi="宋体"/>
                <w:b/>
                <w:kern w:val="2"/>
                <w:sz w:val="24"/>
                <w:szCs w:val="24"/>
              </w:rPr>
            </w:pPr>
            <w:r>
              <w:rPr>
                <w:rFonts w:hint="eastAsia" w:ascii="宋体" w:hAnsi="宋体"/>
                <w:b/>
                <w:kern w:val="2"/>
                <w:sz w:val="24"/>
                <w:szCs w:val="24"/>
              </w:rPr>
              <w:t>评标基准价的计算：</w:t>
            </w:r>
          </w:p>
          <w:p>
            <w:pPr>
              <w:snapToGrid w:val="0"/>
              <w:spacing w:line="320" w:lineRule="exact"/>
              <w:ind w:right="-105"/>
              <w:rPr>
                <w:rFonts w:hint="eastAsia" w:ascii="宋体" w:hAnsi="宋体"/>
                <w:kern w:val="2"/>
                <w:sz w:val="24"/>
                <w:szCs w:val="24"/>
              </w:rPr>
            </w:pPr>
            <w:r>
              <w:rPr>
                <w:rFonts w:hint="eastAsia" w:ascii="宋体" w:hAnsi="宋体"/>
                <w:kern w:val="2"/>
                <w:sz w:val="24"/>
                <w:szCs w:val="24"/>
              </w:rPr>
              <w:t>在开标现场，招标人将当场计算并宣布评标基准价。</w:t>
            </w:r>
          </w:p>
          <w:p>
            <w:pPr>
              <w:pStyle w:val="11"/>
              <w:numPr>
                <w:ilvl w:val="0"/>
                <w:numId w:val="2"/>
              </w:numPr>
              <w:snapToGrid w:val="0"/>
              <w:spacing w:line="320" w:lineRule="exact"/>
              <w:ind w:right="-105" w:firstLineChars="0"/>
              <w:rPr>
                <w:rFonts w:hint="eastAsia" w:ascii="宋体" w:hAnsi="宋体"/>
                <w:sz w:val="24"/>
                <w:szCs w:val="24"/>
              </w:rPr>
            </w:pPr>
            <w:r>
              <w:rPr>
                <w:rFonts w:hint="eastAsia" w:ascii="宋体" w:hAnsi="宋体"/>
                <w:sz w:val="24"/>
                <w:szCs w:val="24"/>
              </w:rPr>
              <w:t>评标价的确定：</w:t>
            </w:r>
          </w:p>
          <w:p>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评标价=投标函文字报价</w:t>
            </w:r>
          </w:p>
          <w:p>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（2）评标价平均值的计算：</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（3）评标基准价的确定：</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将评标价平均值直接作为评标基准价（评标基准价保留小数点后两位，小数点后第三位四舍五入）。</w:t>
            </w:r>
          </w:p>
          <w:p>
            <w:pPr>
              <w:spacing w:line="276" w:lineRule="auto"/>
              <w:ind w:left="1" w:leftChars="-14" w:right="113" w:hanging="40" w:hangingChars="17"/>
              <w:rPr>
                <w:rFonts w:hint="eastAsia" w:ascii="宋体" w:hAnsi="宋体"/>
                <w:sz w:val="24"/>
                <w:szCs w:val="24"/>
              </w:rPr>
            </w:pPr>
            <w:r>
              <w:rPr>
                <w:rFonts w:hint="eastAsia" w:ascii="宋体" w:hAnsi="宋体"/>
                <w:kern w:val="2"/>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276" w:lineRule="auto"/>
              <w:ind w:right="113" w:firstLine="240"/>
              <w:jc w:val="center"/>
              <w:rPr>
                <w:rFonts w:hint="eastAsia" w:ascii="宋体" w:hAnsi="宋体"/>
                <w:sz w:val="24"/>
                <w:szCs w:val="24"/>
              </w:rPr>
            </w:pPr>
            <w:r>
              <w:rPr>
                <w:rFonts w:ascii="宋体" w:hAnsi="宋体"/>
                <w:sz w:val="24"/>
                <w:szCs w:val="24"/>
              </w:rPr>
              <w:t>2.2.3</w:t>
            </w:r>
          </w:p>
        </w:tc>
        <w:tc>
          <w:tcPr>
            <w:tcW w:w="1277"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pPr>
              <w:spacing w:line="276" w:lineRule="auto"/>
              <w:ind w:right="113" w:firstLine="240"/>
              <w:rPr>
                <w:rFonts w:hint="eastAsia" w:ascii="宋体" w:hAnsi="宋体"/>
                <w:sz w:val="24"/>
                <w:szCs w:val="24"/>
              </w:rPr>
            </w:pPr>
            <w:r>
              <w:rPr>
                <w:rFonts w:hint="eastAsia" w:ascii="宋体" w:hAnsi="宋体"/>
                <w:sz w:val="24"/>
                <w:szCs w:val="24"/>
              </w:rPr>
              <w:t>偏差率</w:t>
            </w:r>
            <w:r>
              <w:rPr>
                <w:rFonts w:ascii="宋体" w:hAnsi="宋体"/>
                <w:sz w:val="24"/>
                <w:szCs w:val="24"/>
              </w:rPr>
              <w:t>=100%×（投标人评标价-评标基准价）/评标基准价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3.6.1</w:t>
            </w:r>
          </w:p>
        </w:tc>
        <w:tc>
          <w:tcPr>
            <w:tcW w:w="1277"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投标文件相关信息的核查</w:t>
            </w:r>
          </w:p>
        </w:tc>
        <w:tc>
          <w:tcPr>
            <w:tcW w:w="7279" w:type="dxa"/>
            <w:vAlign w:val="center"/>
          </w:tcPr>
          <w:p>
            <w:pPr>
              <w:spacing w:line="276" w:lineRule="auto"/>
              <w:ind w:right="113" w:firstLine="240"/>
              <w:rPr>
                <w:rFonts w:hint="eastAsia" w:ascii="宋体" w:hAnsi="宋体"/>
                <w:sz w:val="24"/>
                <w:szCs w:val="24"/>
              </w:rPr>
            </w:pPr>
            <w:r>
              <w:rPr>
                <w:rFonts w:hint="eastAsia" w:ascii="宋体" w:hAnsi="宋体"/>
                <w:sz w:val="24"/>
                <w:szCs w:val="24"/>
              </w:rPr>
              <w:t>本款修改为：</w:t>
            </w:r>
          </w:p>
          <w:p>
            <w:pPr>
              <w:pStyle w:val="11"/>
              <w:numPr>
                <w:ilvl w:val="0"/>
                <w:numId w:val="3"/>
              </w:numPr>
              <w:spacing w:line="276" w:lineRule="auto"/>
              <w:ind w:left="72" w:right="113" w:firstLine="0" w:firstLineChars="0"/>
              <w:rPr>
                <w:rFonts w:hint="eastAsia" w:ascii="宋体" w:hAnsi="宋体"/>
                <w:sz w:val="24"/>
                <w:szCs w:val="24"/>
              </w:rPr>
            </w:pPr>
            <w:r>
              <w:rPr>
                <w:rFonts w:hint="eastAsia" w:ascii="宋体" w:hAnsi="宋体"/>
                <w:sz w:val="24"/>
                <w:szCs w:val="24"/>
              </w:rPr>
              <w:t>在评标过程中，评标委员会应查询投标人在“信用中国”网站被列入失信被执行人名单、异常经营名录、税收违法黑名单、政府采购严重违法失信名单和</w:t>
            </w:r>
            <w:r>
              <w:rPr>
                <w:rFonts w:hint="eastAsia" w:ascii="宋体" w:hAnsi="宋体" w:cs="宋体"/>
                <w:kern w:val="0"/>
                <w:sz w:val="24"/>
              </w:rPr>
              <w:t>安全生产严重失信主体名单</w:t>
            </w:r>
            <w:r>
              <w:rPr>
                <w:rFonts w:hint="eastAsia" w:ascii="宋体" w:hAnsi="宋体"/>
                <w:sz w:val="24"/>
                <w:szCs w:val="24"/>
              </w:rPr>
              <w:t>（均不含分公司）和“国家企业信用信息公示系统”中被列入严重违法失信企业名单的网上公示信息（均不含分公司，事业单位不适用）。若投标文件载明的信息与上述网站发布的信息不符，使得投标人的资格条件不符合招标文件规定的，评标委员会应否决其投标。</w:t>
            </w:r>
          </w:p>
          <w:p>
            <w:pPr>
              <w:spacing w:line="276" w:lineRule="auto"/>
              <w:ind w:right="113"/>
              <w:rPr>
                <w:rFonts w:hint="eastAsia" w:ascii="宋体" w:hAnsi="宋体"/>
                <w:sz w:val="24"/>
                <w:szCs w:val="24"/>
              </w:rPr>
            </w:pPr>
            <w:r>
              <w:rPr>
                <w:rFonts w:hint="eastAsia" w:ascii="宋体" w:hAnsi="宋体"/>
                <w:sz w:val="24"/>
                <w:szCs w:val="24"/>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pPr>
              <w:spacing w:line="276" w:lineRule="auto"/>
              <w:ind w:right="113" w:firstLine="240"/>
              <w:rPr>
                <w:rFonts w:hint="eastAsia" w:ascii="宋体" w:hAnsi="宋体"/>
                <w:sz w:val="24"/>
                <w:szCs w:val="24"/>
              </w:rPr>
            </w:pPr>
            <w:r>
              <w:rPr>
                <w:rFonts w:hint="eastAsia" w:ascii="宋体" w:hAnsi="宋体"/>
                <w:sz w:val="24"/>
                <w:szCs w:val="24"/>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pPr>
        <w:spacing w:line="480" w:lineRule="exact"/>
        <w:ind w:firstLine="11340" w:firstLineChars="4050"/>
        <w:rPr>
          <w:rFonts w:hint="eastAsia" w:ascii="宋体" w:hAnsi="宋体"/>
          <w:szCs w:val="21"/>
        </w:rPr>
      </w:pPr>
    </w:p>
    <w:p>
      <w:pPr>
        <w:spacing w:line="480" w:lineRule="exact"/>
        <w:ind w:firstLine="11340" w:firstLineChars="4050"/>
        <w:rPr>
          <w:rFonts w:hint="eastAsia" w:ascii="宋体" w:hAnsi="宋体"/>
          <w:szCs w:val="21"/>
        </w:rPr>
      </w:pPr>
      <w:r>
        <w:rPr>
          <w:rFonts w:ascii="宋体" w:hAnsi="宋体"/>
          <w:szCs w:val="21"/>
        </w:rPr>
        <w:br w:type="page"/>
      </w:r>
    </w:p>
    <w:p>
      <w:pPr>
        <w:spacing w:line="480" w:lineRule="exact"/>
        <w:ind w:firstLine="240"/>
        <w:jc w:val="right"/>
        <w:rPr>
          <w:rFonts w:hint="eastAsia" w:ascii="宋体" w:hAnsi="宋体"/>
          <w:szCs w:val="21"/>
        </w:rPr>
      </w:pPr>
      <w:r>
        <w:rPr>
          <w:rFonts w:hint="eastAsia" w:ascii="宋体" w:hAnsi="宋体"/>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pPr>
              <w:pStyle w:val="5"/>
              <w:spacing w:line="276" w:lineRule="auto"/>
              <w:ind w:firstLine="240"/>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pPr>
              <w:pStyle w:val="5"/>
              <w:spacing w:line="276" w:lineRule="auto"/>
              <w:ind w:firstLine="240"/>
              <w:jc w:val="center"/>
              <w:rPr>
                <w:rFonts w:hint="eastAsia" w:hAnsi="宋体"/>
                <w:sz w:val="24"/>
                <w:szCs w:val="24"/>
              </w:rPr>
            </w:pPr>
            <w:r>
              <w:rPr>
                <w:rFonts w:hint="eastAsia"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pPr>
              <w:pStyle w:val="5"/>
              <w:spacing w:line="480" w:lineRule="exact"/>
              <w:rPr>
                <w:rFonts w:hint="eastAsia" w:hAnsi="宋体"/>
                <w:sz w:val="24"/>
                <w:szCs w:val="24"/>
              </w:rPr>
            </w:pPr>
            <w:r>
              <w:rPr>
                <w:rFonts w:hint="eastAsia" w:hAnsi="宋体"/>
                <w:sz w:val="24"/>
                <w:szCs w:val="24"/>
              </w:rPr>
              <w:t>条款号</w:t>
            </w:r>
          </w:p>
        </w:tc>
        <w:tc>
          <w:tcPr>
            <w:tcW w:w="741" w:type="dxa"/>
            <w:vAlign w:val="center"/>
          </w:tcPr>
          <w:p>
            <w:pPr>
              <w:pStyle w:val="5"/>
              <w:spacing w:line="480" w:lineRule="exact"/>
              <w:rPr>
                <w:rFonts w:hint="eastAsia" w:hAnsi="宋体"/>
                <w:sz w:val="24"/>
                <w:szCs w:val="24"/>
              </w:rPr>
            </w:pPr>
            <w:r>
              <w:rPr>
                <w:rFonts w:hint="eastAsia" w:hAnsi="宋体"/>
                <w:sz w:val="24"/>
                <w:szCs w:val="24"/>
              </w:rPr>
              <w:t>评分因素</w:t>
            </w:r>
          </w:p>
        </w:tc>
        <w:tc>
          <w:tcPr>
            <w:tcW w:w="831" w:type="dxa"/>
            <w:vAlign w:val="center"/>
          </w:tcPr>
          <w:p>
            <w:pPr>
              <w:pStyle w:val="5"/>
              <w:spacing w:line="276" w:lineRule="auto"/>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pPr>
              <w:pStyle w:val="5"/>
              <w:spacing w:line="276" w:lineRule="auto"/>
              <w:rPr>
                <w:rFonts w:hint="eastAsia" w:hAnsi="宋体"/>
                <w:sz w:val="24"/>
                <w:szCs w:val="24"/>
              </w:rPr>
            </w:pPr>
            <w:r>
              <w:rPr>
                <w:rStyle w:val="12"/>
                <w:color w:val="auto"/>
                <w:sz w:val="24"/>
                <w:szCs w:val="24"/>
              </w:rPr>
              <w:t>各评分因素细分项</w:t>
            </w:r>
          </w:p>
        </w:tc>
        <w:tc>
          <w:tcPr>
            <w:tcW w:w="634" w:type="dxa"/>
            <w:vAlign w:val="center"/>
          </w:tcPr>
          <w:p>
            <w:pPr>
              <w:pStyle w:val="5"/>
              <w:spacing w:line="276" w:lineRule="auto"/>
              <w:rPr>
                <w:rFonts w:hint="eastAsia" w:hAnsi="宋体"/>
                <w:sz w:val="24"/>
                <w:szCs w:val="24"/>
              </w:rPr>
            </w:pPr>
            <w:r>
              <w:rPr>
                <w:rFonts w:hint="eastAsia" w:hAnsi="宋体"/>
                <w:sz w:val="24"/>
                <w:szCs w:val="24"/>
              </w:rPr>
              <w:t>分值</w:t>
            </w:r>
          </w:p>
        </w:tc>
        <w:tc>
          <w:tcPr>
            <w:tcW w:w="5410" w:type="dxa"/>
            <w:vMerge w:val="continue"/>
            <w:vAlign w:val="center"/>
          </w:tcPr>
          <w:p>
            <w:pPr>
              <w:pStyle w:val="5"/>
              <w:spacing w:line="276" w:lineRule="auto"/>
              <w:ind w:firstLine="240"/>
              <w:jc w:val="center"/>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pStyle w:val="5"/>
              <w:spacing w:line="480" w:lineRule="exact"/>
              <w:ind w:firstLine="240"/>
              <w:jc w:val="center"/>
              <w:rPr>
                <w:rFonts w:hint="eastAsia" w:hAnsi="宋体"/>
                <w:sz w:val="24"/>
                <w:szCs w:val="24"/>
              </w:rPr>
            </w:pPr>
            <w:r>
              <w:rPr>
                <w:rFonts w:hAnsi="宋体"/>
                <w:sz w:val="24"/>
                <w:szCs w:val="24"/>
              </w:rPr>
              <w:t>2.2.4（1）</w:t>
            </w:r>
          </w:p>
        </w:tc>
        <w:tc>
          <w:tcPr>
            <w:tcW w:w="741" w:type="dxa"/>
            <w:vMerge w:val="restart"/>
            <w:vAlign w:val="center"/>
          </w:tcPr>
          <w:p>
            <w:pPr>
              <w:pStyle w:val="5"/>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pPr>
              <w:pStyle w:val="5"/>
              <w:spacing w:line="276" w:lineRule="auto"/>
              <w:rPr>
                <w:rFonts w:hint="eastAsia" w:hAnsi="宋体"/>
                <w:sz w:val="24"/>
                <w:szCs w:val="24"/>
              </w:rPr>
            </w:pPr>
            <w:r>
              <w:rPr>
                <w:rFonts w:hint="eastAsia" w:hAnsi="宋体"/>
                <w:sz w:val="24"/>
                <w:szCs w:val="24"/>
              </w:rPr>
              <w:t>45分</w:t>
            </w:r>
          </w:p>
        </w:tc>
        <w:tc>
          <w:tcPr>
            <w:tcW w:w="1209" w:type="dxa"/>
            <w:vMerge w:val="restart"/>
            <w:vAlign w:val="center"/>
          </w:tcPr>
          <w:p>
            <w:pPr>
              <w:pStyle w:val="5"/>
              <w:spacing w:line="276" w:lineRule="auto"/>
              <w:jc w:val="center"/>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5分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项目的特点和关键技术问题针对性较强，技术建议可行，得9.0－12.0分；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项目的特点针对性强，关键技术问题对策明确、合理，技术建议科学、有效、可行，得12.0－</w:t>
            </w:r>
            <w:r>
              <w:rPr>
                <w:rFonts w:hAnsi="宋体"/>
                <w:sz w:val="24"/>
                <w:szCs w:val="24"/>
              </w:rPr>
              <w:t>1</w:t>
            </w:r>
            <w:r>
              <w:rPr>
                <w:rFonts w:hint="eastAsia" w:hAnsi="宋体"/>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pStyle w:val="5"/>
              <w:spacing w:line="276" w:lineRule="auto"/>
              <w:jc w:val="center"/>
              <w:rPr>
                <w:rFonts w:hint="eastAsia" w:hAnsi="宋体"/>
                <w:sz w:val="24"/>
                <w:szCs w:val="24"/>
              </w:rPr>
            </w:pPr>
            <w:r>
              <w:rPr>
                <w:rFonts w:hint="eastAsia" w:hAnsi="宋体"/>
                <w:sz w:val="24"/>
                <w:szCs w:val="24"/>
              </w:rPr>
              <w:t>工作量及计划安排</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工作量及计划安排合理，得6.0－8.0分；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pStyle w:val="5"/>
              <w:spacing w:line="276" w:lineRule="auto"/>
              <w:jc w:val="center"/>
              <w:rPr>
                <w:rFonts w:hint="eastAsia" w:hAnsi="宋体"/>
                <w:sz w:val="24"/>
                <w:szCs w:val="24"/>
              </w:rPr>
            </w:pPr>
            <w:r>
              <w:rPr>
                <w:rFonts w:hint="eastAsia" w:hAnsi="宋体" w:cs="宋体"/>
                <w:sz w:val="24"/>
                <w:szCs w:val="24"/>
              </w:rPr>
              <w:t>服务承诺</w:t>
            </w:r>
          </w:p>
        </w:tc>
        <w:tc>
          <w:tcPr>
            <w:tcW w:w="634" w:type="dxa"/>
            <w:vMerge w:val="restart"/>
            <w:vAlign w:val="center"/>
          </w:tcPr>
          <w:p>
            <w:pPr>
              <w:pStyle w:val="5"/>
              <w:spacing w:line="276" w:lineRule="auto"/>
              <w:rPr>
                <w:rFonts w:hint="eastAsia" w:hAnsi="宋体"/>
                <w:sz w:val="24"/>
                <w:szCs w:val="24"/>
              </w:rPr>
            </w:pPr>
            <w:r>
              <w:rPr>
                <w:rFonts w:hint="eastAsia" w:hAnsi="宋体"/>
                <w:sz w:val="24"/>
                <w:szCs w:val="24"/>
              </w:rPr>
              <w:t>10</w:t>
            </w:r>
            <w:r>
              <w:rPr>
                <w:rFonts w:hAnsi="宋体"/>
                <w:sz w:val="24"/>
                <w:szCs w:val="24"/>
              </w:rPr>
              <w:t>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rPr>
                <w:rFonts w:hint="eastAsia" w:hAnsi="宋体"/>
                <w:sz w:val="24"/>
                <w:szCs w:val="24"/>
              </w:rPr>
            </w:pPr>
          </w:p>
        </w:tc>
        <w:tc>
          <w:tcPr>
            <w:tcW w:w="831" w:type="dxa"/>
            <w:vMerge w:val="continue"/>
          </w:tcPr>
          <w:p>
            <w:pPr>
              <w:pStyle w:val="5"/>
              <w:spacing w:line="276" w:lineRule="auto"/>
              <w:ind w:firstLine="240"/>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rPr>
                <w:rFonts w:hint="eastAsia" w:hAnsi="宋体"/>
                <w:sz w:val="24"/>
                <w:szCs w:val="24"/>
              </w:rPr>
            </w:pPr>
          </w:p>
        </w:tc>
        <w:tc>
          <w:tcPr>
            <w:tcW w:w="831" w:type="dxa"/>
            <w:vMerge w:val="continue"/>
          </w:tcPr>
          <w:p>
            <w:pPr>
              <w:pStyle w:val="5"/>
              <w:spacing w:line="276" w:lineRule="auto"/>
              <w:ind w:firstLine="240"/>
              <w:rPr>
                <w:rFonts w:hint="eastAsia" w:hAnsi="宋体"/>
                <w:sz w:val="24"/>
                <w:szCs w:val="24"/>
              </w:rPr>
            </w:pPr>
          </w:p>
        </w:tc>
        <w:tc>
          <w:tcPr>
            <w:tcW w:w="1209" w:type="dxa"/>
            <w:vMerge w:val="continue"/>
            <w:tcBorders>
              <w:bottom w:val="single" w:color="auto" w:sz="4" w:space="0"/>
            </w:tcBorders>
          </w:tcPr>
          <w:p>
            <w:pPr>
              <w:pStyle w:val="5"/>
              <w:spacing w:line="276" w:lineRule="auto"/>
              <w:ind w:firstLine="240"/>
              <w:jc w:val="center"/>
              <w:rPr>
                <w:rFonts w:hint="eastAsia" w:hAnsi="宋体"/>
                <w:sz w:val="24"/>
                <w:szCs w:val="24"/>
              </w:rPr>
            </w:pPr>
          </w:p>
        </w:tc>
        <w:tc>
          <w:tcPr>
            <w:tcW w:w="634" w:type="dxa"/>
            <w:vMerge w:val="continue"/>
            <w:tcBorders>
              <w:bottom w:val="single" w:color="auto" w:sz="4" w:space="0"/>
            </w:tcBorders>
            <w:vAlign w:val="center"/>
          </w:tcPr>
          <w:p>
            <w:pPr>
              <w:pStyle w:val="5"/>
              <w:spacing w:line="276" w:lineRule="auto"/>
              <w:ind w:firstLine="240"/>
              <w:jc w:val="center"/>
              <w:rPr>
                <w:rFonts w:hint="eastAsia" w:hAnsi="宋体"/>
                <w:sz w:val="24"/>
                <w:szCs w:val="24"/>
              </w:rPr>
            </w:pPr>
          </w:p>
        </w:tc>
        <w:tc>
          <w:tcPr>
            <w:tcW w:w="5410" w:type="dxa"/>
            <w:tcBorders>
              <w:bottom w:val="single" w:color="auto" w:sz="4" w:space="0"/>
            </w:tcBorders>
          </w:tcPr>
          <w:p>
            <w:pPr>
              <w:spacing w:line="276" w:lineRule="auto"/>
              <w:ind w:firstLine="220"/>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8.0－</w:t>
            </w:r>
            <w:r>
              <w:rPr>
                <w:rFonts w:hAnsi="宋体"/>
                <w:sz w:val="24"/>
                <w:szCs w:val="24"/>
              </w:rPr>
              <w:t>1</w:t>
            </w:r>
            <w:r>
              <w:rPr>
                <w:rFonts w:hint="eastAsia" w:hAnsi="宋体"/>
                <w:sz w:val="24"/>
                <w:szCs w:val="24"/>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pPr>
              <w:pStyle w:val="5"/>
              <w:spacing w:line="480" w:lineRule="exact"/>
              <w:ind w:firstLine="240"/>
              <w:jc w:val="center"/>
              <w:rPr>
                <w:rFonts w:hint="eastAsia" w:hAnsi="宋体"/>
                <w:sz w:val="24"/>
                <w:szCs w:val="24"/>
              </w:rPr>
            </w:pPr>
            <w:r>
              <w:rPr>
                <w:rFonts w:hAnsi="宋体"/>
                <w:sz w:val="24"/>
                <w:szCs w:val="24"/>
              </w:rPr>
              <w:t>2.2.4（2）</w:t>
            </w:r>
          </w:p>
        </w:tc>
        <w:tc>
          <w:tcPr>
            <w:tcW w:w="741" w:type="dxa"/>
            <w:tcBorders>
              <w:top w:val="nil"/>
            </w:tcBorders>
            <w:vAlign w:val="center"/>
          </w:tcPr>
          <w:p>
            <w:pPr>
              <w:pStyle w:val="5"/>
              <w:spacing w:line="480" w:lineRule="exact"/>
              <w:rPr>
                <w:rFonts w:hint="eastAsia" w:hAnsi="宋体"/>
                <w:sz w:val="24"/>
                <w:szCs w:val="24"/>
              </w:rPr>
            </w:pPr>
            <w:r>
              <w:rPr>
                <w:rFonts w:hint="eastAsia" w:hAnsi="宋体"/>
                <w:sz w:val="24"/>
                <w:szCs w:val="24"/>
              </w:rPr>
              <w:t>主要人员</w:t>
            </w:r>
          </w:p>
        </w:tc>
        <w:tc>
          <w:tcPr>
            <w:tcW w:w="831" w:type="dxa"/>
            <w:tcBorders>
              <w:top w:val="nil"/>
            </w:tcBorders>
            <w:vAlign w:val="center"/>
          </w:tcPr>
          <w:p>
            <w:pPr>
              <w:pStyle w:val="5"/>
              <w:spacing w:line="276" w:lineRule="auto"/>
              <w:rPr>
                <w:rFonts w:hint="eastAsia" w:hAnsi="宋体"/>
                <w:sz w:val="24"/>
                <w:szCs w:val="24"/>
              </w:rPr>
            </w:pPr>
            <w:r>
              <w:rPr>
                <w:rFonts w:hint="eastAsia" w:hAnsi="宋体"/>
                <w:sz w:val="24"/>
                <w:szCs w:val="24"/>
              </w:rPr>
              <w:t>20分</w:t>
            </w:r>
          </w:p>
        </w:tc>
        <w:tc>
          <w:tcPr>
            <w:tcW w:w="1209" w:type="dxa"/>
            <w:vAlign w:val="center"/>
          </w:tcPr>
          <w:p>
            <w:pPr>
              <w:pStyle w:val="5"/>
              <w:spacing w:line="276" w:lineRule="auto"/>
              <w:rPr>
                <w:rFonts w:hint="eastAsia" w:hAnsi="宋体"/>
                <w:sz w:val="24"/>
                <w:szCs w:val="24"/>
              </w:rPr>
            </w:pPr>
            <w:r>
              <w:rPr>
                <w:sz w:val="24"/>
                <w:szCs w:val="24"/>
              </w:rPr>
              <w:t>项目负责人任职资格</w:t>
            </w:r>
          </w:p>
        </w:tc>
        <w:tc>
          <w:tcPr>
            <w:tcW w:w="634" w:type="dxa"/>
            <w:vAlign w:val="center"/>
          </w:tcPr>
          <w:p>
            <w:pPr>
              <w:pStyle w:val="5"/>
              <w:spacing w:line="276" w:lineRule="auto"/>
              <w:rPr>
                <w:rFonts w:hint="eastAsia" w:hAnsi="宋体"/>
                <w:sz w:val="24"/>
                <w:szCs w:val="24"/>
              </w:rPr>
            </w:pPr>
            <w:r>
              <w:rPr>
                <w:rFonts w:hint="eastAsia" w:hAnsi="宋体"/>
                <w:sz w:val="24"/>
                <w:szCs w:val="24"/>
              </w:rPr>
              <w:t>20分</w:t>
            </w:r>
          </w:p>
        </w:tc>
        <w:tc>
          <w:tcPr>
            <w:tcW w:w="5410" w:type="dxa"/>
            <w:tcBorders>
              <w:bottom w:val="single" w:color="auto" w:sz="4" w:space="0"/>
            </w:tcBorders>
            <w:vAlign w:val="center"/>
          </w:tcPr>
          <w:p>
            <w:pPr>
              <w:spacing w:line="276" w:lineRule="auto"/>
              <w:ind w:firstLine="240"/>
              <w:rPr>
                <w:rFonts w:hint="eastAsia" w:ascii="宋体" w:hAnsi="宋体"/>
                <w:sz w:val="24"/>
                <w:szCs w:val="24"/>
              </w:rPr>
            </w:pPr>
            <w:r>
              <w:rPr>
                <w:rFonts w:hint="eastAsia" w:ascii="宋体" w:hAnsi="宋体"/>
                <w:sz w:val="24"/>
                <w:szCs w:val="24"/>
              </w:rPr>
              <w:t>投标人满足附录4 资格审查条件（项目负责人最低要求）得12分，每增加1项满足附录4 资格审查条件（项目负责人最低要求）的业绩</w:t>
            </w:r>
            <w:bookmarkStart w:id="16" w:name="_Hlk175584483"/>
            <w:r>
              <w:rPr>
                <w:rFonts w:hint="eastAsia" w:ascii="宋体" w:hAnsi="宋体"/>
                <w:sz w:val="24"/>
                <w:szCs w:val="24"/>
              </w:rPr>
              <w:t>加4分，最多加8分。</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pPr>
              <w:pStyle w:val="5"/>
              <w:spacing w:line="480" w:lineRule="exact"/>
              <w:ind w:firstLine="240"/>
              <w:jc w:val="center"/>
              <w:rPr>
                <w:rFonts w:hint="eastAsia" w:hAnsi="宋体"/>
                <w:sz w:val="24"/>
                <w:szCs w:val="24"/>
              </w:rPr>
            </w:pPr>
            <w:r>
              <w:rPr>
                <w:rFonts w:hAnsi="宋体"/>
                <w:sz w:val="24"/>
                <w:szCs w:val="24"/>
              </w:rPr>
              <w:t>2.2.4（3）</w:t>
            </w:r>
          </w:p>
        </w:tc>
        <w:tc>
          <w:tcPr>
            <w:tcW w:w="741" w:type="dxa"/>
            <w:tcBorders>
              <w:top w:val="nil"/>
            </w:tcBorders>
            <w:vAlign w:val="center"/>
          </w:tcPr>
          <w:p>
            <w:pPr>
              <w:pStyle w:val="5"/>
              <w:spacing w:line="480" w:lineRule="exact"/>
              <w:ind w:firstLine="240"/>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pPr>
              <w:pStyle w:val="5"/>
              <w:spacing w:line="276" w:lineRule="auto"/>
              <w:ind w:firstLine="240"/>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pPr>
              <w:spacing w:line="276" w:lineRule="auto"/>
              <w:ind w:firstLine="240"/>
              <w:rPr>
                <w:rFonts w:hint="eastAsia" w:ascii="宋体" w:hAnsi="宋体"/>
                <w:kern w:val="2"/>
                <w:sz w:val="24"/>
                <w:szCs w:val="24"/>
              </w:rPr>
            </w:pPr>
            <w:r>
              <w:rPr>
                <w:rFonts w:hint="eastAsia" w:ascii="宋体" w:hAnsi="宋体"/>
                <w:kern w:val="2"/>
                <w:sz w:val="24"/>
                <w:szCs w:val="24"/>
              </w:rPr>
              <w:t>评标价得分计算公式示例：</w:t>
            </w:r>
          </w:p>
          <w:p>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pPr>
              <w:spacing w:line="276" w:lineRule="auto"/>
              <w:ind w:firstLine="240"/>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pPr>
              <w:pStyle w:val="5"/>
              <w:spacing w:line="480" w:lineRule="exact"/>
              <w:ind w:firstLine="240"/>
              <w:jc w:val="center"/>
              <w:rPr>
                <w:rFonts w:hint="eastAsia" w:hAnsi="宋体"/>
                <w:sz w:val="24"/>
                <w:szCs w:val="24"/>
              </w:rPr>
            </w:pPr>
            <w:r>
              <w:rPr>
                <w:rFonts w:hAnsi="宋体"/>
                <w:sz w:val="24"/>
                <w:szCs w:val="24"/>
              </w:rPr>
              <w:t>2.2.4（4）</w:t>
            </w:r>
          </w:p>
        </w:tc>
        <w:tc>
          <w:tcPr>
            <w:tcW w:w="741" w:type="dxa"/>
            <w:vAlign w:val="center"/>
          </w:tcPr>
          <w:p>
            <w:pPr>
              <w:pStyle w:val="5"/>
              <w:spacing w:line="480" w:lineRule="exact"/>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pPr>
              <w:pStyle w:val="5"/>
              <w:spacing w:line="276" w:lineRule="auto"/>
              <w:rPr>
                <w:rFonts w:hint="eastAsia" w:hAnsi="宋体"/>
                <w:sz w:val="24"/>
                <w:szCs w:val="24"/>
              </w:rPr>
            </w:pPr>
            <w:r>
              <w:rPr>
                <w:rFonts w:hAnsi="宋体"/>
                <w:sz w:val="24"/>
                <w:szCs w:val="24"/>
              </w:rPr>
              <w:t>25分</w:t>
            </w:r>
          </w:p>
        </w:tc>
        <w:tc>
          <w:tcPr>
            <w:tcW w:w="1209" w:type="dxa"/>
            <w:tcBorders>
              <w:top w:val="single" w:color="auto" w:sz="4" w:space="0"/>
            </w:tcBorders>
            <w:vAlign w:val="center"/>
          </w:tcPr>
          <w:p>
            <w:pPr>
              <w:pStyle w:val="5"/>
              <w:spacing w:line="276" w:lineRule="auto"/>
              <w:ind w:firstLine="240"/>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pPr>
              <w:pStyle w:val="5"/>
              <w:spacing w:line="276" w:lineRule="auto"/>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pPr>
              <w:spacing w:line="276" w:lineRule="auto"/>
              <w:ind w:firstLine="240"/>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投标人满足附录2资格审查条件（业绩最低要求）得15分，每增加1项满足附录2资格审查条件（业绩最低要求）的业绩得5分，最多加10分。</w:t>
            </w:r>
          </w:p>
          <w:p>
            <w:pPr>
              <w:spacing w:line="276" w:lineRule="auto"/>
              <w:ind w:firstLine="240"/>
              <w:jc w:val="left"/>
              <w:rPr>
                <w:rFonts w:hint="eastAsia" w:ascii="宋体" w:hAnsi="宋体"/>
                <w:sz w:val="24"/>
                <w:szCs w:val="24"/>
              </w:rPr>
            </w:pPr>
            <w:r>
              <w:rPr>
                <w:sz w:val="24"/>
              </w:rPr>
              <w:t>注：</w:t>
            </w:r>
            <w:r>
              <w:rPr>
                <w:rFonts w:hint="eastAsia" w:ascii="宋体" w:hAnsi="宋体"/>
                <w:sz w:val="24"/>
              </w:rPr>
              <w:t>投标人有1项高速公路勘测定界工作业绩和1项高速公路土地组卷工作业绩视为满足附录2资格审查条件（业绩最低要求）</w:t>
            </w:r>
          </w:p>
        </w:tc>
      </w:tr>
    </w:tbl>
    <w:p>
      <w:pPr>
        <w:pStyle w:val="5"/>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pPr>
        <w:pStyle w:val="5"/>
        <w:spacing w:line="480" w:lineRule="exact"/>
        <w:ind w:firstLine="428" w:firstLineChars="204"/>
        <w:rPr>
          <w:rFonts w:hint="eastAsia" w:hAnsi="宋体"/>
          <w:szCs w:val="21"/>
        </w:rPr>
      </w:pPr>
      <w:r>
        <w:rPr>
          <w:rFonts w:hint="eastAsia" w:hAnsi="宋体"/>
          <w:szCs w:val="21"/>
        </w:rPr>
        <w:t>2、各评分因素得分一般不应低于其权重分值的60%，评标委员会成员对某一项评分因素的评分低于权重分值 60%的，应在评标报告中作出说明。评审因素缺项则该项得0分。</w:t>
      </w:r>
    </w:p>
    <w:bookmarkEnd w:id="15"/>
    <w:p>
      <w:bookmarkStart w:id="17" w:name="_GoBack"/>
      <w:bookmarkEnd w:id="1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F6BB6"/>
    <w:multiLevelType w:val="multilevel"/>
    <w:tmpl w:val="062F6BB6"/>
    <w:lvl w:ilvl="0" w:tentative="0">
      <w:start w:val="1"/>
      <w:numFmt w:val="decimal"/>
      <w:lvlText w:val="（%1）"/>
      <w:lvlJc w:val="left"/>
      <w:pPr>
        <w:ind w:left="1073" w:hanging="720"/>
      </w:pPr>
      <w:rPr>
        <w:rFonts w:hint="default" w:cs="宋体"/>
      </w:rPr>
    </w:lvl>
    <w:lvl w:ilvl="1" w:tentative="0">
      <w:start w:val="1"/>
      <w:numFmt w:val="lowerLetter"/>
      <w:lvlText w:val="%2)"/>
      <w:lvlJc w:val="left"/>
      <w:pPr>
        <w:ind w:left="1193" w:hanging="420"/>
      </w:pPr>
    </w:lvl>
    <w:lvl w:ilvl="2" w:tentative="0">
      <w:start w:val="1"/>
      <w:numFmt w:val="lowerRoman"/>
      <w:lvlText w:val="%3."/>
      <w:lvlJc w:val="right"/>
      <w:pPr>
        <w:ind w:left="1613" w:hanging="420"/>
      </w:pPr>
    </w:lvl>
    <w:lvl w:ilvl="3" w:tentative="0">
      <w:start w:val="1"/>
      <w:numFmt w:val="decimal"/>
      <w:lvlText w:val="%4."/>
      <w:lvlJc w:val="left"/>
      <w:pPr>
        <w:ind w:left="2033" w:hanging="420"/>
      </w:pPr>
    </w:lvl>
    <w:lvl w:ilvl="4" w:tentative="0">
      <w:start w:val="1"/>
      <w:numFmt w:val="lowerLetter"/>
      <w:lvlText w:val="%5)"/>
      <w:lvlJc w:val="left"/>
      <w:pPr>
        <w:ind w:left="2453" w:hanging="420"/>
      </w:pPr>
    </w:lvl>
    <w:lvl w:ilvl="5" w:tentative="0">
      <w:start w:val="1"/>
      <w:numFmt w:val="lowerRoman"/>
      <w:lvlText w:val="%6."/>
      <w:lvlJc w:val="right"/>
      <w:pPr>
        <w:ind w:left="2873" w:hanging="420"/>
      </w:pPr>
    </w:lvl>
    <w:lvl w:ilvl="6" w:tentative="0">
      <w:start w:val="1"/>
      <w:numFmt w:val="decimal"/>
      <w:lvlText w:val="%7."/>
      <w:lvlJc w:val="left"/>
      <w:pPr>
        <w:ind w:left="3293" w:hanging="420"/>
      </w:pPr>
    </w:lvl>
    <w:lvl w:ilvl="7" w:tentative="0">
      <w:start w:val="1"/>
      <w:numFmt w:val="lowerLetter"/>
      <w:lvlText w:val="%8)"/>
      <w:lvlJc w:val="left"/>
      <w:pPr>
        <w:ind w:left="3713" w:hanging="420"/>
      </w:pPr>
    </w:lvl>
    <w:lvl w:ilvl="8" w:tentative="0">
      <w:start w:val="1"/>
      <w:numFmt w:val="lowerRoman"/>
      <w:lvlText w:val="%9."/>
      <w:lvlJc w:val="right"/>
      <w:pPr>
        <w:ind w:left="4133" w:hanging="420"/>
      </w:pPr>
    </w:lvl>
  </w:abstractNum>
  <w:abstractNum w:abstractNumId="1">
    <w:nsid w:val="7A0E3D2F"/>
    <w:multiLevelType w:val="multilevel"/>
    <w:tmpl w:val="7A0E3D2F"/>
    <w:lvl w:ilvl="0" w:tentative="0">
      <w:start w:val="1"/>
      <w:numFmt w:val="decimal"/>
      <w:lvlText w:val="（%1）"/>
      <w:lvlJc w:val="left"/>
      <w:pPr>
        <w:ind w:left="1089" w:hanging="849"/>
      </w:pPr>
      <w:rPr>
        <w:rFonts w:hint="default" w:cs="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2">
    <w:nsid w:val="7FA6464E"/>
    <w:multiLevelType w:val="multilevel"/>
    <w:tmpl w:val="7FA6464E"/>
    <w:lvl w:ilvl="0" w:tentative="0">
      <w:start w:val="1"/>
      <w:numFmt w:val="decimal"/>
      <w:lvlText w:val="（%1）"/>
      <w:lvlJc w:val="left"/>
      <w:pPr>
        <w:ind w:left="720" w:hanging="7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201E4"/>
    <w:rsid w:val="2B0A2B1A"/>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54"/>
    <w:basedOn w:val="2"/>
    <w:autoRedefine/>
    <w:qFormat/>
    <w:uiPriority w:val="0"/>
    <w:pPr>
      <w:spacing w:before="0" w:after="0" w:line="360" w:lineRule="auto"/>
      <w:jc w:val="center"/>
    </w:pPr>
  </w:style>
  <w:style w:type="paragraph" w:customStyle="1" w:styleId="10">
    <w:name w:val="样式55"/>
    <w:basedOn w:val="3"/>
    <w:autoRedefine/>
    <w:qFormat/>
    <w:uiPriority w:val="0"/>
    <w:pPr>
      <w:spacing w:before="0" w:after="0" w:line="360" w:lineRule="auto"/>
    </w:pPr>
    <w:rPr>
      <w:sz w:val="28"/>
    </w:rPr>
  </w:style>
  <w:style w:type="paragraph" w:styleId="11">
    <w:name w:val="List Paragraph"/>
    <w:basedOn w:val="1"/>
    <w:autoRedefine/>
    <w:qFormat/>
    <w:uiPriority w:val="99"/>
    <w:pPr>
      <w:ind w:firstLine="420" w:firstLineChars="200"/>
    </w:pPr>
    <w:rPr>
      <w:rFonts w:ascii="Calibri" w:hAnsi="Calibri"/>
      <w:kern w:val="2"/>
      <w:sz w:val="21"/>
      <w:szCs w:val="22"/>
    </w:rPr>
  </w:style>
  <w:style w:type="character" w:customStyle="1" w:styleId="12">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2024-10-26T00:43:59Z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