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2"/>
        <w:rPr>
          <w:rFonts w:hint="eastAsia" w:ascii="宋体" w:hAnsi="宋体" w:cs="宋体"/>
          <w:bCs/>
          <w:color w:val="auto"/>
          <w:sz w:val="24"/>
          <w:highlight w:val="none"/>
        </w:rPr>
      </w:pPr>
      <w:r>
        <w:rPr>
          <w:rStyle w:val="23"/>
          <w:rFonts w:hint="eastAsia" w:ascii="宋体" w:hAnsi="宋体" w:eastAsia="宋体" w:cs="宋体"/>
          <w:b/>
          <w:bCs w:val="0"/>
          <w:color w:val="auto"/>
          <w:highlight w:val="none"/>
        </w:rPr>
        <w:t>附件</w:t>
      </w:r>
      <w:r>
        <w:rPr>
          <w:rStyle w:val="23"/>
          <w:rFonts w:hint="eastAsia" w:ascii="宋体" w:hAnsi="宋体" w:cs="宋体"/>
          <w:b/>
          <w:bCs w:val="0"/>
          <w:color w:val="auto"/>
          <w:highlight w:val="none"/>
          <w:lang w:val="en-US" w:eastAsia="zh-CN"/>
        </w:rPr>
        <w:t>1</w:t>
      </w:r>
      <w:r>
        <w:rPr>
          <w:rStyle w:val="23"/>
          <w:rFonts w:hint="eastAsia" w:ascii="宋体" w:hAnsi="宋体" w:eastAsia="宋体" w:cs="宋体"/>
          <w:b/>
          <w:bCs w:val="0"/>
          <w:color w:val="auto"/>
          <w:highlight w:val="none"/>
        </w:rPr>
        <w:t>：</w:t>
      </w:r>
      <w:r>
        <w:rPr>
          <w:rFonts w:hint="eastAsia" w:ascii="宋体" w:hAnsi="宋体" w:cs="宋体"/>
          <w:b/>
          <w:bCs w:val="0"/>
          <w:color w:val="auto"/>
          <w:sz w:val="24"/>
          <w:highlight w:val="none"/>
        </w:rPr>
        <w:t>资格审查条件</w:t>
      </w:r>
    </w:p>
    <w:p>
      <w:pPr>
        <w:jc w:val="center"/>
        <w:rPr>
          <w:rStyle w:val="23"/>
          <w:rFonts w:hint="eastAsia" w:ascii="宋体" w:hAnsi="宋体" w:eastAsia="宋体" w:cs="宋体"/>
          <w:bCs/>
          <w:color w:val="auto"/>
          <w:highlight w:val="none"/>
        </w:rPr>
      </w:pPr>
    </w:p>
    <w:p>
      <w:pPr>
        <w:jc w:val="center"/>
        <w:rPr>
          <w:rStyle w:val="23"/>
          <w:rFonts w:hint="eastAsia" w:ascii="宋体" w:hAnsi="宋体" w:eastAsia="宋体" w:cs="宋体"/>
          <w:bCs/>
          <w:color w:val="auto"/>
          <w:highlight w:val="none"/>
        </w:rPr>
      </w:pPr>
      <w:r>
        <w:rPr>
          <w:rStyle w:val="23"/>
          <w:rFonts w:hint="eastAsia" w:ascii="宋体" w:hAnsi="宋体" w:eastAsia="宋体" w:cs="宋体"/>
          <w:bCs/>
          <w:color w:val="auto"/>
          <w:highlight w:val="none"/>
        </w:rPr>
        <w:t>附录1  资格审查条件（资质最低条件）</w:t>
      </w:r>
    </w:p>
    <w:tbl>
      <w:tblPr>
        <w:tblStyle w:val="17"/>
        <w:tblW w:w="9199"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69"/>
        <w:gridCol w:w="803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169"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标段</w:t>
            </w:r>
          </w:p>
        </w:tc>
        <w:tc>
          <w:tcPr>
            <w:tcW w:w="803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16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8030" w:type="dxa"/>
            <w:tcBorders>
              <w:top w:val="single" w:color="auto" w:sz="2" w:space="0"/>
              <w:left w:val="single" w:color="auto" w:sz="2" w:space="0"/>
              <w:bottom w:val="single" w:color="auto" w:sz="2" w:space="0"/>
              <w:right w:val="single" w:color="auto" w:sz="2" w:space="0"/>
            </w:tcBorders>
            <w:noWrap w:val="0"/>
            <w:vAlign w:val="center"/>
          </w:tcPr>
          <w:p>
            <w:pPr>
              <w:spacing w:line="340" w:lineRule="exact"/>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券商类投标人在中华人民共和国境内注册的独立法人或其他组织，投标人应为全国银行间市场交易商协会A类承销商（在全国范围内可开展债务融资工具承销工作）。</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169"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8030" w:type="dxa"/>
            <w:tcBorders>
              <w:top w:val="single" w:color="auto" w:sz="2" w:space="0"/>
              <w:left w:val="single" w:color="auto" w:sz="2" w:space="0"/>
              <w:bottom w:val="single" w:color="auto" w:sz="2" w:space="0"/>
              <w:right w:val="single" w:color="auto" w:sz="2" w:space="0"/>
            </w:tcBorders>
            <w:noWrap w:val="0"/>
            <w:vAlign w:val="center"/>
          </w:tcPr>
          <w:p>
            <w:pPr>
              <w:spacing w:line="340" w:lineRule="exact"/>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eastAsia="zh-CN"/>
              </w:rPr>
              <w:t>银行类投标人在中华人民共和国境内注册的独立法人或其他组织，投标人应为市级及以上银行分行机构或总行，银行总行为全国银行间市场交易商协会A类承销商。</w:t>
            </w:r>
          </w:p>
        </w:tc>
      </w:tr>
    </w:tbl>
    <w:p>
      <w:pPr>
        <w:jc w:val="center"/>
        <w:rPr>
          <w:rStyle w:val="23"/>
          <w:rFonts w:hint="eastAsia" w:ascii="宋体" w:hAnsi="宋体" w:eastAsia="宋体" w:cs="宋体"/>
          <w:bCs/>
          <w:color w:val="auto"/>
          <w:highlight w:val="none"/>
        </w:rPr>
      </w:pPr>
    </w:p>
    <w:p>
      <w:pPr>
        <w:jc w:val="center"/>
        <w:rPr>
          <w:rFonts w:hint="eastAsia" w:ascii="宋体" w:hAnsi="宋体" w:cs="宋体"/>
          <w:bCs/>
          <w:color w:val="auto"/>
          <w:sz w:val="18"/>
          <w:szCs w:val="18"/>
          <w:highlight w:val="none"/>
        </w:rPr>
      </w:pPr>
      <w:r>
        <w:rPr>
          <w:rStyle w:val="23"/>
          <w:rFonts w:hint="eastAsia" w:ascii="宋体" w:hAnsi="宋体" w:eastAsia="宋体" w:cs="宋体"/>
          <w:bCs/>
          <w:color w:val="auto"/>
          <w:highlight w:val="none"/>
        </w:rPr>
        <w:t>附录</w:t>
      </w:r>
      <w:r>
        <w:rPr>
          <w:rStyle w:val="23"/>
          <w:rFonts w:hint="eastAsia" w:ascii="宋体" w:hAnsi="宋体" w:cs="宋体"/>
          <w:bCs/>
          <w:color w:val="auto"/>
          <w:highlight w:val="none"/>
          <w:lang w:val="en-US" w:eastAsia="zh-CN"/>
        </w:rPr>
        <w:t>2</w:t>
      </w:r>
      <w:r>
        <w:rPr>
          <w:rStyle w:val="23"/>
          <w:rFonts w:hint="eastAsia" w:ascii="宋体" w:hAnsi="宋体" w:eastAsia="宋体" w:cs="宋体"/>
          <w:bCs/>
          <w:color w:val="auto"/>
          <w:highlight w:val="none"/>
        </w:rPr>
        <w:t xml:space="preserve">  资格审查条件（信誉最低要求）</w:t>
      </w:r>
    </w:p>
    <w:tbl>
      <w:tblPr>
        <w:tblStyle w:val="1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99" w:type="dxa"/>
            <w:noWrap w:val="0"/>
            <w:vAlign w:val="center"/>
          </w:tcPr>
          <w:p>
            <w:pPr>
              <w:jc w:val="center"/>
              <w:rPr>
                <w:rFonts w:hint="eastAsia" w:ascii="宋体" w:hAnsi="宋体" w:cs="宋体"/>
                <w:bCs/>
                <w:color w:val="auto"/>
                <w:highlight w:val="none"/>
              </w:rPr>
            </w:pPr>
            <w:r>
              <w:rPr>
                <w:rFonts w:hint="eastAsia" w:ascii="宋体" w:hAnsi="宋体" w:cs="宋体"/>
                <w:bCs/>
                <w:color w:val="auto"/>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099" w:type="dxa"/>
            <w:noWrap w:val="0"/>
            <w:vAlign w:val="center"/>
          </w:tcPr>
          <w:p>
            <w:pPr>
              <w:spacing w:line="340" w:lineRule="exact"/>
              <w:ind w:firstLine="420" w:firstLineChars="200"/>
              <w:rPr>
                <w:rFonts w:hint="eastAsia" w:ascii="宋体" w:hAnsi="宋体" w:cs="宋体"/>
                <w:color w:val="auto"/>
                <w:sz w:val="24"/>
                <w:highlight w:val="none"/>
              </w:rPr>
            </w:pPr>
            <w:r>
              <w:rPr>
                <w:rFonts w:hint="eastAsia" w:ascii="宋体" w:hAnsi="宋体" w:cs="宋体"/>
                <w:bCs/>
                <w:color w:val="auto"/>
                <w:highlight w:val="none"/>
              </w:rPr>
              <w:t>1.在国家企业信用信息公示系统（http://www.gsxt.gov.cn/)中、“信用中国”网站中未被列入严重违法失信企业名单、失信被执行人名单、经营异常名录、重大税收违法案件当事人名单、</w:t>
            </w:r>
            <w:r>
              <w:rPr>
                <w:rFonts w:hint="eastAsia" w:ascii="宋体" w:hAnsi="宋体" w:cs="宋体"/>
                <w:bCs/>
                <w:color w:val="auto"/>
                <w:highlight w:val="none"/>
                <w:lang w:eastAsia="zh-CN"/>
              </w:rPr>
              <w:t>政府采购严重违法失信行为记录名单</w:t>
            </w:r>
            <w:r>
              <w:rPr>
                <w:rFonts w:hint="eastAsia" w:ascii="宋体" w:hAnsi="宋体" w:cs="宋体"/>
                <w:bCs/>
                <w:color w:val="auto"/>
                <w:highlight w:val="none"/>
              </w:rPr>
              <w:t>。</w:t>
            </w:r>
          </w:p>
          <w:p>
            <w:pPr>
              <w:spacing w:line="3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2.投标人未被各级监管部门及行业自律组织处以暂停业务资格或停业整顿6个月及以上处罚的（提供承诺，格式自拟）。</w:t>
            </w:r>
          </w:p>
        </w:tc>
      </w:tr>
    </w:tbl>
    <w:p>
      <w:pPr>
        <w:rPr>
          <w:rStyle w:val="23"/>
          <w:rFonts w:hint="eastAsia" w:ascii="宋体" w:hAnsi="宋体" w:eastAsia="宋体" w:cs="宋体"/>
          <w:bCs/>
          <w:color w:val="auto"/>
          <w:sz w:val="18"/>
          <w:szCs w:val="18"/>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highlight w:val="none"/>
          <w:lang w:val="en-US" w:eastAsia="zh-CN"/>
        </w:rPr>
      </w:pPr>
      <w:r>
        <w:rPr>
          <w:rFonts w:hint="eastAsia" w:ascii="宋体" w:hAnsi="宋体" w:cs="宋体"/>
          <w:color w:val="auto"/>
          <w:sz w:val="24"/>
          <w:highlight w:val="none"/>
        </w:rPr>
        <w:br w:type="page"/>
      </w:r>
      <w:r>
        <w:rPr>
          <w:rStyle w:val="23"/>
          <w:rFonts w:hint="eastAsia" w:ascii="宋体" w:hAnsi="宋体" w:eastAsia="宋体" w:cs="宋体"/>
          <w:b/>
          <w:bCs w:val="0"/>
          <w:color w:val="auto"/>
          <w:highlight w:val="none"/>
        </w:rPr>
        <w:t>附件</w:t>
      </w:r>
      <w:r>
        <w:rPr>
          <w:rStyle w:val="23"/>
          <w:rFonts w:hint="eastAsia" w:ascii="宋体" w:hAnsi="宋体" w:cs="宋体"/>
          <w:b/>
          <w:bCs w:val="0"/>
          <w:color w:val="auto"/>
          <w:highlight w:val="none"/>
          <w:lang w:val="en-US" w:eastAsia="zh-CN"/>
        </w:rPr>
        <w:t>2</w:t>
      </w:r>
      <w:r>
        <w:rPr>
          <w:rStyle w:val="23"/>
          <w:rFonts w:hint="eastAsia" w:ascii="宋体" w:hAnsi="宋体" w:eastAsia="宋体" w:cs="宋体"/>
          <w:b/>
          <w:bCs w:val="0"/>
          <w:color w:val="auto"/>
          <w:highlight w:val="none"/>
        </w:rPr>
        <w:t>：</w:t>
      </w:r>
      <w:r>
        <w:rPr>
          <w:rFonts w:hint="eastAsia" w:ascii="宋体" w:hAnsi="宋体" w:eastAsia="宋体" w:cs="宋体"/>
          <w:b/>
          <w:bCs w:val="0"/>
          <w:color w:val="auto"/>
          <w:sz w:val="24"/>
          <w:highlight w:val="none"/>
          <w:lang w:val="en-US" w:eastAsia="zh-CN"/>
        </w:rPr>
        <w:t>评标办法</w:t>
      </w:r>
    </w:p>
    <w:p>
      <w:pPr>
        <w:pStyle w:val="5"/>
        <w:snapToGrid w:val="0"/>
        <w:spacing w:before="120" w:after="120" w:line="240" w:lineRule="auto"/>
        <w:rPr>
          <w:color w:val="auto"/>
          <w:sz w:val="24"/>
          <w:szCs w:val="24"/>
          <w:highlight w:val="none"/>
        </w:rPr>
      </w:pPr>
      <w:bookmarkStart w:id="0" w:name="_Toc146320979"/>
      <w:bookmarkStart w:id="1" w:name="_Toc65857110"/>
      <w:bookmarkStart w:id="2" w:name="_Toc66337244"/>
      <w:bookmarkStart w:id="3" w:name="_Toc138793770"/>
      <w:bookmarkStart w:id="4" w:name="_Toc66984522"/>
      <w:bookmarkStart w:id="5" w:name="_Toc141783238"/>
      <w:bookmarkStart w:id="6" w:name="_Toc65820978"/>
      <w:bookmarkStart w:id="7" w:name="_Toc146029312"/>
      <w:r>
        <w:rPr>
          <w:rFonts w:hint="eastAsia"/>
          <w:color w:val="auto"/>
          <w:sz w:val="24"/>
          <w:szCs w:val="24"/>
          <w:highlight w:val="none"/>
        </w:rPr>
        <w:t>评标办法前附表</w:t>
      </w:r>
      <w:bookmarkEnd w:id="0"/>
      <w:bookmarkEnd w:id="1"/>
      <w:bookmarkEnd w:id="2"/>
      <w:bookmarkEnd w:id="3"/>
      <w:bookmarkEnd w:id="4"/>
      <w:bookmarkEnd w:id="5"/>
      <w:bookmarkEnd w:id="6"/>
      <w:bookmarkEnd w:id="7"/>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63"/>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8"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463"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183"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因素与</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8"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63" w:type="dxa"/>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评标办法</w:t>
            </w:r>
          </w:p>
        </w:tc>
        <w:tc>
          <w:tcPr>
            <w:tcW w:w="7183" w:type="dxa"/>
            <w:noWrap w:val="0"/>
            <w:vAlign w:val="center"/>
          </w:tcPr>
          <w:p>
            <w:pPr>
              <w:ind w:firstLine="315" w:firstLineChars="150"/>
              <w:jc w:val="left"/>
              <w:rPr>
                <w:rFonts w:hint="default"/>
                <w:highlight w:val="none"/>
                <w:lang w:val="en-US" w:eastAsia="zh-CN"/>
              </w:rPr>
            </w:pPr>
            <w:r>
              <w:rPr>
                <w:rFonts w:hint="eastAsia"/>
                <w:highlight w:val="none"/>
              </w:rPr>
              <w:t>本次</w:t>
            </w:r>
            <w:r>
              <w:rPr>
                <w:rFonts w:hint="eastAsia"/>
                <w:highlight w:val="none"/>
                <w:lang w:eastAsia="zh-CN"/>
              </w:rPr>
              <w:t>评标</w:t>
            </w:r>
            <w:r>
              <w:rPr>
                <w:rFonts w:hint="eastAsia"/>
                <w:highlight w:val="none"/>
              </w:rPr>
              <w:t>采用综合评估法。</w:t>
            </w:r>
            <w:r>
              <w:rPr>
                <w:rFonts w:hint="eastAsia"/>
                <w:highlight w:val="none"/>
                <w:lang w:eastAsia="zh-CN"/>
              </w:rPr>
              <w:t>评标</w:t>
            </w:r>
            <w:r>
              <w:rPr>
                <w:rFonts w:hint="eastAsia"/>
                <w:highlight w:val="none"/>
              </w:rPr>
              <w:t>委员会对满足招标文件实质性要求的投标文件，按照本章第2.2款规定的评分标准进行打分，并按得分由高到低顺序</w:t>
            </w:r>
            <w:r>
              <w:rPr>
                <w:rFonts w:hint="eastAsia"/>
                <w:highlight w:val="none"/>
                <w:lang w:eastAsia="zh-CN"/>
              </w:rPr>
              <w:t>，</w:t>
            </w:r>
            <w:r>
              <w:rPr>
                <w:rFonts w:hint="eastAsia"/>
                <w:highlight w:val="none"/>
                <w:lang w:val="en-US" w:eastAsia="zh-CN"/>
              </w:rPr>
              <w:t>一标段推</w:t>
            </w:r>
            <w:r>
              <w:rPr>
                <w:rFonts w:hint="eastAsia"/>
                <w:highlight w:val="none"/>
              </w:rPr>
              <w:t>荐</w:t>
            </w:r>
            <w:r>
              <w:rPr>
                <w:rFonts w:hint="eastAsia"/>
                <w:highlight w:val="none"/>
                <w:lang w:val="en-US" w:eastAsia="zh-CN"/>
              </w:rPr>
              <w:t>5名</w:t>
            </w:r>
            <w:r>
              <w:rPr>
                <w:rFonts w:hint="eastAsia"/>
                <w:highlight w:val="none"/>
              </w:rPr>
              <w:t>候选人</w:t>
            </w:r>
            <w:r>
              <w:rPr>
                <w:rFonts w:hint="eastAsia"/>
                <w:highlight w:val="none"/>
                <w:lang w:eastAsia="zh-CN"/>
              </w:rPr>
              <w:t>，</w:t>
            </w:r>
            <w:r>
              <w:rPr>
                <w:rFonts w:hint="eastAsia"/>
                <w:highlight w:val="none"/>
                <w:lang w:val="en-US" w:eastAsia="zh-CN"/>
              </w:rPr>
              <w:t>二标段推荐10名候选人</w:t>
            </w:r>
            <w:r>
              <w:rPr>
                <w:rFonts w:hint="eastAsia"/>
                <w:highlight w:val="none"/>
              </w:rPr>
              <w:t>。</w:t>
            </w:r>
          </w:p>
          <w:p>
            <w:pPr>
              <w:ind w:firstLine="315" w:firstLineChars="150"/>
              <w:jc w:val="left"/>
              <w:rPr>
                <w:rFonts w:hint="eastAsia"/>
                <w:highlight w:val="none"/>
              </w:rPr>
            </w:pPr>
            <w:r>
              <w:rPr>
                <w:rFonts w:hint="eastAsia"/>
                <w:highlight w:val="none"/>
              </w:rPr>
              <w:t>综合评分相等时，</w:t>
            </w:r>
            <w:r>
              <w:rPr>
                <w:rFonts w:hint="eastAsia"/>
                <w:highlight w:val="none"/>
                <w:lang w:eastAsia="zh-CN"/>
              </w:rPr>
              <w:t>评标</w:t>
            </w:r>
            <w:r>
              <w:rPr>
                <w:rFonts w:hint="eastAsia"/>
                <w:highlight w:val="none"/>
              </w:rPr>
              <w:t>委员会依次按照以下优先顺序推荐候选人：</w:t>
            </w:r>
          </w:p>
          <w:p>
            <w:pPr>
              <w:ind w:firstLine="315" w:firstLineChars="150"/>
              <w:jc w:val="left"/>
              <w:rPr>
                <w:rFonts w:hint="eastAsia"/>
                <w:highlight w:val="none"/>
              </w:rPr>
            </w:pPr>
            <w:r>
              <w:rPr>
                <w:rFonts w:hint="eastAsia"/>
                <w:highlight w:val="none"/>
              </w:rPr>
              <w:t>（1）</w:t>
            </w:r>
            <w:r>
              <w:rPr>
                <w:rFonts w:hint="eastAsia"/>
                <w:highlight w:val="none"/>
                <w:lang w:eastAsia="zh-CN"/>
              </w:rPr>
              <w:t>评标价</w:t>
            </w:r>
            <w:r>
              <w:rPr>
                <w:rFonts w:hint="eastAsia"/>
                <w:highlight w:val="none"/>
              </w:rPr>
              <w:t>低的投标人优先；</w:t>
            </w:r>
          </w:p>
          <w:p>
            <w:pPr>
              <w:ind w:firstLine="315" w:firstLineChars="150"/>
              <w:jc w:val="left"/>
              <w:rPr>
                <w:rFonts w:hint="eastAsia"/>
                <w:highlight w:val="none"/>
              </w:rPr>
            </w:pPr>
            <w:r>
              <w:rPr>
                <w:rFonts w:hint="eastAsia"/>
                <w:highlight w:val="none"/>
              </w:rPr>
              <w:t>（2）商务部分得分较</w:t>
            </w:r>
            <w:r>
              <w:rPr>
                <w:rFonts w:hint="eastAsia"/>
                <w:highlight w:val="none"/>
                <w:lang w:val="en-US" w:eastAsia="zh-CN"/>
              </w:rPr>
              <w:t>高</w:t>
            </w:r>
            <w:r>
              <w:rPr>
                <w:rFonts w:hint="eastAsia"/>
                <w:highlight w:val="none"/>
              </w:rPr>
              <w:t>的优先；</w:t>
            </w:r>
          </w:p>
          <w:p>
            <w:pPr>
              <w:ind w:firstLine="315" w:firstLineChars="150"/>
              <w:jc w:val="left"/>
              <w:rPr>
                <w:rFonts w:hint="eastAsia"/>
                <w:highlight w:val="none"/>
              </w:rPr>
            </w:pPr>
            <w:r>
              <w:rPr>
                <w:rFonts w:hint="eastAsia"/>
                <w:highlight w:val="none"/>
              </w:rPr>
              <w:t>（3）</w:t>
            </w:r>
            <w:r>
              <w:rPr>
                <w:rFonts w:hint="eastAsia"/>
                <w:highlight w:val="none"/>
                <w:lang w:eastAsia="zh-CN"/>
              </w:rPr>
              <w:t>评标</w:t>
            </w:r>
            <w:r>
              <w:rPr>
                <w:rFonts w:hint="eastAsia"/>
                <w:highlight w:val="none"/>
              </w:rPr>
              <w:t>委员会综合考量，投票决定优先顺序。</w:t>
            </w:r>
          </w:p>
          <w:p>
            <w:pPr>
              <w:ind w:firstLine="315" w:firstLineChars="150"/>
              <w:jc w:val="left"/>
              <w:rPr>
                <w:rFonts w:hint="eastAsia" w:ascii="宋体" w:hAnsi="宋体" w:eastAsia="宋体" w:cs="宋体"/>
                <w:color w:val="auto"/>
                <w:szCs w:val="21"/>
                <w:highlight w:val="none"/>
              </w:rPr>
            </w:pPr>
            <w:r>
              <w:rPr>
                <w:rFonts w:hint="eastAsia" w:ascii="Times New Roman" w:hAnsi="Times New Roman" w:eastAsia="宋体" w:cs="Times New Roman"/>
                <w:kern w:val="2"/>
                <w:sz w:val="21"/>
                <w:szCs w:val="24"/>
                <w:highlight w:val="none"/>
                <w:lang w:val="en-US" w:eastAsia="zh-CN" w:bidi="ar-SA"/>
              </w:rPr>
              <w:t>若实际参与招标并通过资格评审的投标人少于或等于须知前附表6.3.2评标委员会推荐候选人的人数，则评标委员会不再进行打分，全部推荐为候选人。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463"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形式评审与响应性评审标准</w:t>
            </w:r>
          </w:p>
        </w:tc>
        <w:tc>
          <w:tcPr>
            <w:tcW w:w="7183" w:type="dxa"/>
            <w:noWrap w:val="0"/>
            <w:vAlign w:val="center"/>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第一个信封（商务</w:t>
            </w:r>
            <w:r>
              <w:rPr>
                <w:rFonts w:hint="eastAsia" w:ascii="宋体" w:hAnsi="宋体" w:eastAsia="宋体" w:cs="宋体"/>
                <w:color w:val="auto"/>
                <w:highlight w:val="none"/>
                <w:lang w:val="en-US" w:eastAsia="zh-CN"/>
              </w:rPr>
              <w:t>和技术</w:t>
            </w:r>
            <w:r>
              <w:rPr>
                <w:rFonts w:hint="eastAsia" w:ascii="宋体" w:hAnsi="宋体" w:eastAsia="宋体" w:cs="宋体"/>
                <w:color w:val="auto"/>
                <w:highlight w:val="none"/>
              </w:rPr>
              <w:t>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a．投标函按招标文件规定填报了招标人名称、项目名称、</w:t>
            </w:r>
            <w:r>
              <w:rPr>
                <w:rFonts w:hint="eastAsia" w:ascii="宋体" w:hAnsi="宋体" w:eastAsia="宋体" w:cs="宋体"/>
                <w:color w:val="auto"/>
                <w:highlight w:val="none"/>
                <w:lang w:val="en-US" w:eastAsia="zh-CN"/>
              </w:rPr>
              <w:t>标段、</w:t>
            </w:r>
            <w:r>
              <w:rPr>
                <w:rFonts w:hint="eastAsia" w:ascii="宋体" w:hAnsi="宋体" w:eastAsia="宋体" w:cs="宋体"/>
                <w:color w:val="auto"/>
                <w:highlight w:val="none"/>
              </w:rPr>
              <w:t>补遗书编号（如有）、服务</w:t>
            </w:r>
            <w:r>
              <w:rPr>
                <w:rFonts w:hint="eastAsia" w:ascii="宋体" w:hAnsi="宋体" w:eastAsia="宋体" w:cs="宋体"/>
                <w:color w:val="auto"/>
                <w:highlight w:val="none"/>
                <w:lang w:val="en-US" w:eastAsia="zh-CN"/>
              </w:rPr>
              <w:t>周期</w:t>
            </w:r>
            <w:r>
              <w:rPr>
                <w:rFonts w:hint="eastAsia" w:ascii="宋体" w:hAnsi="宋体" w:eastAsia="宋体" w:cs="宋体"/>
                <w:color w:val="auto"/>
                <w:highlight w:val="none"/>
              </w:rPr>
              <w:t>等内容；</w:t>
            </w:r>
          </w:p>
          <w:p>
            <w:pPr>
              <w:keepNext w:val="0"/>
              <w:keepLines w:val="0"/>
              <w:pageBreakBefore w:val="0"/>
              <w:widowControl w:val="0"/>
              <w:tabs>
                <w:tab w:val="left" w:pos="3060"/>
              </w:tabs>
              <w:kinsoku/>
              <w:wordWrap/>
              <w:overflowPunct/>
              <w:topLinePunct w:val="0"/>
              <w:bidi w:val="0"/>
              <w:snapToGrid w:val="0"/>
              <w:spacing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sz w:val="21"/>
                <w:szCs w:val="21"/>
                <w:highlight w:val="none"/>
              </w:rPr>
              <w:t>投标人法定代表人授权委托代理人签署投标文件的，须提交授权委托书，授权委托书的签字盖章符合招标文件规定</w:t>
            </w:r>
            <w:r>
              <w:rPr>
                <w:rFonts w:hint="eastAsia" w:ascii="宋体" w:hAnsi="宋体" w:eastAsia="宋体" w:cs="宋体"/>
                <w:color w:val="auto"/>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cs="宋体"/>
                <w:color w:val="auto"/>
                <w:sz w:val="21"/>
                <w:szCs w:val="21"/>
                <w:highlight w:val="none"/>
              </w:rPr>
              <w:t>投标人法定代表人亲自签署投标文件的，提供了法定代表人身份证明,法定代表人身份证明的签字盖章符合招标文件规定</w:t>
            </w:r>
            <w:r>
              <w:rPr>
                <w:rFonts w:hint="eastAsia" w:ascii="宋体" w:hAnsi="宋体" w:eastAsia="宋体" w:cs="宋体"/>
                <w:color w:val="auto"/>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）投标人未以联合体形式投标。</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）投标人未对本项目提出分包计划。</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（7）投标人未提交两个以上不同的投标文件或备选方案。</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（8）投标文件中未出现有关投标报价的内容。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（9）投标文件载明的招标项目完成期限未超过招标文件规定的</w:t>
            </w:r>
            <w:r>
              <w:rPr>
                <w:rFonts w:hint="eastAsia" w:ascii="宋体" w:hAnsi="宋体" w:eastAsia="宋体" w:cs="宋体"/>
                <w:color w:val="auto"/>
                <w:highlight w:val="none"/>
                <w:lang w:val="en-US" w:eastAsia="zh-CN"/>
              </w:rPr>
              <w:t>服务周期</w:t>
            </w:r>
            <w:r>
              <w:rPr>
                <w:rFonts w:hint="eastAsia" w:ascii="宋体" w:hAnsi="宋体" w:eastAsia="宋体" w:cs="宋体"/>
                <w:color w:val="auto"/>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（10）投标文件对招标文件的实质性要求和条件作出响应。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（11）递交的投标文件与所投标段一致</w:t>
            </w:r>
            <w:r>
              <w:rPr>
                <w:rFonts w:hint="eastAsia" w:ascii="宋体" w:hAnsi="宋体" w:eastAsia="宋体" w:cs="宋体"/>
                <w:color w:val="auto"/>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r>
              <w:rPr>
                <w:rFonts w:hint="eastAsia" w:ascii="宋体" w:hAnsi="宋体" w:eastAsia="宋体" w:cs="宋体"/>
                <w:color w:val="auto"/>
                <w:highlight w:val="none"/>
              </w:rPr>
              <w:t>）权利义务符合招标文件规定：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a．投标函按招标文件规定填报了招标人名称、项目名称、</w:t>
            </w:r>
            <w:r>
              <w:rPr>
                <w:rFonts w:hint="eastAsia" w:ascii="宋体" w:hAnsi="宋体" w:eastAsia="宋体" w:cs="宋体"/>
                <w:color w:val="auto"/>
                <w:highlight w:val="none"/>
                <w:lang w:val="en-US" w:eastAsia="zh-CN"/>
              </w:rPr>
              <w:t>标段、</w:t>
            </w:r>
            <w:r>
              <w:rPr>
                <w:rFonts w:hint="eastAsia" w:ascii="宋体" w:hAnsi="宋体" w:eastAsia="宋体" w:cs="宋体"/>
                <w:color w:val="auto"/>
                <w:highlight w:val="none"/>
              </w:rPr>
              <w:t>补遗书编号（如有）、投标报价；</w:t>
            </w:r>
          </w:p>
          <w:p>
            <w:pPr>
              <w:keepNext w:val="0"/>
              <w:keepLines w:val="0"/>
              <w:pageBreakBefore w:val="0"/>
              <w:widowControl w:val="0"/>
              <w:tabs>
                <w:tab w:val="left" w:pos="3060"/>
              </w:tabs>
              <w:kinsoku/>
              <w:wordWrap/>
              <w:overflowPunct/>
              <w:topLinePunct w:val="0"/>
              <w:bidi w:val="0"/>
              <w:snapToGrid w:val="0"/>
              <w:spacing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（4）投标报价能够确定具体数值。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color w:val="auto"/>
                <w:highlight w:val="none"/>
              </w:rPr>
            </w:pPr>
            <w:r>
              <w:rPr>
                <w:rFonts w:hint="eastAsia" w:ascii="宋体" w:hAnsi="宋体" w:eastAsia="宋体" w:cs="宋体"/>
                <w:color w:val="auto"/>
                <w:highlight w:val="none"/>
              </w:rPr>
              <w:t>（5）投标人未提交两个以上不同的投标报价。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color w:val="auto"/>
                <w:highlight w:val="none"/>
              </w:rPr>
            </w:pPr>
            <w:r>
              <w:rPr>
                <w:rFonts w:hint="eastAsia" w:ascii="宋体" w:hAnsi="宋体" w:eastAsia="宋体" w:cs="宋体"/>
                <w:color w:val="auto"/>
                <w:highlight w:val="none"/>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463"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7183" w:type="dxa"/>
            <w:noWrap w:val="0"/>
            <w:vAlign w:val="center"/>
          </w:tcPr>
          <w:p>
            <w:pPr>
              <w:tabs>
                <w:tab w:val="left" w:pos="3060"/>
              </w:tabs>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w:t>
            </w:r>
            <w:r>
              <w:rPr>
                <w:rFonts w:hint="eastAsia" w:ascii="宋体" w:hAnsi="宋体" w:eastAsia="宋体" w:cs="宋体"/>
                <w:color w:val="auto"/>
                <w:sz w:val="21"/>
                <w:szCs w:val="21"/>
                <w:highlight w:val="none"/>
                <w:lang w:val="en-US" w:eastAsia="zh-CN"/>
              </w:rPr>
              <w:t>格</w:t>
            </w:r>
            <w:r>
              <w:rPr>
                <w:rFonts w:hint="eastAsia" w:ascii="宋体" w:hAnsi="宋体" w:eastAsia="宋体" w:cs="宋体"/>
                <w:color w:val="auto"/>
                <w:sz w:val="21"/>
                <w:szCs w:val="21"/>
                <w:highlight w:val="none"/>
              </w:rPr>
              <w:t>证书和基本账户开户许可证（或基本存款账户信息）；</w:t>
            </w:r>
          </w:p>
          <w:p>
            <w:pPr>
              <w:tabs>
                <w:tab w:val="left" w:pos="3060"/>
              </w:tabs>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tabs>
                <w:tab w:val="left" w:pos="3060"/>
              </w:tabs>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）投标人的信誉符合招标文件规定；</w:t>
            </w:r>
          </w:p>
          <w:p>
            <w:pPr>
              <w:tabs>
                <w:tab w:val="left" w:pos="3060"/>
              </w:tabs>
              <w:spacing w:line="32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）投标人不存在第二章“投标人须知”1.4.3项或第1.4.4项规定的任何一种情形。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463" w:type="dxa"/>
            <w:noWrap w:val="0"/>
            <w:vAlign w:val="center"/>
          </w:tcPr>
          <w:p>
            <w:pPr>
              <w:spacing w:line="264" w:lineRule="auto"/>
              <w:ind w:leftChars="-51" w:hanging="107" w:hangingChars="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pPr>
              <w:spacing w:line="264" w:lineRule="auto"/>
              <w:ind w:leftChars="-51" w:right="-61" w:rightChars="-29" w:hanging="107" w:hangingChars="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7183" w:type="dxa"/>
            <w:noWrap w:val="0"/>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w:t>
            </w:r>
            <w:r>
              <w:rPr>
                <w:rFonts w:hint="eastAsia" w:ascii="宋体" w:hAnsi="宋体" w:eastAsia="宋体" w:cs="宋体"/>
                <w:b/>
                <w:color w:val="auto"/>
                <w:sz w:val="21"/>
                <w:szCs w:val="21"/>
                <w:highlight w:val="none"/>
                <w:lang w:val="en-US" w:eastAsia="zh-CN"/>
              </w:rPr>
              <w:t>服务方案文件</w:t>
            </w:r>
            <w:r>
              <w:rPr>
                <w:rFonts w:hint="eastAsia" w:ascii="宋体" w:hAnsi="宋体" w:eastAsia="宋体" w:cs="宋体"/>
                <w:b/>
                <w:color w:val="auto"/>
                <w:sz w:val="21"/>
                <w:szCs w:val="21"/>
                <w:highlight w:val="none"/>
              </w:rPr>
              <w:t>）评分分值构成：</w:t>
            </w:r>
          </w:p>
          <w:p>
            <w:pPr>
              <w:autoSpaceDE w:val="0"/>
              <w:autoSpaceDN w:val="0"/>
              <w:adjustRightInd w:val="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 xml:space="preserve">（1）商务部分  </w:t>
            </w:r>
            <w:r>
              <w:rPr>
                <w:rFonts w:hint="eastAsia" w:ascii="宋体" w:hAnsi="宋体" w:eastAsia="宋体" w:cs="宋体"/>
                <w:bCs/>
                <w:color w:val="auto"/>
                <w:kern w:val="0"/>
                <w:highlight w:val="none"/>
                <w:lang w:val="en-US" w:eastAsia="zh-CN"/>
              </w:rPr>
              <w:t xml:space="preserve">     </w:t>
            </w:r>
            <w:r>
              <w:rPr>
                <w:rFonts w:hint="eastAsia" w:ascii="宋体" w:hAnsi="宋体" w:cs="宋体"/>
                <w:bCs/>
                <w:color w:val="auto"/>
                <w:kern w:val="0"/>
                <w:highlight w:val="none"/>
                <w:lang w:val="en-US" w:eastAsia="zh-CN"/>
              </w:rPr>
              <w:t>3</w:t>
            </w:r>
            <w:r>
              <w:rPr>
                <w:rFonts w:hint="eastAsia" w:ascii="宋体" w:hAnsi="宋体" w:eastAsia="宋体" w:cs="宋体"/>
                <w:bCs/>
                <w:color w:val="auto"/>
                <w:kern w:val="0"/>
                <w:highlight w:val="none"/>
                <w:lang w:val="en-US" w:eastAsia="zh-CN"/>
              </w:rPr>
              <w:t>0</w:t>
            </w:r>
            <w:r>
              <w:rPr>
                <w:rFonts w:hint="eastAsia" w:ascii="宋体" w:hAnsi="宋体" w:eastAsia="宋体" w:cs="宋体"/>
                <w:bCs/>
                <w:color w:val="auto"/>
                <w:kern w:val="0"/>
                <w:highlight w:val="none"/>
              </w:rPr>
              <w:t>分</w:t>
            </w:r>
          </w:p>
          <w:p>
            <w:pPr>
              <w:autoSpaceDE w:val="0"/>
              <w:autoSpaceDN w:val="0"/>
              <w:adjustRightInd w:val="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 xml:space="preserve">（2）服务方案部分   </w:t>
            </w:r>
            <w:r>
              <w:rPr>
                <w:rFonts w:hint="eastAsia" w:ascii="宋体" w:hAnsi="宋体" w:eastAsia="宋体" w:cs="宋体"/>
                <w:bCs/>
                <w:color w:val="auto"/>
                <w:kern w:val="0"/>
                <w:highlight w:val="none"/>
                <w:lang w:val="en-US" w:eastAsia="zh-CN"/>
              </w:rPr>
              <w:t>40</w:t>
            </w:r>
            <w:r>
              <w:rPr>
                <w:rFonts w:hint="eastAsia" w:ascii="宋体" w:hAnsi="宋体" w:eastAsia="宋体" w:cs="宋体"/>
                <w:bCs/>
                <w:color w:val="auto"/>
                <w:kern w:val="0"/>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jc w:val="left"/>
              <w:rPr>
                <w:rFonts w:hint="eastAsia" w:ascii="宋体" w:hAnsi="宋体" w:eastAsia="宋体" w:cs="宋体"/>
                <w:color w:val="auto"/>
                <w:szCs w:val="21"/>
                <w:highlight w:val="none"/>
              </w:rPr>
            </w:pPr>
            <w:r>
              <w:rPr>
                <w:rFonts w:hint="eastAsia" w:ascii="宋体" w:hAnsi="宋体" w:eastAsia="宋体" w:cs="宋体"/>
                <w:bCs/>
                <w:color w:val="auto"/>
                <w:kern w:val="0"/>
                <w:highlight w:val="none"/>
              </w:rPr>
              <w:t>（</w:t>
            </w:r>
            <w:r>
              <w:rPr>
                <w:rFonts w:hint="eastAsia" w:ascii="宋体" w:hAnsi="宋体" w:eastAsia="宋体" w:cs="宋体"/>
                <w:bCs/>
                <w:color w:val="auto"/>
                <w:kern w:val="0"/>
                <w:highlight w:val="none"/>
                <w:lang w:val="en-US" w:eastAsia="zh-CN"/>
              </w:rPr>
              <w:t>1</w:t>
            </w:r>
            <w:r>
              <w:rPr>
                <w:rFonts w:hint="eastAsia" w:ascii="宋体" w:hAnsi="宋体" w:eastAsia="宋体" w:cs="宋体"/>
                <w:bCs/>
                <w:color w:val="auto"/>
                <w:kern w:val="0"/>
                <w:highlight w:val="none"/>
              </w:rPr>
              <w:t>）</w:t>
            </w:r>
            <w:r>
              <w:rPr>
                <w:rFonts w:hint="eastAsia" w:ascii="宋体" w:hAnsi="宋体" w:eastAsia="宋体" w:cs="宋体"/>
                <w:bCs/>
                <w:color w:val="auto"/>
                <w:kern w:val="0"/>
                <w:highlight w:val="none"/>
                <w:lang w:eastAsia="zh-CN"/>
              </w:rPr>
              <w:t>评标价</w:t>
            </w:r>
            <w:r>
              <w:rPr>
                <w:rFonts w:hint="eastAsia" w:ascii="宋体" w:hAnsi="宋体" w:eastAsia="宋体" w:cs="宋体"/>
                <w:bCs/>
                <w:color w:val="auto"/>
                <w:kern w:val="0"/>
                <w:highlight w:val="none"/>
              </w:rPr>
              <w:t xml:space="preserve">： </w:t>
            </w:r>
            <w:r>
              <w:rPr>
                <w:rFonts w:hint="eastAsia" w:ascii="宋体" w:hAnsi="宋体" w:eastAsia="宋体" w:cs="宋体"/>
                <w:bCs/>
                <w:color w:val="auto"/>
                <w:kern w:val="0"/>
                <w:highlight w:val="none"/>
                <w:lang w:val="en-US" w:eastAsia="zh-CN"/>
              </w:rPr>
              <w:t xml:space="preserve">    </w:t>
            </w:r>
            <w:r>
              <w:rPr>
                <w:rFonts w:hint="eastAsia" w:ascii="宋体" w:hAnsi="宋体" w:eastAsia="宋体" w:cs="宋体"/>
                <w:bCs/>
                <w:color w:val="auto"/>
                <w:kern w:val="0"/>
                <w:highlight w:val="none"/>
              </w:rPr>
              <w:t xml:space="preserve"> </w:t>
            </w:r>
            <w:r>
              <w:rPr>
                <w:rFonts w:hint="eastAsia" w:ascii="宋体" w:hAnsi="宋体" w:eastAsia="宋体" w:cs="宋体"/>
                <w:bCs/>
                <w:color w:val="auto"/>
                <w:kern w:val="0"/>
                <w:highlight w:val="none"/>
                <w:lang w:val="en-US" w:eastAsia="zh-CN"/>
              </w:rPr>
              <w:t xml:space="preserve"> </w:t>
            </w:r>
            <w:r>
              <w:rPr>
                <w:rFonts w:hint="eastAsia" w:ascii="宋体" w:hAnsi="宋体" w:cs="宋体"/>
                <w:bCs/>
                <w:color w:val="auto"/>
                <w:kern w:val="0"/>
                <w:highlight w:val="none"/>
                <w:lang w:val="en-US" w:eastAsia="zh-CN"/>
              </w:rPr>
              <w:t>3</w:t>
            </w:r>
            <w:r>
              <w:rPr>
                <w:rFonts w:hint="eastAsia" w:ascii="宋体" w:hAnsi="宋体" w:eastAsia="宋体" w:cs="宋体"/>
                <w:bCs/>
                <w:color w:val="auto"/>
                <w:kern w:val="0"/>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463" w:type="dxa"/>
            <w:noWrap w:val="0"/>
            <w:vAlign w:val="center"/>
          </w:tcPr>
          <w:p>
            <w:pPr>
              <w:spacing w:line="264"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评标基准价</w:t>
            </w:r>
            <w:r>
              <w:rPr>
                <w:rFonts w:hint="eastAsia" w:ascii="宋体" w:hAnsi="宋体" w:eastAsia="宋体" w:cs="宋体"/>
                <w:color w:val="auto"/>
                <w:szCs w:val="21"/>
                <w:highlight w:val="none"/>
              </w:rPr>
              <w:t>计算方法</w:t>
            </w:r>
          </w:p>
        </w:tc>
        <w:tc>
          <w:tcPr>
            <w:tcW w:w="7183" w:type="dxa"/>
            <w:noWrap w:val="0"/>
            <w:vAlign w:val="center"/>
          </w:tcPr>
          <w:p>
            <w:pPr>
              <w:snapToGrid w:val="0"/>
              <w:spacing w:line="320" w:lineRule="exact"/>
              <w:jc w:val="left"/>
              <w:rPr>
                <w:rFonts w:ascii="Times New Roman" w:hAnsi="Times New Roman"/>
                <w:b/>
                <w:color w:val="auto"/>
                <w:highlight w:val="none"/>
              </w:rPr>
            </w:pPr>
            <w:r>
              <w:rPr>
                <w:rFonts w:ascii="Times New Roman" w:hAnsi="Times New Roman"/>
                <w:b/>
                <w:color w:val="auto"/>
                <w:highlight w:val="none"/>
              </w:rPr>
              <w:t>评标基准价的计算：</w:t>
            </w:r>
          </w:p>
          <w:p>
            <w:pPr>
              <w:snapToGrid w:val="0"/>
              <w:spacing w:line="320" w:lineRule="exact"/>
              <w:ind w:right="113"/>
              <w:rPr>
                <w:rFonts w:ascii="Times New Roman" w:hAnsi="Times New Roman"/>
                <w:color w:val="auto"/>
                <w:szCs w:val="21"/>
                <w:highlight w:val="none"/>
              </w:rPr>
            </w:pPr>
            <w:r>
              <w:rPr>
                <w:rFonts w:ascii="Times New Roman" w:hAnsi="Times New Roman"/>
                <w:color w:val="auto"/>
                <w:szCs w:val="21"/>
                <w:highlight w:val="none"/>
              </w:rPr>
              <w:t>在开标现场，招标人将当场计算并宣布评标基准价。</w:t>
            </w:r>
          </w:p>
          <w:p>
            <w:pPr>
              <w:snapToGrid w:val="0"/>
              <w:spacing w:line="320" w:lineRule="exact"/>
              <w:ind w:left="113" w:right="113" w:firstLine="210" w:firstLineChars="100"/>
              <w:rPr>
                <w:rFonts w:ascii="Times New Roman" w:hAnsi="Times New Roman"/>
                <w:color w:val="auto"/>
                <w:szCs w:val="21"/>
                <w:highlight w:val="none"/>
              </w:rPr>
            </w:pPr>
            <w:r>
              <w:rPr>
                <w:rFonts w:ascii="Times New Roman" w:hAnsi="Times New Roman"/>
                <w:color w:val="auto"/>
                <w:szCs w:val="21"/>
                <w:highlight w:val="none"/>
              </w:rPr>
              <w:t>（1）评标价的确定：</w:t>
            </w:r>
          </w:p>
          <w:p>
            <w:pPr>
              <w:snapToGrid w:val="0"/>
              <w:spacing w:line="320" w:lineRule="exact"/>
              <w:ind w:left="113" w:right="113" w:firstLine="210" w:firstLineChars="100"/>
              <w:rPr>
                <w:rFonts w:ascii="Times New Roman" w:hAnsi="Times New Roman"/>
                <w:color w:val="auto"/>
                <w:szCs w:val="21"/>
                <w:highlight w:val="none"/>
              </w:rPr>
            </w:pPr>
            <w:r>
              <w:rPr>
                <w:rFonts w:ascii="Times New Roman" w:hAnsi="Times New Roman"/>
                <w:color w:val="auto"/>
                <w:szCs w:val="21"/>
                <w:highlight w:val="none"/>
              </w:rPr>
              <w:t>评标价=投标函文字报价</w:t>
            </w:r>
          </w:p>
          <w:p>
            <w:pPr>
              <w:snapToGrid w:val="0"/>
              <w:spacing w:line="320" w:lineRule="exact"/>
              <w:ind w:left="113" w:right="113" w:firstLine="210" w:firstLineChars="100"/>
              <w:rPr>
                <w:rFonts w:ascii="Times New Roman" w:hAnsi="Times New Roman"/>
                <w:color w:val="auto"/>
                <w:szCs w:val="21"/>
                <w:highlight w:val="none"/>
              </w:rPr>
            </w:pPr>
            <w:r>
              <w:rPr>
                <w:rFonts w:ascii="Times New Roman" w:hAnsi="Times New Roman"/>
                <w:color w:val="auto"/>
                <w:szCs w:val="21"/>
                <w:highlight w:val="none"/>
              </w:rPr>
              <w:t>（2）评标价平均值的计算：</w:t>
            </w:r>
          </w:p>
          <w:p>
            <w:pPr>
              <w:widowControl w:val="0"/>
              <w:snapToGrid w:val="0"/>
              <w:spacing w:line="320" w:lineRule="exact"/>
              <w:ind w:right="113"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widowControl w:val="0"/>
              <w:snapToGrid w:val="0"/>
              <w:spacing w:line="320" w:lineRule="exact"/>
              <w:ind w:right="113"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（3）评标基准价的确定：</w:t>
            </w:r>
          </w:p>
          <w:p>
            <w:pPr>
              <w:widowControl w:val="0"/>
              <w:autoSpaceDE w:val="0"/>
              <w:autoSpaceDN w:val="0"/>
              <w:adjustRightInd w:val="0"/>
              <w:snapToGrid w:val="0"/>
              <w:spacing w:line="320" w:lineRule="exact"/>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将评标价平均值直接作为评标基准价（评标基准价保留两位小数，小数点后第三位四舍五入）。</w:t>
            </w:r>
          </w:p>
          <w:p>
            <w:pPr>
              <w:spacing w:line="288"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3.6.1</w:t>
            </w:r>
          </w:p>
        </w:tc>
        <w:tc>
          <w:tcPr>
            <w:tcW w:w="1463" w:type="dxa"/>
            <w:noWrap w:val="0"/>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sz w:val="21"/>
                <w:szCs w:val="21"/>
                <w:highlight w:val="none"/>
              </w:rPr>
              <w:t>信息查询</w:t>
            </w:r>
          </w:p>
        </w:tc>
        <w:tc>
          <w:tcPr>
            <w:tcW w:w="7183" w:type="dxa"/>
            <w:noWrap w:val="0"/>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信用情况网页截图内容与在“国家企业信用信息公示系统”中严重违法失信企业名单（不含分公司，事业单位投标人不适用）或在“信用中国”网站中失信被执行人名单、经营异常名录、重大税收违法失信主体名单、</w:t>
            </w:r>
            <w:r>
              <w:rPr>
                <w:rFonts w:hint="eastAsia" w:ascii="宋体" w:hAnsi="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（均不含分公司）的复核结果一致。</w:t>
            </w:r>
          </w:p>
          <w:p>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上述（1）项如投标人未提供相关网页截图或所附截图与复核结果不一致，评标委员会应否决其投标。</w:t>
            </w:r>
          </w:p>
          <w:p>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4" w:type="dxa"/>
            <w:gridSpan w:val="3"/>
            <w:noWrap w:val="0"/>
            <w:vAlign w:val="center"/>
          </w:tcPr>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需要补充的其他内容：无</w:t>
            </w:r>
          </w:p>
        </w:tc>
      </w:tr>
    </w:tbl>
    <w:p>
      <w:pPr>
        <w:pStyle w:val="25"/>
        <w:ind w:firstLine="560"/>
        <w:rPr>
          <w:rFonts w:ascii="宋体" w:hAnsi="宋体" w:cs="宋体"/>
          <w:bCs/>
          <w:color w:val="auto"/>
          <w:highlight w:val="none"/>
        </w:rPr>
      </w:pPr>
      <w:r>
        <w:rPr>
          <w:rFonts w:ascii="宋体" w:hAnsi="宋体" w:cs="宋体"/>
          <w:bCs/>
          <w:color w:val="auto"/>
          <w:highlight w:val="none"/>
        </w:rPr>
        <w:br w:type="page"/>
      </w:r>
    </w:p>
    <w:tbl>
      <w:tblPr>
        <w:tblStyle w:val="17"/>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675"/>
        <w:gridCol w:w="675"/>
        <w:gridCol w:w="585"/>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639" w:type="dxa"/>
            <w:gridSpan w:val="4"/>
            <w:tcBorders>
              <w:top w:val="nil"/>
              <w:left w:val="nil"/>
              <w:bottom w:val="nil"/>
              <w:right w:val="nil"/>
            </w:tcBorders>
            <w:noWrap/>
            <w:vAlign w:val="center"/>
          </w:tcPr>
          <w:p>
            <w:pP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一标段：券商类</w:t>
            </w:r>
          </w:p>
        </w:tc>
        <w:tc>
          <w:tcPr>
            <w:tcW w:w="6360" w:type="dxa"/>
            <w:tcBorders>
              <w:top w:val="nil"/>
              <w:left w:val="nil"/>
              <w:bottom w:val="nil"/>
              <w:right w:val="nil"/>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评审因素与权重分值</w:t>
            </w:r>
          </w:p>
        </w:tc>
        <w:tc>
          <w:tcPr>
            <w:tcW w:w="63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评分因素权重分值</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各评分因素</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3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因素</w:t>
            </w: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细分项</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3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商务部分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全国范围内承销金额和只数</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承销全国范围内中期票据（含永续中票）、短期融资券（含超短期融资券）以及定向融资工具承销累计金额：承销金额≥1500亿元得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00亿元≤承销金额＜1500亿元得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分，600亿元≤承销金额＜900亿元得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和定向工具”，“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承销全国范围内中期票据（含永续中票）、短期融资券（含超短期融资券）以及定向融资工具承销累计只数：承销只数≥500只得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分，250只≤承销只数＜500只得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分，150只≤承销只数＜250只得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和定向工具”，“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承销金额和只数</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承销河北省范围内中期票据（含永续中票）承销累计金额：承销金额≥100亿元得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分，50亿元≤承销金额＜100亿元得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分，20亿元≤承销金额＜50亿元得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承销河北省范围内中期票据（含永续中票）承销累计只数：承销只数≥30只得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分，15只≤承销只数＜30只得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只≤承销只数＜15只得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被协会自律处分情况</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被中国银行间市场交易商协会自律处分情况：有被处罚记录扣5分，没有被处罚记录得10分。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注：需附中国银行间市场交易商协会官网查询结果截图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2、数据请通过中国银行间市场交易商协会官网查询，查询路径如下：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（1）进入中国银行间市场交易商协会官网-选择自律-自律处分概览；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（2）查询条件：选择“处分措施为全部”，起止时间选择“2023年1月1日至2024年6月30日”。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（3）输入承销商机构名称，点击“查询”，可看到被处分情况。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服务方案部分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承销服务方案</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根据本项目特点和发行要求，制定项目方案，包括但不限于政策环境分析、可行性分析、时间安排、相关保障服务（包括不限于余额包销和自主投资能力等）等进行综合评价。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第一档方案详细完整、针对性强，可行性高、保障措施完备的，得8-10分；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第二档方案基本完整、针对性较强，可行性较高、保障措施较好的，得6-</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第三档方案基本完整、针对性一般、可行性一般、保障措施一般的，得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缺项或</w:t>
            </w:r>
            <w:r>
              <w:rPr>
                <w:rFonts w:hint="eastAsia" w:ascii="宋体" w:hAnsi="宋体" w:eastAsia="宋体" w:cs="宋体"/>
                <w:i w:val="0"/>
                <w:iCs w:val="0"/>
                <w:color w:val="auto"/>
                <w:kern w:val="0"/>
                <w:sz w:val="21"/>
                <w:szCs w:val="21"/>
                <w:highlight w:val="none"/>
                <w:u w:val="none"/>
                <w:lang w:val="en-US" w:eastAsia="zh-CN" w:bidi="ar"/>
              </w:rPr>
              <w:t>方案有欠缺、针对性较差、可行性一般、保障措施不足的，得0分。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项目团队配置</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项目团队配置：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color w:val="auto"/>
                <w:highlight w:val="none"/>
                <w:lang w:val="en-US" w:eastAsia="zh-CN"/>
              </w:rPr>
              <w:t>项目团队人员具备银行间交易商协会相关债券产品发行经验，有过Wind行业（二级）为“运输”债券发行（独主或牵头主）经验，根据项目团队人员配置、专业资格、项目经验、工作经历等客观因素进行综合评价，最高得4分。</w:t>
            </w:r>
          </w:p>
          <w:p>
            <w:pPr>
              <w:pStyle w:val="16"/>
              <w:ind w:left="0" w:leftChars="0" w:firstLine="0" w:firstLineChars="0"/>
              <w:rPr>
                <w:rFonts w:hint="default"/>
                <w:color w:val="auto"/>
                <w:highlight w:val="none"/>
                <w:lang w:val="en-US" w:eastAsia="zh-CN"/>
              </w:rPr>
            </w:pPr>
            <w:r>
              <w:rPr>
                <w:rFonts w:hint="eastAsia"/>
                <w:color w:val="auto"/>
                <w:highlight w:val="none"/>
                <w:lang w:val="en-US" w:eastAsia="zh-CN"/>
              </w:rPr>
              <w:t>注：项目经验的证明材料为募集说明书签字页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w:t>
            </w:r>
            <w:r>
              <w:rPr>
                <w:rFonts w:hint="eastAsia" w:ascii="宋体" w:hAnsi="宋体" w:cs="宋体"/>
                <w:i w:val="0"/>
                <w:iCs w:val="0"/>
                <w:color w:val="auto"/>
                <w:kern w:val="0"/>
                <w:sz w:val="21"/>
                <w:szCs w:val="21"/>
                <w:highlight w:val="none"/>
                <w:u w:val="none"/>
                <w:lang w:val="en-US" w:eastAsia="zh-CN" w:bidi="ar"/>
              </w:rPr>
              <w:t>中</w:t>
            </w:r>
            <w:r>
              <w:rPr>
                <w:rFonts w:hint="eastAsia" w:ascii="宋体" w:hAnsi="宋体" w:eastAsia="宋体" w:cs="宋体"/>
                <w:i w:val="0"/>
                <w:iCs w:val="0"/>
                <w:color w:val="auto"/>
                <w:kern w:val="0"/>
                <w:sz w:val="21"/>
                <w:szCs w:val="21"/>
                <w:highlight w:val="none"/>
                <w:u w:val="none"/>
                <w:lang w:val="en-US" w:eastAsia="zh-CN" w:bidi="ar"/>
              </w:rPr>
              <w:t>每有一人持有注册会计师证或法律职业资格证书</w:t>
            </w:r>
            <w:r>
              <w:rPr>
                <w:rFonts w:hint="eastAsia" w:ascii="宋体" w:hAnsi="宋体" w:cs="宋体"/>
                <w:i w:val="0"/>
                <w:iCs w:val="0"/>
                <w:color w:val="auto"/>
                <w:kern w:val="0"/>
                <w:sz w:val="21"/>
                <w:szCs w:val="21"/>
                <w:highlight w:val="none"/>
                <w:u w:val="none"/>
                <w:lang w:val="en-US" w:eastAsia="zh-CN" w:bidi="ar"/>
              </w:rPr>
              <w:t>得</w:t>
            </w:r>
            <w:r>
              <w:rPr>
                <w:rFonts w:hint="eastAsia" w:ascii="宋体" w:hAnsi="宋体" w:eastAsia="宋体" w:cs="宋体"/>
                <w:i w:val="0"/>
                <w:iCs w:val="0"/>
                <w:color w:val="auto"/>
                <w:kern w:val="0"/>
                <w:sz w:val="21"/>
                <w:szCs w:val="21"/>
                <w:highlight w:val="none"/>
                <w:u w:val="none"/>
                <w:lang w:val="en-US" w:eastAsia="zh-CN" w:bidi="ar"/>
              </w:rPr>
              <w:t>2分，</w:t>
            </w:r>
            <w:r>
              <w:rPr>
                <w:rFonts w:hint="eastAsia" w:ascii="宋体" w:hAnsi="宋体" w:cs="宋体"/>
                <w:i w:val="0"/>
                <w:iCs w:val="0"/>
                <w:color w:val="auto"/>
                <w:kern w:val="0"/>
                <w:sz w:val="21"/>
                <w:szCs w:val="21"/>
                <w:highlight w:val="none"/>
                <w:u w:val="none"/>
                <w:lang w:val="en-US" w:eastAsia="zh-CN" w:bidi="ar"/>
              </w:rPr>
              <w:t>最高得6</w:t>
            </w:r>
            <w:r>
              <w:rPr>
                <w:rFonts w:hint="eastAsia" w:ascii="宋体" w:hAnsi="宋体" w:eastAsia="宋体" w:cs="宋体"/>
                <w:i w:val="0"/>
                <w:iCs w:val="0"/>
                <w:color w:val="auto"/>
                <w:kern w:val="0"/>
                <w:sz w:val="21"/>
                <w:szCs w:val="21"/>
                <w:highlight w:val="none"/>
                <w:u w:val="none"/>
                <w:lang w:val="en-US" w:eastAsia="zh-CN" w:bidi="ar"/>
              </w:rPr>
              <w:t>分。</w:t>
            </w:r>
          </w:p>
          <w:p>
            <w:pPr>
              <w:pStyle w:val="10"/>
              <w:rPr>
                <w:rFonts w:hint="eastAsia"/>
                <w:highlight w:val="none"/>
              </w:rPr>
            </w:pPr>
            <w:r>
              <w:rPr>
                <w:rFonts w:hint="eastAsia" w:ascii="宋体" w:hAnsi="宋体" w:eastAsia="宋体" w:cs="宋体"/>
                <w:i w:val="0"/>
                <w:iCs w:val="0"/>
                <w:color w:val="auto"/>
                <w:kern w:val="0"/>
                <w:sz w:val="21"/>
                <w:szCs w:val="21"/>
                <w:highlight w:val="none"/>
                <w:u w:val="none"/>
                <w:lang w:val="en-US" w:eastAsia="zh-CN" w:bidi="ar"/>
              </w:rPr>
              <w:t>注：附注册会计师证书扫描件（如有）或法律职业资格证书扫描件（如有）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对宏观市场分析，近期利率走势，本期债券定价，及余额包销能力相关措施</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1.措施完善、合理可行，能较好的满足本项目要求得8-10分；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2.较合理完善，可行性一般，能满足本项目要求得6-8分；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3.合理性一般，可操作性一般得 6分。</w:t>
            </w:r>
          </w:p>
          <w:p>
            <w:pPr>
              <w:pStyle w:val="16"/>
              <w:ind w:left="0" w:leftChars="0" w:firstLine="0" w:firstLineChars="0"/>
              <w:rPr>
                <w:rFonts w:hint="default" w:eastAsia="宋体"/>
                <w:highlight w:val="none"/>
                <w:lang w:val="en-US" w:eastAsia="zh-CN"/>
              </w:rPr>
            </w:pPr>
            <w:r>
              <w:rPr>
                <w:rFonts w:hint="eastAsia"/>
                <w:highlight w:val="none"/>
                <w:lang w:val="en-US" w:eastAsia="zh-CN"/>
              </w:rPr>
              <w:t>缺项或合理性较差得0分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1.措施完善、合理可行，能较好的满足本项目要求得8-10分；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2.较合理完善，可行性一般，能满足本项目要求得6-8分；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3.合理性欠佳，可操作性一般得6分。</w:t>
            </w:r>
          </w:p>
          <w:p>
            <w:pPr>
              <w:pStyle w:val="16"/>
              <w:ind w:left="0" w:leftChars="0" w:firstLine="0" w:firstLineChars="0"/>
              <w:rPr>
                <w:rFonts w:hint="eastAsia"/>
                <w:highlight w:val="none"/>
              </w:rPr>
            </w:pPr>
            <w:r>
              <w:rPr>
                <w:rFonts w:hint="eastAsia"/>
                <w:highlight w:val="none"/>
                <w:lang w:val="en-US" w:eastAsia="zh-CN"/>
              </w:rPr>
              <w:t>缺项或合理性较差得0分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评标价</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得分计算公式：</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本次报价上限为不超过0.05%/年（含），超过报价上限为无效报价。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其中，F=</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0；E1=0.</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；E2=0.</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；（报价不得违背《非金融企业债务融资工具承销机构自律公约》相关要求）</w:t>
            </w:r>
            <w:r>
              <w:rPr>
                <w:rFonts w:hint="eastAsia" w:ascii="宋体" w:hAnsi="宋体" w:cs="宋体"/>
                <w:i w:val="0"/>
                <w:iCs w:val="0"/>
                <w:color w:val="auto"/>
                <w:kern w:val="0"/>
                <w:sz w:val="21"/>
                <w:szCs w:val="21"/>
                <w:highlight w:val="none"/>
                <w:u w:val="none"/>
                <w:lang w:val="en-US" w:eastAsia="zh-CN" w:bidi="ar"/>
              </w:rPr>
              <w:t>。</w:t>
            </w:r>
          </w:p>
          <w:p>
            <w:pPr>
              <w:pStyle w:val="2"/>
              <w:rPr>
                <w:rFonts w:hint="eastAsia"/>
                <w:color w:val="auto"/>
                <w:highlight w:val="none"/>
              </w:rPr>
            </w:pPr>
            <w:r>
              <w:rPr>
                <w:rFonts w:hint="eastAsia" w:ascii="宋体" w:hAnsi="宋体" w:eastAsia="宋体" w:cs="宋体"/>
                <w:color w:val="auto"/>
                <w:sz w:val="21"/>
                <w:szCs w:val="21"/>
                <w:highlight w:val="none"/>
              </w:rPr>
              <w:t>评标价</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保留小数点后两位，小数点后第三位四舍五入</w:t>
            </w:r>
          </w:p>
        </w:tc>
      </w:tr>
    </w:tbl>
    <w:p>
      <w:pPr>
        <w:pStyle w:val="25"/>
        <w:ind w:firstLine="560"/>
        <w:rPr>
          <w:rFonts w:ascii="宋体" w:hAnsi="宋体" w:cs="宋体"/>
          <w:bCs/>
          <w:color w:val="auto"/>
          <w:highlight w:val="none"/>
        </w:rPr>
      </w:pPr>
    </w:p>
    <w:p>
      <w:pPr>
        <w:pStyle w:val="25"/>
        <w:ind w:firstLine="560"/>
        <w:rPr>
          <w:rFonts w:ascii="宋体" w:hAnsi="宋体" w:cs="宋体"/>
          <w:bCs/>
          <w:color w:val="auto"/>
          <w:highlight w:val="none"/>
        </w:rPr>
      </w:pPr>
      <w:r>
        <w:rPr>
          <w:rFonts w:ascii="宋体" w:hAnsi="宋体" w:cs="宋体"/>
          <w:bCs/>
          <w:color w:val="auto"/>
          <w:highlight w:val="none"/>
        </w:rPr>
        <w:br w:type="page"/>
      </w:r>
    </w:p>
    <w:tbl>
      <w:tblPr>
        <w:tblStyle w:val="17"/>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690"/>
        <w:gridCol w:w="765"/>
        <w:gridCol w:w="620"/>
        <w:gridCol w:w="6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791" w:type="dxa"/>
            <w:gridSpan w:val="4"/>
            <w:tcBorders>
              <w:top w:val="nil"/>
              <w:left w:val="nil"/>
              <w:bottom w:val="nil"/>
              <w:right w:val="nil"/>
            </w:tcBorders>
            <w:noWrap/>
            <w:vAlign w:val="center"/>
          </w:tcPr>
          <w:p>
            <w:pPr>
              <w:rPr>
                <w:rFonts w:hint="eastAsia" w:ascii="宋体" w:hAnsi="宋体" w:eastAsia="宋体" w:cs="宋体"/>
                <w:i w:val="0"/>
                <w:iCs w:val="0"/>
                <w:color w:val="auto"/>
                <w:sz w:val="21"/>
                <w:szCs w:val="21"/>
                <w:highlight w:val="none"/>
                <w:u w:val="none"/>
              </w:rPr>
            </w:pPr>
            <w:bookmarkStart w:id="8" w:name="_GoBack"/>
            <w:r>
              <w:rPr>
                <w:rFonts w:hint="eastAsia" w:ascii="宋体" w:hAnsi="宋体" w:eastAsia="宋体" w:cs="宋体"/>
                <w:b/>
                <w:bCs/>
                <w:i w:val="0"/>
                <w:iCs w:val="0"/>
                <w:color w:val="auto"/>
                <w:kern w:val="0"/>
                <w:sz w:val="21"/>
                <w:szCs w:val="21"/>
                <w:highlight w:val="none"/>
                <w:u w:val="none"/>
                <w:lang w:val="en-US" w:eastAsia="zh-CN" w:bidi="ar"/>
              </w:rPr>
              <w:t>二标段：银行类</w:t>
            </w:r>
          </w:p>
        </w:tc>
        <w:tc>
          <w:tcPr>
            <w:tcW w:w="6712" w:type="dxa"/>
            <w:tcBorders>
              <w:top w:val="nil"/>
              <w:left w:val="nil"/>
              <w:bottom w:val="nil"/>
              <w:right w:val="nil"/>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27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评审因素与权重分值</w:t>
            </w:r>
          </w:p>
        </w:tc>
        <w:tc>
          <w:tcPr>
            <w:tcW w:w="6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评分因素权重分值</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各评分因素</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细分项</w:t>
            </w: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商务部分</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全国范围内承销金额和只数</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承销全国范围内中期票据（含永续中票）、短期融资券（含超短期融资券）以及定向融资工具承销累计金额：承销金额≥5000亿元得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分，3000亿元≤承销金额＜5000亿元得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000亿元≤承销金额＜3000亿元得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银行”，债券分类选择“中期票据、短期融资券和定向工具”，“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承销全国范围内中期票据（含永续中票）、短期融资券（含超短期融资券）以及定向融资工具承销累计只数：承销只数≥1000只得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分，600只≤承销只数＜1000只得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分，400只≤承销只数＜600只得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银行”，债券分类选择“中期票据、短期融资券和定向工具”，“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承销金额和只数</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承销河北省范围内中期票据（含永续中票）承销累计金额：承销金额≥100亿元得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分，50亿元≤承销金额＜100亿元得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分，30亿元≤承销金额＜50亿元得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银行”，债券分类选择“中期票据”，“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承销河北省范围内中期票据（含永续中票）承销累计只数：承销只数≥20只得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分，10只≤承销只数＜20只得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分，5只≤承销只数＜10只得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分，2只≤承销只数＜5只得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分，承销只数＜</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2023年1月1日至2024年6月30日”，机构类型选择“银行”，债券分类选择“中期票据”，“企业性质”选择“地方国有企业”“地域分类”选择“全国”，主体口径选择“穿透信用主体”，勾选“联主实际比例”，以“合并母子公司”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被协会自律处分情况</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被中国银行间市场交易商协会自律处分情况：有被处罚记录扣</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分，没有被处罚记录得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注：需附中国银行间市场交易商协会官网查询结果截图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1、数据区间为2023年1月1日-2024年6月30日。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2、数据请通过中国银行间市场交易商协会官网查询，查询路径如下：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（1）进入中国银行间市场交易商协会官网-选择自律-自律处分概览；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（2）查询条件：选择“处分措施为全部”，起止时间选择“2023年1月1日至2024年6月30日”。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（3）输入承销商机构名称，点击“查询”，可看到被处分情况。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债券投资支持情况</w:t>
            </w:r>
          </w:p>
        </w:tc>
        <w:tc>
          <w:tcPr>
            <w:tcW w:w="6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各金融机构对河北高速公路集团上期公司债券投资支持情况：投资金额≥7亿元得</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分，5亿元≤承销金额＜7亿元得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分，3亿元≤承销金额＜5亿元得3分。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1、各金融机构自行填报对“21冀高债”投资金额，并与河北高速集团核对。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服务方案部分</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40</w:t>
            </w:r>
            <w:r>
              <w:rPr>
                <w:rFonts w:hint="eastAsia" w:ascii="宋体" w:hAnsi="宋体" w:eastAsia="宋体" w:cs="宋体"/>
                <w:i w:val="0"/>
                <w:iCs w:val="0"/>
                <w:color w:val="auto"/>
                <w:kern w:val="0"/>
                <w:sz w:val="21"/>
                <w:szCs w:val="21"/>
                <w:highlight w:val="none"/>
                <w:u w:val="none"/>
                <w:lang w:val="en-US" w:eastAsia="zh-CN" w:bidi="ar"/>
              </w:rPr>
              <w:t>分</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承销服务方案</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根据本项目特点和发行要求，制定项目方案，包括但不限于政策环境分析、可行性分析、时间安排、相关保障服务（包括不限于余额包销和自主投资能力等）等进行综合评价。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第一档方案详细完整、针对性强，可行性高、保障措施完备的，得8-10分；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第二档方案基本完整、针对性较强，可行性较高、保障措施较好的，得6-</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第三档方案基本完整、针对性一般、可行性一般、保障措施一般的，得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缺项或</w:t>
            </w:r>
            <w:r>
              <w:rPr>
                <w:rFonts w:hint="eastAsia" w:ascii="宋体" w:hAnsi="宋体" w:eastAsia="宋体" w:cs="宋体"/>
                <w:i w:val="0"/>
                <w:iCs w:val="0"/>
                <w:color w:val="auto"/>
                <w:kern w:val="0"/>
                <w:sz w:val="21"/>
                <w:szCs w:val="21"/>
                <w:highlight w:val="none"/>
                <w:u w:val="none"/>
                <w:lang w:val="en-US" w:eastAsia="zh-CN" w:bidi="ar"/>
              </w:rPr>
              <w:t>方案有欠缺、针对性较差、可行性一般、保障措施不足的，得0分。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项目团队配置</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项目团队配置：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color w:val="auto"/>
                <w:highlight w:val="none"/>
                <w:lang w:val="en-US" w:eastAsia="zh-CN"/>
              </w:rPr>
              <w:t>项目团队人员具备银行间交易商协会相关债券产品发行经验，有过Wind行业（二级）为“运输”债券发行（独主或牵头主）经验，根据项目团队人员配置、专业资格、项目经验、工作经历等客观因素进行综合评价，最高得4分。</w:t>
            </w:r>
          </w:p>
          <w:p>
            <w:pPr>
              <w:pStyle w:val="16"/>
              <w:ind w:left="0"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color w:val="auto"/>
                <w:highlight w:val="none"/>
                <w:lang w:val="en-US" w:eastAsia="zh-CN"/>
              </w:rPr>
              <w:t>注：项目经验的证明材料为募集说明书签字页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w:t>
            </w:r>
            <w:r>
              <w:rPr>
                <w:rFonts w:hint="eastAsia" w:ascii="宋体" w:hAnsi="宋体" w:cs="宋体"/>
                <w:i w:val="0"/>
                <w:iCs w:val="0"/>
                <w:color w:val="auto"/>
                <w:kern w:val="0"/>
                <w:sz w:val="21"/>
                <w:szCs w:val="21"/>
                <w:highlight w:val="none"/>
                <w:u w:val="none"/>
                <w:lang w:val="en-US" w:eastAsia="zh-CN" w:bidi="ar"/>
              </w:rPr>
              <w:t>中</w:t>
            </w:r>
            <w:r>
              <w:rPr>
                <w:rFonts w:hint="eastAsia" w:ascii="宋体" w:hAnsi="宋体" w:eastAsia="宋体" w:cs="宋体"/>
                <w:i w:val="0"/>
                <w:iCs w:val="0"/>
                <w:color w:val="auto"/>
                <w:kern w:val="0"/>
                <w:sz w:val="21"/>
                <w:szCs w:val="21"/>
                <w:highlight w:val="none"/>
                <w:u w:val="none"/>
                <w:lang w:val="en-US" w:eastAsia="zh-CN" w:bidi="ar"/>
              </w:rPr>
              <w:t>每有一人持有注册会计师证或法律职业资格证书</w:t>
            </w:r>
            <w:r>
              <w:rPr>
                <w:rFonts w:hint="eastAsia" w:ascii="宋体" w:hAnsi="宋体" w:cs="宋体"/>
                <w:i w:val="0"/>
                <w:iCs w:val="0"/>
                <w:color w:val="auto"/>
                <w:kern w:val="0"/>
                <w:sz w:val="21"/>
                <w:szCs w:val="21"/>
                <w:highlight w:val="none"/>
                <w:u w:val="none"/>
                <w:lang w:val="en-US" w:eastAsia="zh-CN" w:bidi="ar"/>
              </w:rPr>
              <w:t>得</w:t>
            </w:r>
            <w:r>
              <w:rPr>
                <w:rFonts w:hint="eastAsia" w:ascii="宋体" w:hAnsi="宋体" w:eastAsia="宋体" w:cs="宋体"/>
                <w:i w:val="0"/>
                <w:iCs w:val="0"/>
                <w:color w:val="auto"/>
                <w:kern w:val="0"/>
                <w:sz w:val="21"/>
                <w:szCs w:val="21"/>
                <w:highlight w:val="none"/>
                <w:u w:val="none"/>
                <w:lang w:val="en-US" w:eastAsia="zh-CN" w:bidi="ar"/>
              </w:rPr>
              <w:t>2分，</w:t>
            </w:r>
            <w:r>
              <w:rPr>
                <w:rFonts w:hint="eastAsia" w:ascii="宋体" w:hAnsi="宋体" w:cs="宋体"/>
                <w:i w:val="0"/>
                <w:iCs w:val="0"/>
                <w:color w:val="auto"/>
                <w:kern w:val="0"/>
                <w:sz w:val="21"/>
                <w:szCs w:val="21"/>
                <w:highlight w:val="none"/>
                <w:u w:val="none"/>
                <w:lang w:val="en-US" w:eastAsia="zh-CN" w:bidi="ar"/>
              </w:rPr>
              <w:t>最高得6</w:t>
            </w:r>
            <w:r>
              <w:rPr>
                <w:rFonts w:hint="eastAsia" w:ascii="宋体" w:hAnsi="宋体" w:eastAsia="宋体" w:cs="宋体"/>
                <w:i w:val="0"/>
                <w:iCs w:val="0"/>
                <w:color w:val="auto"/>
                <w:kern w:val="0"/>
                <w:sz w:val="21"/>
                <w:szCs w:val="21"/>
                <w:highlight w:val="none"/>
                <w:u w:val="none"/>
                <w:lang w:val="en-US" w:eastAsia="zh-CN" w:bidi="ar"/>
              </w:rPr>
              <w:t>分。</w:t>
            </w:r>
          </w:p>
          <w:p>
            <w:pPr>
              <w:pStyle w:val="10"/>
              <w:rPr>
                <w:rFonts w:hint="eastAsia"/>
                <w:highlight w:val="none"/>
              </w:rPr>
            </w:pPr>
            <w:r>
              <w:rPr>
                <w:rFonts w:hint="eastAsia" w:ascii="宋体" w:hAnsi="宋体" w:eastAsia="宋体" w:cs="宋体"/>
                <w:i w:val="0"/>
                <w:iCs w:val="0"/>
                <w:color w:val="auto"/>
                <w:kern w:val="0"/>
                <w:sz w:val="21"/>
                <w:szCs w:val="21"/>
                <w:highlight w:val="none"/>
                <w:u w:val="none"/>
                <w:lang w:val="en-US" w:eastAsia="zh-CN" w:bidi="ar"/>
              </w:rPr>
              <w:t>注：附注册会计师证书扫描件（如有）或法律职业资格证书扫描件（如有）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对宏观市场分析，近期利率走势，本期债券定价，及余额包销能力相关措施</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1.措施完善、合理可行，能较好的满足本项目要求得8-10分；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2.较合理完善，可行性一般，能满足本项目要求得6-8分；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3.合理性一般，可操作性一般得 6分；</w:t>
            </w:r>
          </w:p>
          <w:p>
            <w:pPr>
              <w:pStyle w:val="16"/>
              <w:ind w:left="0" w:leftChars="0" w:firstLine="0" w:firstLineChars="0"/>
              <w:rPr>
                <w:rFonts w:hint="eastAsia"/>
                <w:highlight w:val="none"/>
              </w:rPr>
            </w:pPr>
            <w:r>
              <w:rPr>
                <w:rFonts w:hint="eastAsia" w:ascii="宋体" w:hAnsi="宋体" w:cs="宋体"/>
                <w:i w:val="0"/>
                <w:iCs w:val="0"/>
                <w:color w:val="auto"/>
                <w:kern w:val="0"/>
                <w:sz w:val="21"/>
                <w:szCs w:val="21"/>
                <w:highlight w:val="none"/>
                <w:u w:val="none"/>
                <w:lang w:val="en-US" w:eastAsia="zh-CN" w:bidi="ar"/>
              </w:rPr>
              <w:t>缺项或</w:t>
            </w:r>
            <w:r>
              <w:rPr>
                <w:rFonts w:hint="eastAsia" w:ascii="宋体" w:hAnsi="宋体" w:eastAsia="宋体" w:cs="宋体"/>
                <w:i w:val="0"/>
                <w:iCs w:val="0"/>
                <w:color w:val="auto"/>
                <w:kern w:val="0"/>
                <w:sz w:val="21"/>
                <w:szCs w:val="21"/>
                <w:highlight w:val="none"/>
                <w:u w:val="none"/>
                <w:lang w:val="en-US" w:eastAsia="zh-CN" w:bidi="ar"/>
              </w:rPr>
              <w:t>合理性欠佳得0分。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1.措施完善、合理可行，能较好的满足本项目要求得8-10分；</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 xml:space="preserve">2.较合理完善，可行性一般，能满足本项目要求得6-8分； </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3.合理性一般，可操作性一般得6分。</w:t>
            </w:r>
          </w:p>
          <w:p>
            <w:pPr>
              <w:pStyle w:val="16"/>
              <w:ind w:left="0" w:leftChars="0" w:firstLine="0" w:firstLineChars="0"/>
              <w:rPr>
                <w:rFonts w:hint="eastAsia"/>
                <w:highlight w:val="none"/>
              </w:rPr>
            </w:pPr>
            <w:r>
              <w:rPr>
                <w:rFonts w:hint="eastAsia" w:ascii="宋体" w:hAnsi="宋体" w:cs="宋体"/>
                <w:i w:val="0"/>
                <w:iCs w:val="0"/>
                <w:color w:val="auto"/>
                <w:kern w:val="0"/>
                <w:sz w:val="21"/>
                <w:szCs w:val="21"/>
                <w:highlight w:val="none"/>
                <w:u w:val="none"/>
                <w:lang w:val="en-US" w:eastAsia="zh-CN" w:bidi="ar"/>
              </w:rPr>
              <w:t>缺项或</w:t>
            </w:r>
            <w:r>
              <w:rPr>
                <w:rFonts w:hint="eastAsia" w:ascii="宋体" w:hAnsi="宋体" w:eastAsia="宋体" w:cs="宋体"/>
                <w:i w:val="0"/>
                <w:iCs w:val="0"/>
                <w:color w:val="auto"/>
                <w:kern w:val="0"/>
                <w:sz w:val="21"/>
                <w:szCs w:val="21"/>
                <w:highlight w:val="none"/>
                <w:u w:val="none"/>
                <w:lang w:val="en-US" w:eastAsia="zh-CN" w:bidi="ar"/>
              </w:rPr>
              <w:t>合理性欠佳得0分。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w:t>
            </w:r>
            <w:r>
              <w:rPr>
                <w:rFonts w:hint="eastAsia" w:ascii="宋体" w:hAnsi="宋体" w:cs="宋体"/>
                <w:i w:val="0"/>
                <w:iCs w:val="0"/>
                <w:color w:val="auto"/>
                <w:kern w:val="0"/>
                <w:sz w:val="21"/>
                <w:szCs w:val="21"/>
                <w:highlight w:val="none"/>
                <w:u w:val="none"/>
                <w:lang w:val="en-US" w:eastAsia="zh-CN" w:bidi="ar"/>
              </w:rPr>
              <w:t>标</w:t>
            </w:r>
            <w:r>
              <w:rPr>
                <w:rFonts w:hint="eastAsia" w:ascii="宋体" w:hAnsi="宋体" w:eastAsia="宋体" w:cs="宋体"/>
                <w:i w:val="0"/>
                <w:iCs w:val="0"/>
                <w:color w:val="auto"/>
                <w:kern w:val="0"/>
                <w:sz w:val="21"/>
                <w:szCs w:val="21"/>
                <w:highlight w:val="none"/>
                <w:u w:val="none"/>
                <w:lang w:val="en-US" w:eastAsia="zh-CN" w:bidi="ar"/>
              </w:rPr>
              <w:t>价</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80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得分计算公式：</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本次报价上限为不超过0.05%/年（含），超过报价上限为无效报价。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0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0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0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color w:val="auto"/>
                <w:highlight w:val="none"/>
                <w:lang w:val="en-US" w:eastAsia="zh-CN"/>
              </w:rPr>
              <w:t>其中，F=30；E1=0.2；E2=0.1；（报价不得违背《非金融企业债务融资工具承销机构自律公约》相关要求）</w:t>
            </w:r>
          </w:p>
          <w:p>
            <w:pPr>
              <w:pStyle w:val="16"/>
              <w:ind w:left="0" w:leftChars="0" w:firstLine="0" w:firstLineChars="0"/>
              <w:rPr>
                <w:rFonts w:hint="eastAsia"/>
                <w:color w:val="auto"/>
                <w:highlight w:val="none"/>
              </w:rPr>
            </w:pPr>
            <w:r>
              <w:rPr>
                <w:rFonts w:hint="eastAsia" w:ascii="宋体" w:hAnsi="宋体" w:eastAsia="宋体" w:cs="宋体"/>
                <w:color w:val="auto"/>
                <w:sz w:val="21"/>
                <w:szCs w:val="21"/>
                <w:highlight w:val="none"/>
              </w:rPr>
              <w:t>评标价</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保留小数点后两位，小数点后第三位四舍五入</w:t>
            </w:r>
          </w:p>
        </w:tc>
      </w:tr>
      <w:bookmarkEnd w:id="8"/>
    </w:tbl>
    <w:p>
      <w:pPr>
        <w:rPr>
          <w:rFonts w:hint="eastAsia"/>
          <w:color w:val="auto"/>
          <w:highlight w:val="none"/>
          <w:lang w:eastAsia="zh-CN"/>
        </w:rPr>
      </w:pPr>
      <w:r>
        <w:rPr>
          <w:rFonts w:hint="eastAsia" w:ascii="宋体" w:hAnsi="宋体" w:cs="宋体"/>
          <w:bCs/>
          <w:color w:val="auto"/>
          <w:highlight w:val="none"/>
        </w:rPr>
        <w:t>详细评审因素</w:t>
      </w:r>
      <w:r>
        <w:rPr>
          <w:rFonts w:hint="eastAsia" w:ascii="宋体" w:hAnsi="宋体" w:cs="宋体"/>
          <w:bCs/>
          <w:color w:val="auto"/>
          <w:kern w:val="0"/>
          <w:szCs w:val="21"/>
          <w:highlight w:val="none"/>
        </w:rPr>
        <w:t>注解：各评分因素得分以</w:t>
      </w:r>
      <w:r>
        <w:rPr>
          <w:rFonts w:hint="eastAsia" w:ascii="宋体" w:hAnsi="宋体" w:cs="宋体"/>
          <w:bCs/>
          <w:color w:val="auto"/>
          <w:kern w:val="0"/>
          <w:szCs w:val="21"/>
          <w:highlight w:val="none"/>
          <w:lang w:eastAsia="zh-CN"/>
        </w:rPr>
        <w:t>评标</w:t>
      </w:r>
      <w:r>
        <w:rPr>
          <w:rFonts w:hint="eastAsia" w:ascii="宋体" w:hAnsi="宋体" w:cs="宋体"/>
          <w:bCs/>
          <w:color w:val="auto"/>
          <w:kern w:val="0"/>
          <w:szCs w:val="21"/>
          <w:highlight w:val="none"/>
        </w:rPr>
        <w:t>委员会各成员打分的算术平均值确定(打分保留一位小数，计算得分保留两位小数，第三位四舍五入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E36E"/>
    <w:multiLevelType w:val="multilevel"/>
    <w:tmpl w:val="0047E36E"/>
    <w:lvl w:ilvl="0" w:tentative="0">
      <w:start w:val="1"/>
      <w:numFmt w:val="chineseCountingThousand"/>
      <w:pStyle w:val="3"/>
      <w:suff w:val="space"/>
      <w:lvlText w:val="%1、"/>
      <w:lvlJc w:val="left"/>
      <w:pPr>
        <w:ind w:left="0" w:firstLine="0"/>
      </w:pPr>
      <w:rPr>
        <w:rFonts w:hint="eastAsia"/>
        <w:b/>
        <w:i w:val="0"/>
      </w:rPr>
    </w:lvl>
    <w:lvl w:ilvl="1" w:tentative="0">
      <w:start w:val="1"/>
      <w:numFmt w:val="decimal"/>
      <w:suff w:val="space"/>
      <w:lvlText w:val="%2."/>
      <w:lvlJc w:val="left"/>
      <w:pPr>
        <w:ind w:left="0" w:firstLine="0"/>
      </w:pPr>
      <w:rPr>
        <w:rFonts w:hint="eastAsia"/>
        <w:b/>
        <w:i w:val="0"/>
      </w:rPr>
    </w:lvl>
    <w:lvl w:ilvl="2" w:tentative="0">
      <w:start w:val="1"/>
      <w:numFmt w:val="decimal"/>
      <w:suff w:val="space"/>
      <w:lvlText w:val="%2.%3"/>
      <w:lvlJc w:val="left"/>
      <w:pPr>
        <w:ind w:left="141" w:firstLine="0"/>
      </w:pPr>
      <w:rPr>
        <w:rFonts w:hint="eastAsia"/>
        <w:b/>
        <w:i w:val="0"/>
      </w:rPr>
    </w:lvl>
    <w:lvl w:ilvl="3" w:tentative="0">
      <w:start w:val="1"/>
      <w:numFmt w:val="decimal"/>
      <w:suff w:val="space"/>
      <w:lvlText w:val="%2.%3.%4"/>
      <w:lvlJc w:val="left"/>
      <w:pPr>
        <w:ind w:left="284" w:firstLine="0"/>
      </w:pPr>
      <w:rPr>
        <w:rFonts w:hint="eastAsia"/>
        <w:b/>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suff w:val="space"/>
      <w:lvlText w:val="%2.%3.%4.%5"/>
      <w:lvlJc w:val="left"/>
      <w:pPr>
        <w:ind w:left="0" w:firstLine="0"/>
      </w:pPr>
      <w:rPr>
        <w:rFonts w:hint="eastAsia"/>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156C6F2A"/>
    <w:rsid w:val="06AB107B"/>
    <w:rsid w:val="0ECD0571"/>
    <w:rsid w:val="11396325"/>
    <w:rsid w:val="14E0681B"/>
    <w:rsid w:val="156C6F2A"/>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6B3A43AC"/>
    <w:rsid w:val="7266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widowControl/>
      <w:numPr>
        <w:ilvl w:val="0"/>
        <w:numId w:val="1"/>
      </w:numPr>
      <w:spacing w:before="50" w:beforeLines="50" w:after="50" w:afterLines="50" w:line="360" w:lineRule="auto"/>
      <w:jc w:val="left"/>
      <w:outlineLvl w:val="0"/>
    </w:pPr>
    <w:rPr>
      <w:rFonts w:ascii="宋体" w:hAnsi="宋体" w:eastAsia="宋体" w:cs="宋体"/>
      <w:b/>
      <w:bCs/>
      <w:kern w:val="36"/>
      <w:sz w:val="32"/>
      <w:szCs w:val="32"/>
      <w:lang w:eastAsia="en-US"/>
    </w:rPr>
  </w:style>
  <w:style w:type="paragraph" w:styleId="4">
    <w:name w:val="heading 2"/>
    <w:basedOn w:val="1"/>
    <w:next w:val="1"/>
    <w:link w:val="19"/>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5">
    <w:name w:val="heading 3"/>
    <w:basedOn w:val="1"/>
    <w:next w:val="1"/>
    <w:link w:val="21"/>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6">
    <w:name w:val="heading 4"/>
    <w:basedOn w:val="1"/>
    <w:next w:val="1"/>
    <w:link w:val="22"/>
    <w:semiHidden/>
    <w:unhideWhenUsed/>
    <w:qFormat/>
    <w:uiPriority w:val="0"/>
    <w:pPr>
      <w:ind w:left="237"/>
      <w:outlineLvl w:val="3"/>
    </w:pPr>
    <w:rPr>
      <w:rFonts w:ascii="宋体" w:hAnsi="宋体" w:eastAsia="宋体" w:cs="Times New Roman"/>
      <w:b/>
      <w:sz w:val="28"/>
      <w:szCs w:val="28"/>
      <w:lang w:eastAsia="en-US"/>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8">
    <w:name w:val="Default Paragraph Font"/>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9">
    <w:name w:val="annotation text"/>
    <w:basedOn w:val="1"/>
    <w:next w:val="8"/>
    <w:qFormat/>
    <w:uiPriority w:val="0"/>
    <w:pPr>
      <w:jc w:val="left"/>
    </w:pPr>
  </w:style>
  <w:style w:type="paragraph" w:styleId="10">
    <w:name w:val="Body Text"/>
    <w:basedOn w:val="1"/>
    <w:next w:val="11"/>
    <w:qFormat/>
    <w:uiPriority w:val="0"/>
    <w:pPr>
      <w:spacing w:after="120"/>
    </w:pPr>
  </w:style>
  <w:style w:type="paragraph" w:customStyle="1" w:styleId="11">
    <w:name w:val="正文部分 Char Char Char"/>
    <w:basedOn w:val="10"/>
    <w:next w:val="12"/>
    <w:qFormat/>
    <w:uiPriority w:val="0"/>
    <w:pPr>
      <w:spacing w:line="460" w:lineRule="exact"/>
      <w:textAlignment w:val="baseline"/>
    </w:pPr>
    <w:rPr>
      <w:rFonts w:ascii="等线" w:hAnsi="等线" w:eastAsia="等线"/>
    </w:rPr>
  </w:style>
  <w:style w:type="paragraph" w:customStyle="1" w:styleId="12">
    <w:name w:val="章标题"/>
    <w:basedOn w:val="13"/>
    <w:qFormat/>
    <w:uiPriority w:val="0"/>
    <w:rPr>
      <w:rFonts w:ascii="等线" w:hAnsi="等线"/>
    </w:rPr>
  </w:style>
  <w:style w:type="paragraph" w:styleId="1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4">
    <w:name w:val="Body Text Indent"/>
    <w:basedOn w:val="1"/>
    <w:next w:val="15"/>
    <w:qFormat/>
    <w:uiPriority w:val="0"/>
    <w:pPr>
      <w:spacing w:after="120"/>
      <w:ind w:left="200" w:leftChars="200"/>
    </w:pPr>
  </w:style>
  <w:style w:type="paragraph" w:styleId="15">
    <w:name w:val="toc 8"/>
    <w:basedOn w:val="1"/>
    <w:next w:val="1"/>
    <w:qFormat/>
    <w:uiPriority w:val="39"/>
    <w:pPr>
      <w:ind w:left="1470"/>
    </w:pPr>
    <w:rPr>
      <w:sz w:val="18"/>
      <w:szCs w:val="18"/>
    </w:rPr>
  </w:style>
  <w:style w:type="paragraph" w:styleId="16">
    <w:name w:val="Body Text First Indent 2"/>
    <w:basedOn w:val="14"/>
    <w:next w:val="9"/>
    <w:qFormat/>
    <w:uiPriority w:val="0"/>
    <w:pPr>
      <w:widowControl w:val="0"/>
      <w:ind w:firstLine="420" w:firstLineChars="200"/>
      <w:jc w:val="both"/>
    </w:pPr>
    <w:rPr>
      <w:rFonts w:cs="Times New Roman"/>
      <w:kern w:val="2"/>
      <w:sz w:val="21"/>
      <w:szCs w:val="24"/>
    </w:rPr>
  </w:style>
  <w:style w:type="character" w:customStyle="1" w:styleId="19">
    <w:name w:val="标题 2 Char"/>
    <w:basedOn w:val="18"/>
    <w:link w:val="4"/>
    <w:qFormat/>
    <w:uiPriority w:val="9"/>
    <w:rPr>
      <w:rFonts w:ascii="宋体" w:hAnsi="宋体" w:eastAsia="宋体" w:cs="宋体"/>
      <w:b/>
      <w:bCs/>
      <w:sz w:val="24"/>
      <w:szCs w:val="24"/>
      <w:lang w:eastAsia="en-US"/>
    </w:rPr>
  </w:style>
  <w:style w:type="character" w:customStyle="1" w:styleId="20">
    <w:name w:val="标题 1 Char"/>
    <w:basedOn w:val="18"/>
    <w:link w:val="3"/>
    <w:qFormat/>
    <w:uiPriority w:val="9"/>
    <w:rPr>
      <w:rFonts w:ascii="宋体" w:hAnsi="宋体" w:eastAsia="宋体" w:cs="宋体"/>
      <w:b/>
      <w:bCs/>
      <w:kern w:val="36"/>
      <w:sz w:val="32"/>
      <w:szCs w:val="32"/>
      <w:lang w:eastAsia="en-US"/>
    </w:rPr>
  </w:style>
  <w:style w:type="character" w:customStyle="1" w:styleId="21">
    <w:name w:val="标题 3 Char"/>
    <w:basedOn w:val="18"/>
    <w:link w:val="5"/>
    <w:qFormat/>
    <w:uiPriority w:val="9"/>
    <w:rPr>
      <w:rFonts w:ascii="宋体" w:hAnsi="宋体" w:eastAsia="宋体" w:cs="宋体"/>
      <w:b/>
      <w:bCs/>
      <w:kern w:val="0"/>
      <w:sz w:val="24"/>
      <w:szCs w:val="24"/>
      <w:lang w:eastAsia="en-US"/>
    </w:rPr>
  </w:style>
  <w:style w:type="character" w:customStyle="1" w:styleId="22">
    <w:name w:val="标题 4 字符"/>
    <w:link w:val="6"/>
    <w:qFormat/>
    <w:uiPriority w:val="0"/>
    <w:rPr>
      <w:rFonts w:ascii="宋体" w:hAnsi="宋体" w:eastAsia="宋体" w:cs="Times New Roman"/>
      <w:b/>
      <w:sz w:val="28"/>
      <w:szCs w:val="28"/>
      <w:lang w:eastAsia="en-US"/>
    </w:rPr>
  </w:style>
  <w:style w:type="character" w:customStyle="1" w:styleId="23">
    <w:name w:val="目录4 Char Char"/>
    <w:link w:val="24"/>
    <w:qFormat/>
    <w:uiPriority w:val="0"/>
    <w:rPr>
      <w:rFonts w:ascii="黑体" w:eastAsia="黑体"/>
      <w:sz w:val="24"/>
    </w:rPr>
  </w:style>
  <w:style w:type="paragraph" w:customStyle="1" w:styleId="24">
    <w:name w:val="目录4"/>
    <w:basedOn w:val="1"/>
    <w:link w:val="23"/>
    <w:qFormat/>
    <w:uiPriority w:val="0"/>
    <w:pPr>
      <w:spacing w:beforeLines="50" w:afterLines="50" w:line="400" w:lineRule="exact"/>
    </w:pPr>
    <w:rPr>
      <w:rFonts w:ascii="黑体" w:eastAsia="黑体"/>
      <w:sz w:val="24"/>
    </w:rPr>
  </w:style>
  <w:style w:type="paragraph" w:customStyle="1" w:styleId="25">
    <w:name w:val="1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2024-08-23T00:54:00Z</dcterms:created>
  <dc:creator>代理</dc:creator>
  <cp:lastModifiedBy>李娜</cp:lastModifiedBy>
  <dcterms:modified xsi:type="dcterms:W3CDTF">2024-08-23T01:01:43Z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431943C6C6CA4EB099252E6B188BDC1C</vt:lpwstr>
  </property>
</Properties>
</file>