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微软雅黑"/>
          <w:b/>
          <w:color w:val="auto"/>
          <w:sz w:val="28"/>
          <w:szCs w:val="28"/>
          <w:highlight w:val="none"/>
        </w:rPr>
      </w:pPr>
      <w:r>
        <w:rPr>
          <w:rFonts w:hint="eastAsia" w:ascii="宋体" w:hAnsi="宋体" w:cs="微软雅黑"/>
          <w:b/>
          <w:color w:val="auto"/>
          <w:sz w:val="28"/>
          <w:szCs w:val="28"/>
          <w:highlight w:val="none"/>
        </w:rPr>
        <w:t>附件1：资格审查条件</w:t>
      </w:r>
    </w:p>
    <w:p>
      <w:pPr>
        <w:pStyle w:val="11"/>
        <w:adjustRightInd w:val="0"/>
        <w:snapToGrid w:val="0"/>
        <w:ind w:firstLine="482"/>
        <w:jc w:val="center"/>
        <w:rPr>
          <w:rFonts w:ascii="宋体" w:hAnsi="宋体"/>
          <w:b/>
          <w:color w:val="auto"/>
          <w:sz w:val="24"/>
          <w:szCs w:val="24"/>
          <w:highlight w:val="none"/>
          <w:shd w:val="clear" w:color="auto" w:fill="FFFFFF"/>
        </w:rPr>
      </w:pPr>
    </w:p>
    <w:p>
      <w:pPr>
        <w:pStyle w:val="11"/>
        <w:adjustRightInd w:val="0"/>
        <w:snapToGrid w:val="0"/>
        <w:ind w:firstLine="482"/>
        <w:jc w:val="center"/>
        <w:rPr>
          <w:rFonts w:ascii="宋体" w:hAnsi="宋体"/>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1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资质最低条件</w:t>
      </w:r>
      <w:r>
        <w:rPr>
          <w:rFonts w:ascii="宋体" w:hAnsi="宋体"/>
          <w:b/>
          <w:color w:val="auto"/>
          <w:sz w:val="24"/>
          <w:szCs w:val="24"/>
          <w:highlight w:val="none"/>
          <w:shd w:val="clear" w:color="auto" w:fill="FFFFFF"/>
        </w:rPr>
        <w:t>)</w:t>
      </w:r>
    </w:p>
    <w:tbl>
      <w:tblPr>
        <w:tblStyle w:val="9"/>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70" w:hRule="atLeast"/>
          <w:tblHeader/>
          <w:jc w:val="center"/>
        </w:trPr>
        <w:tc>
          <w:tcPr>
            <w:tcW w:w="9072" w:type="dxa"/>
            <w:noWrap w:val="0"/>
            <w:vAlign w:val="center"/>
          </w:tcPr>
          <w:p>
            <w:pPr>
              <w:adjustRightInd w:val="0"/>
              <w:snapToGrid w:val="0"/>
              <w:jc w:val="center"/>
              <w:rPr>
                <w:rFonts w:ascii="宋体" w:hAnsi="宋体" w:cs="宋体"/>
                <w:b/>
                <w:bCs/>
                <w:color w:val="auto"/>
                <w:sz w:val="24"/>
                <w:szCs w:val="24"/>
                <w:highlight w:val="none"/>
                <w:shd w:val="clear" w:color="auto" w:fill="FFFFFF"/>
              </w:rPr>
            </w:pPr>
            <w:r>
              <w:rPr>
                <w:rFonts w:hint="eastAsia" w:ascii="宋体" w:hAnsi="宋体" w:cs="宋体"/>
                <w:b/>
                <w:bCs/>
                <w:color w:val="auto"/>
                <w:sz w:val="24"/>
                <w:szCs w:val="24"/>
                <w:highlight w:val="none"/>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917" w:hRule="atLeast"/>
          <w:jc w:val="center"/>
        </w:trPr>
        <w:tc>
          <w:tcPr>
            <w:tcW w:w="9072" w:type="dxa"/>
            <w:noWrap w:val="0"/>
            <w:vAlign w:val="center"/>
          </w:tcPr>
          <w:p>
            <w:pPr>
              <w:adjustRightInd w:val="0"/>
              <w:snapToGrid w:val="0"/>
              <w:spacing w:line="360" w:lineRule="auto"/>
              <w:ind w:firstLine="480" w:firstLineChars="200"/>
              <w:rPr>
                <w:rFonts w:ascii="宋体" w:hAnsi="宋体"/>
                <w:color w:val="auto"/>
                <w:sz w:val="24"/>
                <w:szCs w:val="24"/>
                <w:highlight w:val="none"/>
                <w:shd w:val="clear" w:color="auto" w:fill="FFFFFF"/>
              </w:rPr>
            </w:pPr>
            <w:r>
              <w:rPr>
                <w:rFonts w:hint="eastAsia" w:ascii="宋体" w:hAnsi="宋体"/>
                <w:color w:val="auto"/>
                <w:sz w:val="24"/>
                <w:szCs w:val="24"/>
                <w:highlight w:val="none"/>
              </w:rPr>
              <w:t>投标人应是中华人民共和国境内的法人或其他组织</w:t>
            </w:r>
            <w:r>
              <w:rPr>
                <w:rFonts w:hint="eastAsia" w:ascii="宋体" w:hAnsi="宋体"/>
                <w:color w:val="auto"/>
                <w:sz w:val="24"/>
                <w:szCs w:val="24"/>
                <w:highlight w:val="none"/>
                <w:shd w:val="clear" w:color="auto" w:fill="FFFFFF"/>
              </w:rPr>
              <w:t>，持有有效的营业执照。</w:t>
            </w:r>
          </w:p>
        </w:tc>
      </w:tr>
    </w:tbl>
    <w:p>
      <w:pPr>
        <w:pStyle w:val="11"/>
        <w:adjustRightInd w:val="0"/>
        <w:snapToGrid w:val="0"/>
        <w:spacing w:line="360" w:lineRule="auto"/>
        <w:ind w:firstLine="482"/>
        <w:jc w:val="center"/>
        <w:rPr>
          <w:rFonts w:ascii="宋体" w:hAnsi="宋体"/>
          <w:b/>
          <w:color w:val="auto"/>
          <w:sz w:val="24"/>
          <w:szCs w:val="24"/>
          <w:highlight w:val="none"/>
          <w:shd w:val="clear" w:color="auto" w:fill="FFFFFF"/>
        </w:rPr>
      </w:pPr>
      <w:bookmarkStart w:id="0" w:name="_Toc524343454"/>
    </w:p>
    <w:p>
      <w:pPr>
        <w:pStyle w:val="11"/>
        <w:adjustRightInd w:val="0"/>
        <w:snapToGrid w:val="0"/>
        <w:spacing w:line="360" w:lineRule="auto"/>
        <w:ind w:firstLine="482"/>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w:t>
      </w:r>
      <w:r>
        <w:rPr>
          <w:rFonts w:ascii="宋体" w:hAnsi="宋体"/>
          <w:b/>
          <w:color w:val="auto"/>
          <w:sz w:val="24"/>
          <w:szCs w:val="24"/>
          <w:highlight w:val="none"/>
          <w:shd w:val="clear" w:color="auto" w:fill="FFFFFF"/>
        </w:rPr>
        <w:t xml:space="preserve">2  </w:t>
      </w:r>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业绩最低要求</w:t>
      </w:r>
      <w:r>
        <w:rPr>
          <w:rFonts w:ascii="宋体" w:hAnsi="宋体"/>
          <w:b/>
          <w:color w:val="auto"/>
          <w:sz w:val="24"/>
          <w:szCs w:val="24"/>
          <w:highlight w:val="none"/>
          <w:shd w:val="clear" w:color="auto" w:fill="FFFFFF"/>
        </w:rPr>
        <w:t>)</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1"/>
        <w:gridCol w:w="7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141" w:type="dxa"/>
            <w:noWrap w:val="0"/>
            <w:vAlign w:val="center"/>
          </w:tcPr>
          <w:p>
            <w:pPr>
              <w:jc w:val="center"/>
              <w:textAlignment w:val="center"/>
              <w:rPr>
                <w:rFonts w:ascii="宋体" w:hAnsi="宋体" w:cs="宋体"/>
                <w:b/>
                <w:color w:val="auto"/>
                <w:sz w:val="24"/>
                <w:szCs w:val="24"/>
                <w:highlight w:val="none"/>
              </w:rPr>
            </w:pPr>
            <w:r>
              <w:rPr>
                <w:rStyle w:val="12"/>
                <w:rFonts w:hint="default"/>
                <w:color w:val="auto"/>
                <w:sz w:val="24"/>
                <w:szCs w:val="24"/>
                <w:highlight w:val="none"/>
                <w:lang w:bidi="ar"/>
              </w:rPr>
              <w:t>标段</w:t>
            </w:r>
          </w:p>
        </w:tc>
        <w:tc>
          <w:tcPr>
            <w:tcW w:w="7931"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1141" w:type="dxa"/>
            <w:noWrap w:val="0"/>
            <w:vAlign w:val="center"/>
          </w:tcPr>
          <w:p>
            <w:pPr>
              <w:jc w:val="center"/>
              <w:textAlignment w:val="center"/>
              <w:rPr>
                <w:rFonts w:ascii="宋体" w:hAnsi="宋体" w:cs="宋体"/>
                <w:b/>
                <w:color w:val="auto"/>
                <w:sz w:val="24"/>
                <w:szCs w:val="24"/>
                <w:highlight w:val="none"/>
              </w:rPr>
            </w:pPr>
            <w:r>
              <w:rPr>
                <w:rFonts w:hint="eastAsia" w:ascii="宋体" w:hAnsi="宋体" w:cs="宋体"/>
                <w:color w:val="auto"/>
                <w:sz w:val="24"/>
                <w:szCs w:val="24"/>
                <w:highlight w:val="none"/>
                <w:lang w:bidi="ar"/>
              </w:rPr>
              <w:t>标段1</w:t>
            </w:r>
          </w:p>
        </w:tc>
        <w:tc>
          <w:tcPr>
            <w:tcW w:w="7931" w:type="dxa"/>
            <w:noWrap w:val="0"/>
            <w:vAlign w:val="center"/>
          </w:tcPr>
          <w:p>
            <w:pPr>
              <w:adjustRightInd w:val="0"/>
              <w:snapToGrid w:val="0"/>
              <w:rPr>
                <w:rFonts w:ascii="宋体" w:hAnsi="宋体" w:cs="宋体"/>
                <w:b/>
                <w:color w:val="auto"/>
                <w:sz w:val="24"/>
                <w:szCs w:val="24"/>
                <w:highlight w:val="none"/>
              </w:rPr>
            </w:pPr>
            <w:r>
              <w:rPr>
                <w:rFonts w:hint="eastAsia" w:ascii="宋体" w:hAnsi="宋体"/>
                <w:color w:val="auto"/>
                <w:sz w:val="24"/>
                <w:szCs w:val="32"/>
                <w:highlight w:val="none"/>
              </w:rPr>
              <w:t>近5年内（2019年7月1日至投标截止时间，以合同签订时间为准）至少承揽过1项办公设备（含电脑、打印机）供货业绩。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41" w:type="dxa"/>
            <w:noWrap w:val="0"/>
            <w:vAlign w:val="center"/>
          </w:tcPr>
          <w:p>
            <w:pPr>
              <w:jc w:val="center"/>
              <w:textAlignment w:val="center"/>
              <w:rPr>
                <w:rFonts w:ascii="宋体" w:hAnsi="宋体" w:cs="宋体"/>
                <w:b/>
                <w:color w:val="auto"/>
                <w:sz w:val="24"/>
                <w:szCs w:val="24"/>
                <w:highlight w:val="none"/>
              </w:rPr>
            </w:pPr>
            <w:r>
              <w:rPr>
                <w:rFonts w:hint="eastAsia" w:ascii="宋体" w:hAnsi="宋体" w:cs="宋体"/>
                <w:color w:val="auto"/>
                <w:sz w:val="24"/>
                <w:szCs w:val="24"/>
                <w:highlight w:val="none"/>
                <w:lang w:bidi="ar"/>
              </w:rPr>
              <w:t>标段2</w:t>
            </w:r>
          </w:p>
        </w:tc>
        <w:tc>
          <w:tcPr>
            <w:tcW w:w="7931" w:type="dxa"/>
            <w:noWrap w:val="0"/>
            <w:vAlign w:val="center"/>
          </w:tcPr>
          <w:p>
            <w:pPr>
              <w:adjustRightInd w:val="0"/>
              <w:snapToGrid w:val="0"/>
              <w:rPr>
                <w:rFonts w:ascii="宋体" w:hAnsi="宋体" w:cs="宋体"/>
                <w:b/>
                <w:color w:val="auto"/>
                <w:sz w:val="24"/>
                <w:szCs w:val="24"/>
                <w:highlight w:val="none"/>
              </w:rPr>
            </w:pPr>
            <w:r>
              <w:rPr>
                <w:rFonts w:hint="eastAsia" w:ascii="宋体" w:hAnsi="宋体"/>
                <w:color w:val="auto"/>
                <w:sz w:val="24"/>
                <w:szCs w:val="32"/>
                <w:highlight w:val="none"/>
              </w:rPr>
              <w:t>近5年内（2019年7月1日至投标截止时间，以合同签订时间为准）至少承揽过1项办公设备（含电脑、打印机）供货业绩。</w:t>
            </w:r>
          </w:p>
        </w:tc>
      </w:tr>
    </w:tbl>
    <w:p>
      <w:pPr>
        <w:pStyle w:val="11"/>
        <w:adjustRightInd w:val="0"/>
        <w:snapToGrid w:val="0"/>
        <w:spacing w:line="360" w:lineRule="auto"/>
        <w:ind w:firstLine="482"/>
        <w:jc w:val="center"/>
        <w:rPr>
          <w:rFonts w:ascii="宋体" w:hAnsi="宋体"/>
          <w:b/>
          <w:color w:val="auto"/>
          <w:sz w:val="24"/>
          <w:szCs w:val="24"/>
          <w:highlight w:val="none"/>
          <w:shd w:val="clear" w:color="auto" w:fill="FFFFFF"/>
        </w:rPr>
      </w:pPr>
    </w:p>
    <w:p>
      <w:pPr>
        <w:widowControl/>
        <w:spacing w:line="360" w:lineRule="auto"/>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附录3</w:t>
      </w:r>
      <w:r>
        <w:rPr>
          <w:rFonts w:ascii="宋体" w:hAnsi="宋体"/>
          <w:b/>
          <w:color w:val="auto"/>
          <w:sz w:val="24"/>
          <w:szCs w:val="24"/>
          <w:highlight w:val="none"/>
          <w:shd w:val="clear" w:color="auto" w:fill="FFFFFF"/>
        </w:rPr>
        <w:t xml:space="preserve">  </w:t>
      </w:r>
      <w:bookmarkEnd w:id="0"/>
      <w:r>
        <w:rPr>
          <w:rFonts w:hint="eastAsia" w:ascii="宋体" w:hAnsi="宋体"/>
          <w:b/>
          <w:color w:val="auto"/>
          <w:sz w:val="24"/>
          <w:szCs w:val="24"/>
          <w:highlight w:val="none"/>
          <w:shd w:val="clear" w:color="auto" w:fill="FFFFFF"/>
        </w:rPr>
        <w:t>资格审查条件</w:t>
      </w:r>
      <w:r>
        <w:rPr>
          <w:rFonts w:ascii="宋体" w:hAnsi="宋体"/>
          <w:b/>
          <w:color w:val="auto"/>
          <w:sz w:val="24"/>
          <w:szCs w:val="24"/>
          <w:highlight w:val="none"/>
          <w:shd w:val="clear" w:color="auto" w:fill="FFFFFF"/>
        </w:rPr>
        <w:t>(</w:t>
      </w:r>
      <w:r>
        <w:rPr>
          <w:rFonts w:hint="eastAsia" w:ascii="宋体" w:hAnsi="宋体"/>
          <w:b/>
          <w:color w:val="auto"/>
          <w:sz w:val="24"/>
          <w:szCs w:val="24"/>
          <w:highlight w:val="none"/>
          <w:shd w:val="clear" w:color="auto" w:fill="FFFFFF"/>
        </w:rPr>
        <w:t>信誉最低要求</w:t>
      </w:r>
      <w:r>
        <w:rPr>
          <w:rFonts w:ascii="宋体" w:hAnsi="宋体"/>
          <w:b/>
          <w:color w:val="auto"/>
          <w:sz w:val="24"/>
          <w:szCs w:val="24"/>
          <w:highlight w:val="none"/>
          <w:shd w:val="clear" w:color="auto" w:fill="FFFFFF"/>
        </w:rPr>
        <w:t>)</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noWrap w:val="0"/>
            <w:vAlign w:val="center"/>
          </w:tcPr>
          <w:p>
            <w:pPr>
              <w:adjustRightInd w:val="0"/>
              <w:snapToGrid w:val="0"/>
              <w:spacing w:line="360" w:lineRule="auto"/>
              <w:jc w:val="center"/>
              <w:rPr>
                <w:rFonts w:ascii="宋体" w:hAnsi="宋体"/>
                <w:b/>
                <w:color w:val="auto"/>
                <w:sz w:val="24"/>
                <w:szCs w:val="24"/>
                <w:highlight w:val="none"/>
                <w:shd w:val="clear" w:color="auto" w:fill="FFFFFF"/>
              </w:rPr>
            </w:pPr>
            <w:r>
              <w:rPr>
                <w:rFonts w:hint="eastAsia" w:ascii="宋体" w:hAnsi="宋体"/>
                <w:b/>
                <w:color w:val="auto"/>
                <w:sz w:val="24"/>
                <w:szCs w:val="24"/>
                <w:highlight w:val="none"/>
                <w:shd w:val="clear" w:color="auto" w:fill="FFFFFF"/>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noWrap w:val="0"/>
            <w:vAlign w:val="center"/>
          </w:tcPr>
          <w:p>
            <w:pPr>
              <w:adjustRightInd w:val="0"/>
              <w:snapToGrid w:val="0"/>
              <w:spacing w:line="360" w:lineRule="auto"/>
              <w:ind w:firstLine="480" w:firstLineChars="200"/>
              <w:rPr>
                <w:rFonts w:ascii="宋体" w:hAnsi="宋体"/>
                <w:b/>
                <w:color w:val="auto"/>
                <w:sz w:val="24"/>
                <w:szCs w:val="24"/>
                <w:highlight w:val="none"/>
                <w:shd w:val="clear" w:color="auto" w:fill="FFFFFF"/>
              </w:rPr>
            </w:pPr>
            <w:r>
              <w:rPr>
                <w:rFonts w:hint="eastAsia" w:ascii="宋体" w:hAnsi="宋体"/>
                <w:color w:val="auto"/>
                <w:sz w:val="24"/>
                <w:szCs w:val="24"/>
                <w:highlight w:val="none"/>
              </w:rPr>
              <w:t>投标人在过去1年中(2023年7月1日至今)不曾在办公设备供货合同中违约而被驱逐或因投标人自身的原因而使办公设备供货合同被解除。</w:t>
            </w:r>
          </w:p>
        </w:tc>
      </w:tr>
    </w:tbl>
    <w:p>
      <w:pPr>
        <w:pStyle w:val="8"/>
        <w:ind w:left="0" w:leftChars="0" w:firstLine="0" w:firstLineChars="0"/>
        <w:rPr>
          <w:rFonts w:ascii="宋体" w:hAnsi="宋体" w:cs="微软雅黑"/>
          <w:b/>
          <w:color w:val="auto"/>
          <w:sz w:val="28"/>
          <w:szCs w:val="28"/>
          <w:highlight w:val="none"/>
        </w:rPr>
      </w:pPr>
      <w:r>
        <w:rPr>
          <w:rFonts w:ascii="宋体" w:hAnsi="宋体" w:cs="微软雅黑"/>
          <w:b/>
          <w:color w:val="auto"/>
          <w:sz w:val="28"/>
          <w:szCs w:val="28"/>
          <w:highlight w:val="none"/>
        </w:rPr>
        <w:br w:type="page"/>
      </w:r>
      <w:r>
        <w:rPr>
          <w:rFonts w:hint="eastAsia" w:ascii="宋体" w:hAnsi="宋体" w:cs="微软雅黑"/>
          <w:b/>
          <w:color w:val="auto"/>
          <w:sz w:val="28"/>
          <w:szCs w:val="28"/>
          <w:highlight w:val="none"/>
        </w:rPr>
        <w:t>附件2：评标办法（综合评估法）</w:t>
      </w:r>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noWrap w:val="0"/>
            <w:vAlign w:val="center"/>
          </w:tcPr>
          <w:p>
            <w:pPr>
              <w:adjustRightInd w:val="0"/>
              <w:snapToGrid w:val="0"/>
              <w:jc w:val="center"/>
              <w:rPr>
                <w:rFonts w:ascii="宋体" w:hAnsi="宋体" w:cs="宋体"/>
                <w:b/>
                <w:color w:val="auto"/>
                <w:sz w:val="24"/>
                <w:szCs w:val="24"/>
                <w:highlight w:val="none"/>
              </w:rPr>
            </w:pPr>
            <w:bookmarkStart w:id="2" w:name="_GoBack"/>
            <w:r>
              <w:rPr>
                <w:rFonts w:hint="eastAsia" w:ascii="宋体" w:hAnsi="宋体" w:cs="宋体"/>
                <w:b/>
                <w:color w:val="auto"/>
                <w:sz w:val="24"/>
                <w:szCs w:val="24"/>
                <w:highlight w:val="none"/>
              </w:rPr>
              <w:t>条款号</w:t>
            </w:r>
          </w:p>
        </w:tc>
        <w:tc>
          <w:tcPr>
            <w:tcW w:w="6968"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1</w:t>
            </w:r>
          </w:p>
        </w:tc>
        <w:tc>
          <w:tcPr>
            <w:tcW w:w="1546" w:type="dxa"/>
            <w:noWrap w:val="0"/>
            <w:vAlign w:val="center"/>
          </w:tcPr>
          <w:p>
            <w:pPr>
              <w:snapToGrid w:val="0"/>
              <w:jc w:val="center"/>
              <w:rPr>
                <w:rFonts w:ascii="宋体" w:hAnsi="宋体" w:cs="宋体"/>
                <w:b/>
                <w:color w:val="auto"/>
                <w:sz w:val="24"/>
                <w:szCs w:val="24"/>
                <w:highlight w:val="none"/>
              </w:rPr>
            </w:pPr>
            <w:r>
              <w:rPr>
                <w:rFonts w:hint="eastAsia" w:ascii="宋体" w:hAnsi="宋体" w:cs="宋体"/>
                <w:color w:val="auto"/>
                <w:sz w:val="24"/>
                <w:szCs w:val="24"/>
                <w:highlight w:val="none"/>
              </w:rPr>
              <w:t>评标办法</w:t>
            </w:r>
          </w:p>
        </w:tc>
        <w:tc>
          <w:tcPr>
            <w:tcW w:w="6968" w:type="dxa"/>
            <w:noWrap w:val="0"/>
            <w:vAlign w:val="center"/>
          </w:tcPr>
          <w:p>
            <w:pPr>
              <w:rPr>
                <w:rFonts w:ascii="宋体" w:hAnsi="宋体"/>
                <w:color w:val="auto"/>
                <w:sz w:val="24"/>
                <w:szCs w:val="24"/>
                <w:highlight w:val="none"/>
              </w:rPr>
            </w:pPr>
            <w:r>
              <w:rPr>
                <w:rFonts w:ascii="宋体" w:hAnsi="宋体"/>
                <w:color w:val="auto"/>
                <w:sz w:val="24"/>
                <w:szCs w:val="24"/>
                <w:highlight w:val="none"/>
              </w:rPr>
              <w:t>本条修改为：</w:t>
            </w:r>
          </w:p>
          <w:p>
            <w:pPr>
              <w:rPr>
                <w:rFonts w:ascii="宋体" w:hAnsi="宋体"/>
                <w:color w:val="auto"/>
                <w:sz w:val="24"/>
                <w:szCs w:val="24"/>
                <w:highlight w:val="none"/>
              </w:rPr>
            </w:pPr>
            <w:r>
              <w:rPr>
                <w:rFonts w:ascii="宋体" w:hAnsi="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color w:val="auto"/>
                <w:sz w:val="24"/>
                <w:szCs w:val="24"/>
                <w:highlight w:val="none"/>
              </w:rPr>
              <w:t>当综合得分相等时按以下顺序推荐中标候选人：</w:t>
            </w:r>
          </w:p>
          <w:p>
            <w:pPr>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）以评标价低的优先</w:t>
            </w:r>
            <w:r>
              <w:rPr>
                <w:rFonts w:hint="eastAsia"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t>（2）当评标价相等时，以技术</w:t>
            </w:r>
            <w:r>
              <w:rPr>
                <w:rFonts w:hint="eastAsia" w:ascii="宋体" w:hAnsi="宋体"/>
                <w:color w:val="auto"/>
                <w:sz w:val="24"/>
                <w:szCs w:val="24"/>
                <w:highlight w:val="none"/>
              </w:rPr>
              <w:t>部分</w:t>
            </w:r>
            <w:r>
              <w:rPr>
                <w:rFonts w:ascii="宋体" w:hAnsi="宋体"/>
                <w:color w:val="auto"/>
                <w:sz w:val="24"/>
                <w:szCs w:val="24"/>
                <w:highlight w:val="none"/>
              </w:rPr>
              <w:t>得分高的优先</w:t>
            </w:r>
            <w:r>
              <w:rPr>
                <w:rFonts w:hint="eastAsia"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）技术得分</w:t>
            </w:r>
            <w:r>
              <w:rPr>
                <w:rFonts w:hint="eastAsia" w:ascii="宋体" w:hAnsi="宋体"/>
                <w:color w:val="auto"/>
                <w:sz w:val="24"/>
                <w:szCs w:val="24"/>
                <w:highlight w:val="none"/>
              </w:rPr>
              <w:t>也</w:t>
            </w:r>
            <w:r>
              <w:rPr>
                <w:rFonts w:ascii="宋体" w:hAnsi="宋体"/>
                <w:color w:val="auto"/>
                <w:sz w:val="24"/>
                <w:szCs w:val="24"/>
                <w:highlight w:val="none"/>
              </w:rPr>
              <w:t>相等</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以满足资格审查条件附录2业绩最低要求的</w:t>
            </w:r>
            <w:r>
              <w:rPr>
                <w:rFonts w:ascii="宋体" w:hAnsi="宋体"/>
                <w:color w:val="auto"/>
                <w:sz w:val="24"/>
                <w:szCs w:val="24"/>
                <w:highlight w:val="none"/>
              </w:rPr>
              <w:t>供货业绩累计金额多的优先。</w:t>
            </w:r>
          </w:p>
          <w:p>
            <w:pPr>
              <w:snapToGrid w:val="0"/>
              <w:rPr>
                <w:color w:val="auto"/>
                <w:highlight w:val="none"/>
              </w:rPr>
            </w:pPr>
            <w:r>
              <w:rPr>
                <w:rFonts w:hint="eastAsia" w:ascii="宋体" w:hAnsi="宋体" w:cs="宋体"/>
                <w:color w:val="auto"/>
                <w:sz w:val="24"/>
                <w:szCs w:val="24"/>
                <w:highlight w:val="none"/>
              </w:rPr>
              <w:t>注：同一投标人在2个标段同时排名第一的时候，只推荐其为1标段中标候选人。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2.1.1</w:t>
            </w:r>
          </w:p>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1546"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形式评审与响应性评审标准</w:t>
            </w:r>
          </w:p>
        </w:tc>
        <w:tc>
          <w:tcPr>
            <w:tcW w:w="6968" w:type="dxa"/>
            <w:noWrap w:val="0"/>
            <w:vAlign w:val="center"/>
          </w:tcPr>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（1）投标文件按照招标文件规定的格式、内容填写，字迹清晰可辨：</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a.投标函按照招标文件规定填报了招标人名称、项目名称、标段号、补遗书编号（如有）、交货地点、交货期、质量要求、投标报价（包括大写金额和小写金额）；</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b.投标文件组成齐全完整，内容均按规定填写；</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（2）投标文件上法定代表人（单位负责人）或其委托代理人的签字、投标人的单位章盖章齐全，符合招标文件规定：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（3）投标人法定代表人（单位负责人）授权委托代理人签署投标文件的，须提交授权委托书，授权委托书的签字盖章符合招标文件规定。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（4）投标人法定代表人（单位负责人）亲自签署投标文件的，提供了法定代表人（单位负责人）身份证明,法定代表人（单位负责人）身份证明的签字盖章符合招标文件规定。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（5）投标人未以联合体形式投标。</w:t>
            </w:r>
          </w:p>
          <w:p>
            <w:pPr>
              <w:snapToGrid w:val="0"/>
              <w:ind w:right="113"/>
              <w:rPr>
                <w:rFonts w:ascii="宋体" w:hAnsi="宋体" w:cs="宋体"/>
                <w:color w:val="auto"/>
                <w:sz w:val="24"/>
                <w:szCs w:val="24"/>
                <w:highlight w:val="none"/>
              </w:rPr>
            </w:pPr>
            <w:r>
              <w:rPr>
                <w:rFonts w:hint="eastAsia" w:ascii="宋体" w:hAnsi="宋体" w:cs="宋体"/>
                <w:color w:val="auto"/>
                <w:sz w:val="24"/>
                <w:szCs w:val="24"/>
                <w:highlight w:val="none"/>
              </w:rPr>
              <w:t>（6）投标人未对本项目进行分包。</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（7）同一投标人对同一标段未提交两个以上不同的投标文件。</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（8）投标文件载明的招标项目完成期限未超过招标文件规定的时限。</w:t>
            </w:r>
          </w:p>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（9）投标文件对招标文件的实质性要求和条件作出响应。</w:t>
            </w:r>
          </w:p>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（10）技术支持资料符合第二章“投标人须知”第1.11.3项规定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bidi="ar"/>
              </w:rPr>
              <w:t>递交的投标文件与所投标段一致</w:t>
            </w:r>
            <w:r>
              <w:rPr>
                <w:rFonts w:hint="eastAsia" w:ascii="宋体" w:hAnsi="宋体" w:cs="宋体"/>
                <w:color w:val="auto"/>
                <w:sz w:val="24"/>
                <w:szCs w:val="24"/>
                <w:highlight w:val="none"/>
              </w:rPr>
              <w:t>。</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（12）权利义务符合招标文件规定：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a．投标人应接受招标文件规定的风险划分原则，未提出新的风险划分办法；</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b．投标人未增加发包人的责任范围，或减少投标人义务；</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c．投标人未提出不同的工程验收、计量、支付办法；</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d．投标人对合同纠纷、事故处理办法未提出异议；</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e．投标人在投标活动中无欺诈行为；</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f．投标人未对合同条款有重要保留</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（14）</w:t>
            </w:r>
            <w:r>
              <w:rPr>
                <w:color w:val="auto"/>
                <w:sz w:val="24"/>
                <w:szCs w:val="24"/>
                <w:highlight w:val="none"/>
              </w:rPr>
              <w:t>投标人名称与营业执照一致，如企业名称有变更的，应提供其变更记录或相关部门的合法批件复印件</w:t>
            </w:r>
            <w:r>
              <w:rPr>
                <w:rFonts w:hint="eastAsia" w:ascii="宋体" w:hAnsi="宋体" w:cs="宋体"/>
                <w:color w:val="auto"/>
                <w:sz w:val="24"/>
                <w:szCs w:val="24"/>
                <w:highlight w:val="none"/>
              </w:rPr>
              <w:t>。</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（15）投标报价未超过招标文件设定的最高限价和分项限价。</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（16）投标报价的大写金额能够确定具体数值。</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（17）同一投标人对同一标段未提交两个以上不同的投标报价。</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（18）投标报价表和投标函大写金额报价一致的。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1546"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资格评审标准</w:t>
            </w:r>
          </w:p>
        </w:tc>
        <w:tc>
          <w:tcPr>
            <w:tcW w:w="6968" w:type="dxa"/>
            <w:noWrap w:val="0"/>
            <w:vAlign w:val="center"/>
          </w:tcPr>
          <w:p>
            <w:pPr>
              <w:snapToGrid w:val="0"/>
              <w:rPr>
                <w:rFonts w:ascii="宋体" w:hAnsi="宋体" w:cs="宋体"/>
                <w:color w:val="auto"/>
                <w:sz w:val="24"/>
                <w:szCs w:val="24"/>
                <w:highlight w:val="none"/>
              </w:rPr>
            </w:pPr>
            <w:r>
              <w:rPr>
                <w:rFonts w:hint="eastAsia" w:ascii="宋体" w:hAnsi="宋体" w:cs="宋体"/>
                <w:color w:val="auto"/>
                <w:sz w:val="24"/>
                <w:szCs w:val="24"/>
                <w:highlight w:val="none"/>
              </w:rPr>
              <w:t>（1）投标人具备有效的企业营业执照、组织机构代码证（三证合一或五证合一的除外）和基本账户开户许可证（或基本存款账户信息）；</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（2）投标人的资质等级符合招标文件规定；</w:t>
            </w:r>
          </w:p>
          <w:p>
            <w:pPr>
              <w:snapToGrid w:val="0"/>
              <w:rPr>
                <w:rFonts w:hint="eastAsia" w:ascii="宋体" w:hAnsi="宋体" w:cs="宋体"/>
                <w:color w:val="auto"/>
                <w:sz w:val="24"/>
                <w:szCs w:val="24"/>
                <w:highlight w:val="none"/>
              </w:rPr>
            </w:pPr>
            <w:r>
              <w:rPr>
                <w:rFonts w:hint="eastAsia" w:ascii="宋体" w:hAnsi="宋体" w:cs="宋体"/>
                <w:color w:val="auto"/>
                <w:sz w:val="24"/>
                <w:szCs w:val="24"/>
                <w:highlight w:val="none"/>
              </w:rPr>
              <w:t>（3）投标人的类似项目业绩符合招标文件规定；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（4）投标人的信誉符合招标文件规定；</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（5）投标人不存在第二章“投标人须知”第1.4.3项规定的任何一种情形。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546"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968" w:type="dxa"/>
            <w:noWrap w:val="0"/>
            <w:vAlign w:val="center"/>
          </w:tcPr>
          <w:p>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1546"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分值构成</w:t>
            </w:r>
          </w:p>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6968" w:type="dxa"/>
            <w:noWrap w:val="0"/>
            <w:vAlign w:val="center"/>
          </w:tcPr>
          <w:p>
            <w:pPr>
              <w:rPr>
                <w:rFonts w:ascii="宋体" w:hAnsi="宋体" w:cs="宋体"/>
                <w:color w:val="auto"/>
                <w:sz w:val="24"/>
                <w:szCs w:val="28"/>
                <w:highlight w:val="none"/>
              </w:rPr>
            </w:pPr>
            <w:r>
              <w:rPr>
                <w:rFonts w:hint="eastAsia" w:ascii="宋体" w:hAnsi="宋体" w:cs="宋体"/>
                <w:color w:val="auto"/>
                <w:sz w:val="24"/>
                <w:szCs w:val="28"/>
                <w:highlight w:val="none"/>
              </w:rPr>
              <w:t>商务部分：20分</w:t>
            </w:r>
          </w:p>
          <w:p>
            <w:pPr>
              <w:rPr>
                <w:rFonts w:hint="eastAsia" w:ascii="宋体" w:hAnsi="宋体" w:cs="宋体"/>
                <w:color w:val="auto"/>
                <w:sz w:val="24"/>
                <w:szCs w:val="28"/>
                <w:highlight w:val="none"/>
              </w:rPr>
            </w:pPr>
            <w:r>
              <w:rPr>
                <w:rFonts w:hint="eastAsia" w:ascii="宋体" w:hAnsi="宋体" w:cs="宋体"/>
                <w:color w:val="auto"/>
                <w:sz w:val="24"/>
                <w:szCs w:val="28"/>
                <w:highlight w:val="none"/>
              </w:rPr>
              <w:t>技术部分：50分</w:t>
            </w:r>
          </w:p>
          <w:p>
            <w:pPr>
              <w:rPr>
                <w:rFonts w:ascii="宋体" w:hAnsi="宋体" w:cs="宋体"/>
                <w:color w:val="auto"/>
                <w:sz w:val="24"/>
                <w:szCs w:val="24"/>
                <w:highlight w:val="none"/>
              </w:rPr>
            </w:pPr>
            <w:r>
              <w:rPr>
                <w:rFonts w:hint="eastAsia" w:ascii="宋体" w:hAnsi="宋体" w:cs="宋体"/>
                <w:color w:val="auto"/>
                <w:sz w:val="24"/>
                <w:szCs w:val="28"/>
                <w:highlight w:val="none"/>
              </w:rPr>
              <w:t>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pPr>
              <w:adjustRightInd w:val="0"/>
              <w:snapToGrid w:val="0"/>
              <w:jc w:val="center"/>
              <w:rPr>
                <w:rFonts w:hint="eastAsia" w:ascii="宋体" w:hAnsi="宋体" w:cs="宋体"/>
                <w:color w:val="auto"/>
                <w:sz w:val="24"/>
                <w:szCs w:val="24"/>
                <w:highlight w:val="none"/>
              </w:rPr>
            </w:pPr>
            <w:r>
              <w:rPr>
                <w:color w:val="auto"/>
                <w:sz w:val="24"/>
                <w:szCs w:val="24"/>
                <w:highlight w:val="none"/>
              </w:rPr>
              <w:t>2.3.2</w:t>
            </w:r>
          </w:p>
        </w:tc>
        <w:tc>
          <w:tcPr>
            <w:tcW w:w="1546" w:type="dxa"/>
            <w:noWrap w:val="0"/>
            <w:vAlign w:val="center"/>
          </w:tcPr>
          <w:p>
            <w:pPr>
              <w:adjustRightInd w:val="0"/>
              <w:snapToGrid w:val="0"/>
              <w:jc w:val="center"/>
              <w:rPr>
                <w:color w:val="auto"/>
                <w:sz w:val="24"/>
                <w:szCs w:val="24"/>
                <w:highlight w:val="none"/>
              </w:rPr>
            </w:pPr>
            <w:r>
              <w:rPr>
                <w:color w:val="auto"/>
                <w:sz w:val="24"/>
                <w:szCs w:val="24"/>
                <w:highlight w:val="none"/>
              </w:rPr>
              <w:t>评标基准价</w:t>
            </w:r>
          </w:p>
          <w:p>
            <w:pPr>
              <w:adjustRightInd w:val="0"/>
              <w:snapToGrid w:val="0"/>
              <w:jc w:val="center"/>
              <w:rPr>
                <w:rFonts w:hint="eastAsia" w:ascii="宋体" w:hAnsi="宋体" w:cs="宋体"/>
                <w:color w:val="auto"/>
                <w:sz w:val="24"/>
                <w:szCs w:val="24"/>
                <w:highlight w:val="none"/>
              </w:rPr>
            </w:pPr>
            <w:r>
              <w:rPr>
                <w:color w:val="auto"/>
                <w:sz w:val="24"/>
                <w:szCs w:val="24"/>
                <w:highlight w:val="none"/>
              </w:rPr>
              <w:t>计算方法</w:t>
            </w:r>
          </w:p>
        </w:tc>
        <w:tc>
          <w:tcPr>
            <w:tcW w:w="6968" w:type="dxa"/>
            <w:noWrap w:val="0"/>
            <w:vAlign w:val="center"/>
          </w:tcPr>
          <w:p>
            <w:pPr>
              <w:pStyle w:val="8"/>
              <w:ind w:left="0" w:leftChars="0" w:firstLine="0" w:firstLineChars="0"/>
              <w:rPr>
                <w:color w:val="auto"/>
                <w:sz w:val="24"/>
                <w:highlight w:val="none"/>
              </w:rPr>
            </w:pPr>
            <w:r>
              <w:rPr>
                <w:color w:val="auto"/>
                <w:sz w:val="24"/>
                <w:highlight w:val="none"/>
              </w:rPr>
              <w:t>评标基准价的计算：</w:t>
            </w:r>
          </w:p>
          <w:p>
            <w:pPr>
              <w:pStyle w:val="8"/>
              <w:ind w:left="0" w:leftChars="0" w:firstLine="0" w:firstLineChars="0"/>
              <w:rPr>
                <w:color w:val="auto"/>
                <w:sz w:val="24"/>
                <w:highlight w:val="none"/>
              </w:rPr>
            </w:pPr>
            <w:r>
              <w:rPr>
                <w:color w:val="auto"/>
                <w:sz w:val="24"/>
                <w:highlight w:val="none"/>
              </w:rPr>
              <w:t>1、评标价的确定：</w:t>
            </w:r>
          </w:p>
          <w:p>
            <w:pPr>
              <w:pStyle w:val="8"/>
              <w:ind w:left="0" w:leftChars="0" w:firstLine="0" w:firstLineChars="0"/>
              <w:rPr>
                <w:color w:val="auto"/>
                <w:sz w:val="24"/>
                <w:highlight w:val="none"/>
              </w:rPr>
            </w:pPr>
            <w:r>
              <w:rPr>
                <w:color w:val="auto"/>
                <w:sz w:val="24"/>
                <w:highlight w:val="none"/>
              </w:rPr>
              <w:t>评标价=投标函文字报价</w:t>
            </w:r>
          </w:p>
          <w:p>
            <w:pPr>
              <w:pStyle w:val="8"/>
              <w:ind w:left="0" w:leftChars="0" w:firstLine="0" w:firstLineChars="0"/>
              <w:rPr>
                <w:color w:val="auto"/>
                <w:sz w:val="24"/>
                <w:highlight w:val="none"/>
              </w:rPr>
            </w:pPr>
            <w:r>
              <w:rPr>
                <w:color w:val="auto"/>
                <w:sz w:val="24"/>
                <w:highlight w:val="none"/>
              </w:rPr>
              <w:t>2、评标价平均值的计算：</w:t>
            </w:r>
          </w:p>
          <w:p>
            <w:pPr>
              <w:pStyle w:val="8"/>
              <w:ind w:left="0" w:leftChars="0" w:firstLine="0" w:firstLineChars="0"/>
              <w:rPr>
                <w:color w:val="auto"/>
                <w:sz w:val="24"/>
                <w:highlight w:val="none"/>
              </w:rPr>
            </w:pPr>
            <w:r>
              <w:rPr>
                <w:color w:val="auto"/>
                <w:sz w:val="24"/>
                <w:highlight w:val="none"/>
              </w:rPr>
              <w:t>所有投标人的评标价去掉规定个数的最高值和最低值后的算术平均值即为评标价平均值。</w:t>
            </w:r>
          </w:p>
          <w:p>
            <w:pPr>
              <w:snapToGrid w:val="0"/>
              <w:rPr>
                <w:color w:val="auto"/>
                <w:spacing w:val="-4"/>
                <w:sz w:val="24"/>
                <w:szCs w:val="24"/>
                <w:highlight w:val="none"/>
              </w:rPr>
            </w:pPr>
            <w:r>
              <w:rPr>
                <w:color w:val="auto"/>
                <w:spacing w:val="-4"/>
                <w:sz w:val="24"/>
                <w:szCs w:val="24"/>
                <w:highlight w:val="none"/>
              </w:rPr>
              <w:t xml:space="preserve">a、如果参与评标价平均值计算的投标人数量＜6家时，计算评标价平均值时不去最高值和最低值。 </w:t>
            </w:r>
          </w:p>
          <w:p>
            <w:pPr>
              <w:snapToGrid w:val="0"/>
              <w:rPr>
                <w:color w:val="auto"/>
                <w:spacing w:val="-4"/>
                <w:sz w:val="24"/>
                <w:szCs w:val="24"/>
                <w:highlight w:val="none"/>
              </w:rPr>
            </w:pPr>
            <w:r>
              <w:rPr>
                <w:color w:val="auto"/>
                <w:spacing w:val="-4"/>
                <w:sz w:val="24"/>
                <w:szCs w:val="24"/>
                <w:highlight w:val="none"/>
              </w:rPr>
              <w:t xml:space="preserve">b、如果6家≤参与评标价平均值计算的投标人数量＜10家时，计算评标价平均值时去掉1个最高值和1个最低值。 </w:t>
            </w:r>
          </w:p>
          <w:p>
            <w:pPr>
              <w:snapToGrid w:val="0"/>
              <w:rPr>
                <w:color w:val="auto"/>
                <w:spacing w:val="-4"/>
                <w:sz w:val="24"/>
                <w:szCs w:val="24"/>
                <w:highlight w:val="none"/>
              </w:rPr>
            </w:pPr>
            <w:r>
              <w:rPr>
                <w:color w:val="auto"/>
                <w:spacing w:val="-4"/>
                <w:sz w:val="24"/>
                <w:szCs w:val="24"/>
                <w:highlight w:val="none"/>
              </w:rPr>
              <w:t xml:space="preserve">c、如果10家≤参与评标价平均值计算的投标人数量＜20家时，计算评标价平均值时去掉2个最高值和2个最低值； </w:t>
            </w:r>
          </w:p>
          <w:p>
            <w:pPr>
              <w:snapToGrid w:val="0"/>
              <w:rPr>
                <w:color w:val="auto"/>
                <w:spacing w:val="-4"/>
                <w:sz w:val="24"/>
                <w:szCs w:val="24"/>
                <w:highlight w:val="none"/>
              </w:rPr>
            </w:pPr>
            <w:r>
              <w:rPr>
                <w:color w:val="auto"/>
                <w:spacing w:val="-4"/>
                <w:sz w:val="24"/>
                <w:szCs w:val="24"/>
                <w:highlight w:val="none"/>
              </w:rPr>
              <w:t xml:space="preserve">d、如果20家≤参与评标价平均值计算的投标人数量＜30家时，计算评标价平均值时去掉3个最高值和3个最低值； </w:t>
            </w:r>
          </w:p>
          <w:p>
            <w:pPr>
              <w:pStyle w:val="8"/>
              <w:ind w:left="0" w:leftChars="0" w:firstLine="0" w:firstLineChars="0"/>
              <w:rPr>
                <w:color w:val="auto"/>
                <w:spacing w:val="-4"/>
                <w:sz w:val="24"/>
                <w:highlight w:val="none"/>
              </w:rPr>
            </w:pPr>
            <w:r>
              <w:rPr>
                <w:color w:val="auto"/>
                <w:spacing w:val="-4"/>
                <w:sz w:val="24"/>
                <w:highlight w:val="none"/>
              </w:rPr>
              <w:t>e、如果30家≤参与评标价平均值计算的投标人数量时，计算评标价平均值时去掉5个最高值和5个最低值；</w:t>
            </w:r>
          </w:p>
          <w:p>
            <w:pPr>
              <w:pStyle w:val="8"/>
              <w:ind w:left="0" w:leftChars="0" w:firstLine="0" w:firstLineChars="0"/>
              <w:rPr>
                <w:color w:val="auto"/>
                <w:sz w:val="24"/>
                <w:highlight w:val="none"/>
              </w:rPr>
            </w:pPr>
            <w:r>
              <w:rPr>
                <w:color w:val="auto"/>
                <w:sz w:val="24"/>
                <w:highlight w:val="none"/>
              </w:rPr>
              <w:t xml:space="preserve">3、评标基准价的确定： </w:t>
            </w:r>
          </w:p>
          <w:p>
            <w:pPr>
              <w:pStyle w:val="8"/>
              <w:ind w:left="0" w:leftChars="0" w:firstLine="0" w:firstLineChars="0"/>
              <w:rPr>
                <w:color w:val="auto"/>
                <w:sz w:val="24"/>
                <w:highlight w:val="none"/>
              </w:rPr>
            </w:pPr>
            <w:r>
              <w:rPr>
                <w:color w:val="auto"/>
                <w:sz w:val="24"/>
                <w:highlight w:val="none"/>
              </w:rPr>
              <w:t>评标价平均值作为评标基准价。</w:t>
            </w:r>
          </w:p>
          <w:p>
            <w:pPr>
              <w:pStyle w:val="8"/>
              <w:ind w:left="0" w:leftChars="0" w:firstLine="0" w:firstLineChars="0"/>
              <w:rPr>
                <w:rFonts w:hint="eastAsia" w:ascii="宋体" w:hAnsi="宋体" w:cs="宋体"/>
                <w:color w:val="auto"/>
                <w:sz w:val="24"/>
                <w:highlight w:val="none"/>
              </w:rPr>
            </w:pPr>
            <w:r>
              <w:rPr>
                <w:color w:val="auto"/>
                <w:sz w:val="24"/>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jc w:val="center"/>
              <w:rPr>
                <w:rFonts w:ascii="宋体" w:hAnsi="宋体" w:cs="宋体"/>
                <w:color w:val="auto"/>
                <w:sz w:val="24"/>
                <w:szCs w:val="24"/>
                <w:highlight w:val="none"/>
              </w:rPr>
            </w:pPr>
            <w:r>
              <w:rPr>
                <w:color w:val="auto"/>
                <w:sz w:val="24"/>
                <w:szCs w:val="24"/>
                <w:highlight w:val="none"/>
              </w:rPr>
              <w:t>2.3.3</w:t>
            </w:r>
          </w:p>
        </w:tc>
        <w:tc>
          <w:tcPr>
            <w:tcW w:w="1546" w:type="dxa"/>
            <w:noWrap w:val="0"/>
            <w:vAlign w:val="center"/>
          </w:tcPr>
          <w:p>
            <w:pPr>
              <w:adjustRightInd w:val="0"/>
              <w:snapToGrid w:val="0"/>
              <w:jc w:val="center"/>
              <w:rPr>
                <w:rFonts w:ascii="宋体" w:hAnsi="宋体" w:cs="宋体"/>
                <w:color w:val="auto"/>
                <w:sz w:val="24"/>
                <w:szCs w:val="24"/>
                <w:highlight w:val="none"/>
              </w:rPr>
            </w:pPr>
            <w:r>
              <w:rPr>
                <w:color w:val="auto"/>
                <w:sz w:val="24"/>
                <w:szCs w:val="24"/>
                <w:highlight w:val="none"/>
              </w:rPr>
              <w:t>评标价的偏差率计算公式</w:t>
            </w:r>
          </w:p>
        </w:tc>
        <w:tc>
          <w:tcPr>
            <w:tcW w:w="6968" w:type="dxa"/>
            <w:noWrap w:val="0"/>
            <w:vAlign w:val="center"/>
          </w:tcPr>
          <w:p>
            <w:pPr>
              <w:adjustRightInd w:val="0"/>
              <w:snapToGrid w:val="0"/>
              <w:rPr>
                <w:rFonts w:ascii="宋体" w:hAnsi="宋体" w:cs="宋体"/>
                <w:color w:val="auto"/>
                <w:sz w:val="24"/>
                <w:szCs w:val="24"/>
                <w:highlight w:val="none"/>
              </w:rPr>
            </w:pPr>
            <w:r>
              <w:rPr>
                <w:color w:val="auto"/>
                <w:sz w:val="24"/>
                <w:szCs w:val="24"/>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3.6.1</w:t>
            </w:r>
          </w:p>
        </w:tc>
        <w:tc>
          <w:tcPr>
            <w:tcW w:w="1546" w:type="dxa"/>
            <w:noWrap w:val="0"/>
            <w:vAlign w:val="center"/>
          </w:tcPr>
          <w:p>
            <w:pPr>
              <w:adjustRightInd w:val="0"/>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信息查询</w:t>
            </w:r>
          </w:p>
        </w:tc>
        <w:tc>
          <w:tcPr>
            <w:tcW w:w="6968" w:type="dxa"/>
            <w:noWrap w:val="0"/>
            <w:vAlign w:val="center"/>
          </w:tcPr>
          <w:p>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修改为：</w:t>
            </w:r>
          </w:p>
          <w:p>
            <w:pPr>
              <w:snapToGrid w:val="0"/>
              <w:rPr>
                <w:rFonts w:ascii="宋体" w:hAnsi="宋体" w:cs="宋体"/>
                <w:color w:val="auto"/>
                <w:sz w:val="24"/>
                <w:szCs w:val="24"/>
                <w:highlight w:val="none"/>
              </w:rPr>
            </w:pPr>
            <w:r>
              <w:rPr>
                <w:rFonts w:hint="eastAsia" w:ascii="宋体" w:hAnsi="宋体" w:cs="宋体"/>
                <w:color w:val="auto"/>
                <w:sz w:val="24"/>
                <w:szCs w:val="24"/>
                <w:highlight w:val="none"/>
              </w:rPr>
              <w:t>在评标过程中，评标委员会应对以下信息进行查询：</w:t>
            </w:r>
          </w:p>
          <w:p>
            <w:pPr>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pPr>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如投标人未提供相关网页截图或所附截图与复核结果不一致导致不能满足资格评审要求的，评标委员会应否决其投标。</w:t>
            </w:r>
          </w:p>
          <w:p>
            <w:pPr>
              <w:snapToGrid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投标人应保证本款所附的全部截图的真实性。</w:t>
            </w:r>
            <w:r>
              <w:rPr>
                <w:rFonts w:hint="eastAsia" w:ascii="宋体" w:hAnsi="宋体" w:cs="宋体"/>
                <w:color w:val="auto"/>
                <w:sz w:val="24"/>
                <w:szCs w:val="24"/>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bookmarkEnd w:id="2"/>
    </w:tbl>
    <w:p>
      <w:pPr>
        <w:pStyle w:val="8"/>
        <w:ind w:left="0" w:leftChars="0" w:firstLine="0" w:firstLineChars="0"/>
        <w:rPr>
          <w:rFonts w:hint="eastAsia"/>
          <w:color w:val="auto"/>
          <w:highlight w:val="none"/>
        </w:rPr>
      </w:pPr>
    </w:p>
    <w:p>
      <w:pPr>
        <w:pStyle w:val="13"/>
        <w:tabs>
          <w:tab w:val="left" w:pos="312"/>
        </w:tabs>
        <w:snapToGrid w:val="0"/>
        <w:spacing w:line="360" w:lineRule="auto"/>
        <w:outlineLvl w:val="1"/>
        <w:rPr>
          <w:rFonts w:hint="eastAsia" w:eastAsia="宋体" w:cs="宋体"/>
          <w:bCs w:val="0"/>
          <w:color w:val="auto"/>
          <w:sz w:val="28"/>
          <w:szCs w:val="28"/>
          <w:highlight w:val="none"/>
        </w:rPr>
      </w:pPr>
      <w:r>
        <w:rPr>
          <w:rFonts w:cs="宋体"/>
          <w:bCs w:val="0"/>
          <w:color w:val="auto"/>
          <w:sz w:val="28"/>
          <w:szCs w:val="28"/>
          <w:highlight w:val="none"/>
        </w:rPr>
        <w:br w:type="page"/>
      </w:r>
      <w:r>
        <w:rPr>
          <w:rFonts w:hint="eastAsia" w:eastAsia="宋体" w:cs="宋体"/>
          <w:bCs w:val="0"/>
          <w:color w:val="auto"/>
          <w:sz w:val="28"/>
          <w:szCs w:val="28"/>
          <w:highlight w:val="none"/>
        </w:rPr>
        <w:t>评分标准</w:t>
      </w:r>
    </w:p>
    <w:tbl>
      <w:tblPr>
        <w:tblStyle w:val="9"/>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850"/>
        <w:gridCol w:w="1677"/>
        <w:gridCol w:w="733"/>
        <w:gridCol w:w="3488"/>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bookmarkStart w:id="1" w:name="_Hlk141107063"/>
            <w:r>
              <w:rPr>
                <w:rFonts w:hint="eastAsia" w:ascii="宋体" w:hAnsi="宋体" w:cs="宋体"/>
                <w:color w:val="auto"/>
                <w:sz w:val="24"/>
                <w:szCs w:val="24"/>
                <w:highlight w:val="none"/>
                <w:lang w:val="zh-CN"/>
              </w:rPr>
              <w:t>评分因素与权重分值</w:t>
            </w:r>
          </w:p>
        </w:tc>
        <w:tc>
          <w:tcPr>
            <w:tcW w:w="4925" w:type="dxa"/>
            <w:gridSpan w:val="2"/>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条款号</w:t>
            </w:r>
          </w:p>
        </w:tc>
        <w:tc>
          <w:tcPr>
            <w:tcW w:w="709"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w:t>
            </w:r>
          </w:p>
        </w:tc>
        <w:tc>
          <w:tcPr>
            <w:tcW w:w="850"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评分因素权重分值</w:t>
            </w:r>
          </w:p>
        </w:tc>
        <w:tc>
          <w:tcPr>
            <w:tcW w:w="1677"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各评分因素</w:t>
            </w:r>
          </w:p>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细分项</w:t>
            </w:r>
          </w:p>
        </w:tc>
        <w:tc>
          <w:tcPr>
            <w:tcW w:w="733"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分值</w:t>
            </w:r>
          </w:p>
        </w:tc>
        <w:tc>
          <w:tcPr>
            <w:tcW w:w="4925" w:type="dxa"/>
            <w:gridSpan w:val="2"/>
            <w:vMerge w:val="continue"/>
            <w:noWrap w:val="0"/>
            <w:vAlign w:val="top"/>
          </w:tcPr>
          <w:p>
            <w:pPr>
              <w:autoSpaceDE w:val="0"/>
              <w:autoSpaceDN w:val="0"/>
              <w:adjustRightInd w:val="0"/>
              <w:snapToGrid w:val="0"/>
              <w:rPr>
                <w:rFonts w:hint="eastAsia" w:ascii="宋体" w:hAnsi="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noWrap w:val="0"/>
            <w:vAlign w:val="center"/>
          </w:tcPr>
          <w:p>
            <w:pPr>
              <w:jc w:val="center"/>
              <w:rPr>
                <w:rFonts w:hint="eastAsia" w:ascii="宋体" w:hAnsi="宋体" w:cs="宋体"/>
                <w:color w:val="auto"/>
                <w:sz w:val="24"/>
                <w:szCs w:val="24"/>
                <w:highlight w:val="none"/>
                <w:lang w:val="zh-CN"/>
              </w:rPr>
            </w:pPr>
            <w:r>
              <w:rPr>
                <w:rFonts w:ascii="宋体" w:hAnsi="宋体"/>
                <w:color w:val="auto"/>
                <w:sz w:val="24"/>
                <w:szCs w:val="24"/>
                <w:highlight w:val="none"/>
              </w:rPr>
              <w:t>2.3.4（1）</w:t>
            </w:r>
          </w:p>
        </w:tc>
        <w:tc>
          <w:tcPr>
            <w:tcW w:w="709" w:type="dxa"/>
            <w:noWrap w:val="0"/>
            <w:vAlign w:val="center"/>
          </w:tcPr>
          <w:p>
            <w:pPr>
              <w:jc w:val="center"/>
              <w:rPr>
                <w:rFonts w:hint="eastAsia" w:ascii="宋体" w:hAnsi="宋体" w:cs="宋体"/>
                <w:color w:val="auto"/>
                <w:sz w:val="24"/>
                <w:szCs w:val="24"/>
                <w:highlight w:val="none"/>
                <w:lang w:val="zh-CN"/>
              </w:rPr>
            </w:pPr>
            <w:r>
              <w:rPr>
                <w:rFonts w:ascii="宋体" w:hAnsi="宋体"/>
                <w:color w:val="auto"/>
                <w:sz w:val="24"/>
                <w:szCs w:val="24"/>
                <w:highlight w:val="none"/>
              </w:rPr>
              <w:t>商务</w:t>
            </w:r>
            <w:r>
              <w:rPr>
                <w:rFonts w:hint="eastAsia" w:ascii="宋体" w:hAnsi="宋体"/>
                <w:color w:val="auto"/>
                <w:sz w:val="24"/>
                <w:szCs w:val="24"/>
                <w:highlight w:val="none"/>
              </w:rPr>
              <w:t>部分</w:t>
            </w:r>
          </w:p>
        </w:tc>
        <w:tc>
          <w:tcPr>
            <w:tcW w:w="850" w:type="dxa"/>
            <w:noWrap w:val="0"/>
            <w:vAlign w:val="center"/>
          </w:tcPr>
          <w:p>
            <w:pPr>
              <w:jc w:val="center"/>
              <w:rPr>
                <w:rFonts w:hint="eastAsia" w:ascii="宋体" w:hAnsi="宋体" w:cs="宋体"/>
                <w:color w:val="auto"/>
                <w:sz w:val="24"/>
                <w:szCs w:val="24"/>
                <w:highlight w:val="none"/>
                <w:lang w:val="zh-CN"/>
              </w:rPr>
            </w:pPr>
            <w:r>
              <w:rPr>
                <w:rFonts w:ascii="宋体" w:hAnsi="宋体"/>
                <w:color w:val="auto"/>
                <w:sz w:val="24"/>
                <w:szCs w:val="24"/>
                <w:highlight w:val="none"/>
              </w:rPr>
              <w:t>20分</w:t>
            </w:r>
          </w:p>
        </w:tc>
        <w:tc>
          <w:tcPr>
            <w:tcW w:w="1677"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ascii="宋体" w:hAnsi="宋体"/>
                <w:color w:val="auto"/>
                <w:sz w:val="24"/>
                <w:szCs w:val="24"/>
                <w:highlight w:val="none"/>
              </w:rPr>
              <w:t>企业业绩</w:t>
            </w:r>
          </w:p>
        </w:tc>
        <w:tc>
          <w:tcPr>
            <w:tcW w:w="733" w:type="dxa"/>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ascii="宋体" w:hAnsi="宋体"/>
                <w:color w:val="auto"/>
                <w:sz w:val="24"/>
                <w:szCs w:val="24"/>
                <w:highlight w:val="none"/>
              </w:rPr>
              <w:t>20分</w:t>
            </w:r>
          </w:p>
        </w:tc>
        <w:tc>
          <w:tcPr>
            <w:tcW w:w="4925" w:type="dxa"/>
            <w:gridSpan w:val="2"/>
            <w:noWrap w:val="0"/>
            <w:vAlign w:val="top"/>
          </w:tcPr>
          <w:p>
            <w:pPr>
              <w:autoSpaceDE w:val="0"/>
              <w:autoSpaceDN w:val="0"/>
              <w:adjustRightInd w:val="0"/>
              <w:snapToGrid w:val="0"/>
              <w:rPr>
                <w:rFonts w:hint="eastAsia" w:ascii="宋体" w:hAnsi="宋体" w:cs="宋体"/>
                <w:color w:val="auto"/>
                <w:sz w:val="24"/>
                <w:szCs w:val="24"/>
                <w:highlight w:val="none"/>
                <w:lang w:val="zh-CN"/>
              </w:rPr>
            </w:pPr>
            <w:r>
              <w:rPr>
                <w:rFonts w:ascii="宋体" w:hAnsi="宋体"/>
                <w:color w:val="auto"/>
                <w:sz w:val="24"/>
                <w:szCs w:val="24"/>
                <w:highlight w:val="none"/>
              </w:rPr>
              <w:t>满足资格审查条件附录2（业绩最低要求）得12分；每增加1项</w:t>
            </w:r>
            <w:r>
              <w:rPr>
                <w:rFonts w:hint="eastAsia" w:ascii="宋体" w:hAnsi="宋体"/>
                <w:color w:val="auto"/>
                <w:sz w:val="24"/>
                <w:szCs w:val="24"/>
                <w:highlight w:val="none"/>
              </w:rPr>
              <w:t>满足资格审查条件</w:t>
            </w:r>
            <w:r>
              <w:rPr>
                <w:rFonts w:ascii="宋体" w:hAnsi="宋体"/>
                <w:color w:val="auto"/>
                <w:sz w:val="24"/>
                <w:szCs w:val="24"/>
                <w:highlight w:val="none"/>
              </w:rPr>
              <w:t>附录2（业绩最低要求）的业绩加</w:t>
            </w:r>
            <w:r>
              <w:rPr>
                <w:rFonts w:hint="eastAsia" w:ascii="宋体" w:hAnsi="宋体"/>
                <w:color w:val="auto"/>
                <w:sz w:val="24"/>
                <w:szCs w:val="24"/>
                <w:highlight w:val="none"/>
              </w:rPr>
              <w:t>8</w:t>
            </w:r>
            <w:r>
              <w:rPr>
                <w:rFonts w:ascii="宋体" w:hAnsi="宋体"/>
                <w:color w:val="auto"/>
                <w:sz w:val="24"/>
                <w:szCs w:val="24"/>
                <w:highlight w:val="none"/>
              </w:rPr>
              <w:t>分，最</w:t>
            </w:r>
            <w:r>
              <w:rPr>
                <w:rFonts w:hint="eastAsia" w:ascii="宋体" w:hAnsi="宋体"/>
                <w:color w:val="auto"/>
                <w:sz w:val="24"/>
                <w:szCs w:val="24"/>
                <w:highlight w:val="none"/>
              </w:rPr>
              <w:t>多加</w:t>
            </w:r>
            <w:r>
              <w:rPr>
                <w:rFonts w:ascii="宋体" w:hAnsi="宋体"/>
                <w:color w:val="auto"/>
                <w:sz w:val="24"/>
                <w:szCs w:val="24"/>
                <w:highlight w:val="none"/>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816"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2.3.4（1）</w:t>
            </w:r>
          </w:p>
        </w:tc>
        <w:tc>
          <w:tcPr>
            <w:tcW w:w="709"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技术部分</w:t>
            </w:r>
          </w:p>
        </w:tc>
        <w:tc>
          <w:tcPr>
            <w:tcW w:w="850"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50</w:t>
            </w:r>
            <w:r>
              <w:rPr>
                <w:rFonts w:hint="eastAsia" w:ascii="宋体" w:hAnsi="宋体" w:cs="宋体"/>
                <w:color w:val="auto"/>
                <w:sz w:val="24"/>
                <w:szCs w:val="24"/>
                <w:highlight w:val="none"/>
                <w:lang w:val="zh-CN"/>
              </w:rPr>
              <w:t>分</w:t>
            </w:r>
          </w:p>
        </w:tc>
        <w:tc>
          <w:tcPr>
            <w:tcW w:w="1677" w:type="dxa"/>
            <w:vMerge w:val="restart"/>
            <w:noWrap w:val="0"/>
            <w:vAlign w:val="center"/>
          </w:tcPr>
          <w:p>
            <w:pPr>
              <w:pStyle w:val="14"/>
              <w:jc w:val="center"/>
              <w:rPr>
                <w:rFonts w:hint="eastAsia"/>
                <w:color w:val="auto"/>
                <w:sz w:val="24"/>
                <w:szCs w:val="24"/>
                <w:highlight w:val="none"/>
              </w:rPr>
            </w:pPr>
            <w:r>
              <w:rPr>
                <w:rFonts w:hint="eastAsia"/>
                <w:color w:val="auto"/>
                <w:sz w:val="24"/>
                <w:szCs w:val="24"/>
                <w:highlight w:val="none"/>
              </w:rPr>
              <w:t>设备的选型</w:t>
            </w:r>
          </w:p>
          <w:p>
            <w:pPr>
              <w:pStyle w:val="14"/>
              <w:jc w:val="center"/>
              <w:rPr>
                <w:rFonts w:hint="eastAsia"/>
                <w:color w:val="auto"/>
                <w:sz w:val="24"/>
                <w:szCs w:val="24"/>
                <w:highlight w:val="none"/>
              </w:rPr>
            </w:pPr>
            <w:r>
              <w:rPr>
                <w:rFonts w:hint="eastAsia"/>
                <w:color w:val="auto"/>
                <w:sz w:val="24"/>
                <w:szCs w:val="24"/>
                <w:highlight w:val="none"/>
              </w:rPr>
              <w:t>及技术参数</w:t>
            </w:r>
          </w:p>
        </w:tc>
        <w:tc>
          <w:tcPr>
            <w:tcW w:w="733" w:type="dxa"/>
            <w:vMerge w:val="restart"/>
            <w:noWrap w:val="0"/>
            <w:vAlign w:val="center"/>
          </w:tcPr>
          <w:p>
            <w:pPr>
              <w:pStyle w:val="14"/>
              <w:jc w:val="center"/>
              <w:rPr>
                <w:rFonts w:hint="eastAsia"/>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5分</w:t>
            </w:r>
          </w:p>
        </w:tc>
        <w:tc>
          <w:tcPr>
            <w:tcW w:w="3488" w:type="dxa"/>
            <w:noWrap w:val="0"/>
            <w:vAlign w:val="center"/>
          </w:tcPr>
          <w:p>
            <w:pPr>
              <w:pStyle w:val="14"/>
              <w:jc w:val="left"/>
              <w:rPr>
                <w:rFonts w:hint="eastAsia"/>
                <w:color w:val="auto"/>
                <w:sz w:val="24"/>
                <w:szCs w:val="24"/>
                <w:highlight w:val="none"/>
              </w:rPr>
            </w:pPr>
            <w:r>
              <w:rPr>
                <w:rFonts w:hint="eastAsia"/>
                <w:color w:val="auto"/>
                <w:sz w:val="24"/>
                <w:szCs w:val="24"/>
                <w:highlight w:val="none"/>
              </w:rPr>
              <w:t>设备选型先进，配置高，技术参数高于采购需求。</w:t>
            </w:r>
          </w:p>
        </w:tc>
        <w:tc>
          <w:tcPr>
            <w:tcW w:w="1437" w:type="dxa"/>
            <w:noWrap w:val="0"/>
            <w:vAlign w:val="center"/>
          </w:tcPr>
          <w:p>
            <w:pPr>
              <w:pStyle w:val="15"/>
              <w:spacing w:before="240" w:after="120"/>
              <w:jc w:val="center"/>
              <w:rPr>
                <w:rFonts w:hint="eastAsia" w:cs="宋体"/>
                <w:color w:val="auto"/>
                <w:highlight w:val="none"/>
              </w:rPr>
            </w:pPr>
            <w:r>
              <w:rPr>
                <w:rFonts w:hint="eastAsia" w:cs="宋体"/>
                <w:bCs/>
                <w:color w:val="auto"/>
                <w:highlight w:val="none"/>
              </w:rPr>
              <w:t>12.0-15.0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pStyle w:val="14"/>
              <w:jc w:val="center"/>
              <w:rPr>
                <w:rFonts w:hint="eastAsia"/>
                <w:color w:val="auto"/>
                <w:sz w:val="24"/>
                <w:szCs w:val="24"/>
                <w:highlight w:val="none"/>
              </w:rPr>
            </w:pPr>
          </w:p>
        </w:tc>
        <w:tc>
          <w:tcPr>
            <w:tcW w:w="3488" w:type="dxa"/>
            <w:noWrap w:val="0"/>
            <w:vAlign w:val="center"/>
          </w:tcPr>
          <w:p>
            <w:pPr>
              <w:pStyle w:val="14"/>
              <w:jc w:val="left"/>
              <w:rPr>
                <w:rFonts w:hint="eastAsia"/>
                <w:color w:val="auto"/>
                <w:sz w:val="24"/>
                <w:szCs w:val="24"/>
                <w:highlight w:val="none"/>
              </w:rPr>
            </w:pPr>
            <w:r>
              <w:rPr>
                <w:rFonts w:hint="eastAsia"/>
                <w:color w:val="auto"/>
                <w:sz w:val="24"/>
                <w:szCs w:val="24"/>
                <w:highlight w:val="none"/>
              </w:rPr>
              <w:t>设备选型合理，配置较好，技术参数满足采购需求。</w:t>
            </w:r>
          </w:p>
        </w:tc>
        <w:tc>
          <w:tcPr>
            <w:tcW w:w="1437" w:type="dxa"/>
            <w:noWrap w:val="0"/>
            <w:vAlign w:val="center"/>
          </w:tcPr>
          <w:p>
            <w:pPr>
              <w:pStyle w:val="15"/>
              <w:spacing w:before="240" w:after="120"/>
              <w:jc w:val="center"/>
              <w:rPr>
                <w:rFonts w:hint="eastAsia" w:cs="宋体"/>
                <w:color w:val="auto"/>
                <w:highlight w:val="none"/>
              </w:rPr>
            </w:pPr>
            <w:r>
              <w:rPr>
                <w:rFonts w:hint="eastAsia" w:cs="宋体"/>
                <w:bCs/>
                <w:color w:val="auto"/>
                <w:highlight w:val="none"/>
              </w:rPr>
              <w:t>9.0-12.0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pStyle w:val="14"/>
              <w:jc w:val="center"/>
              <w:rPr>
                <w:rFonts w:hint="eastAsia"/>
                <w:color w:val="auto"/>
                <w:sz w:val="24"/>
                <w:szCs w:val="24"/>
                <w:highlight w:val="none"/>
              </w:rPr>
            </w:pPr>
          </w:p>
        </w:tc>
        <w:tc>
          <w:tcPr>
            <w:tcW w:w="3488" w:type="dxa"/>
            <w:noWrap w:val="0"/>
            <w:vAlign w:val="center"/>
          </w:tcPr>
          <w:p>
            <w:pPr>
              <w:pStyle w:val="14"/>
              <w:jc w:val="left"/>
              <w:rPr>
                <w:rFonts w:hint="eastAsia"/>
                <w:color w:val="auto"/>
                <w:sz w:val="24"/>
                <w:szCs w:val="24"/>
                <w:highlight w:val="none"/>
              </w:rPr>
            </w:pPr>
            <w:r>
              <w:rPr>
                <w:rFonts w:hint="eastAsia"/>
                <w:color w:val="auto"/>
                <w:sz w:val="24"/>
                <w:szCs w:val="24"/>
                <w:highlight w:val="none"/>
              </w:rPr>
              <w:t>设备选型一般，配置、技术参数满足采购需求。</w:t>
            </w:r>
          </w:p>
        </w:tc>
        <w:tc>
          <w:tcPr>
            <w:tcW w:w="1437" w:type="dxa"/>
            <w:noWrap w:val="0"/>
            <w:vAlign w:val="center"/>
          </w:tcPr>
          <w:p>
            <w:pPr>
              <w:pStyle w:val="15"/>
              <w:spacing w:before="240" w:after="120"/>
              <w:jc w:val="center"/>
              <w:rPr>
                <w:rFonts w:hint="eastAsia" w:cs="宋体"/>
                <w:color w:val="auto"/>
                <w:highlight w:val="none"/>
              </w:rPr>
            </w:pPr>
            <w:r>
              <w:rPr>
                <w:rFonts w:hint="eastAsia" w:cs="宋体"/>
                <w:bCs/>
                <w:color w:val="auto"/>
                <w:highlight w:val="none"/>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restart"/>
            <w:noWrap w:val="0"/>
            <w:vAlign w:val="center"/>
          </w:tcPr>
          <w:p>
            <w:pPr>
              <w:pStyle w:val="14"/>
              <w:jc w:val="center"/>
              <w:rPr>
                <w:rFonts w:hint="eastAsia"/>
                <w:color w:val="auto"/>
                <w:sz w:val="24"/>
                <w:szCs w:val="24"/>
                <w:highlight w:val="none"/>
              </w:rPr>
            </w:pPr>
            <w:r>
              <w:rPr>
                <w:rFonts w:hint="eastAsia"/>
                <w:color w:val="auto"/>
                <w:sz w:val="24"/>
                <w:szCs w:val="24"/>
                <w:highlight w:val="none"/>
              </w:rPr>
              <w:t>安装、调试、</w:t>
            </w:r>
          </w:p>
          <w:p>
            <w:pPr>
              <w:pStyle w:val="14"/>
              <w:jc w:val="center"/>
              <w:rPr>
                <w:rFonts w:hint="eastAsia"/>
                <w:color w:val="auto"/>
                <w:sz w:val="24"/>
                <w:szCs w:val="24"/>
                <w:highlight w:val="none"/>
              </w:rPr>
            </w:pPr>
            <w:r>
              <w:rPr>
                <w:rFonts w:hint="eastAsia"/>
                <w:color w:val="auto"/>
                <w:sz w:val="24"/>
                <w:szCs w:val="24"/>
                <w:highlight w:val="none"/>
              </w:rPr>
              <w:t>验收方案</w:t>
            </w:r>
          </w:p>
        </w:tc>
        <w:tc>
          <w:tcPr>
            <w:tcW w:w="733"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3488" w:type="dxa"/>
            <w:noWrap w:val="0"/>
            <w:vAlign w:val="center"/>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安装、调试、验收方案切实可行，内容全面，可掌控性强。</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center"/>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安装、调试、验收方案基本满足要求，内容较全面，可掌控性较强。</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6.0-8.0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center"/>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安装、调试、验收方案存在缺陷，内容一般，可掌控性一般。</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restart"/>
            <w:noWrap w:val="0"/>
            <w:vAlign w:val="center"/>
          </w:tcPr>
          <w:p>
            <w:pPr>
              <w:pStyle w:val="14"/>
              <w:jc w:val="center"/>
              <w:rPr>
                <w:rFonts w:hint="eastAsia"/>
                <w:color w:val="auto"/>
                <w:sz w:val="24"/>
                <w:szCs w:val="24"/>
                <w:highlight w:val="none"/>
              </w:rPr>
            </w:pPr>
            <w:r>
              <w:rPr>
                <w:rFonts w:hint="eastAsia"/>
                <w:color w:val="auto"/>
                <w:sz w:val="24"/>
                <w:szCs w:val="24"/>
                <w:highlight w:val="none"/>
              </w:rPr>
              <w:t>供货计划</w:t>
            </w:r>
          </w:p>
          <w:p>
            <w:pPr>
              <w:pStyle w:val="14"/>
              <w:jc w:val="center"/>
              <w:rPr>
                <w:rFonts w:hint="eastAsia"/>
                <w:color w:val="auto"/>
                <w:sz w:val="24"/>
                <w:szCs w:val="24"/>
                <w:highlight w:val="none"/>
              </w:rPr>
            </w:pPr>
            <w:r>
              <w:rPr>
                <w:rFonts w:hint="eastAsia"/>
                <w:color w:val="auto"/>
                <w:sz w:val="24"/>
                <w:szCs w:val="24"/>
                <w:highlight w:val="none"/>
              </w:rPr>
              <w:t>及保证措施</w:t>
            </w:r>
          </w:p>
        </w:tc>
        <w:tc>
          <w:tcPr>
            <w:tcW w:w="733"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10分</w:t>
            </w:r>
          </w:p>
        </w:tc>
        <w:tc>
          <w:tcPr>
            <w:tcW w:w="3488" w:type="dxa"/>
            <w:noWrap w:val="0"/>
            <w:vAlign w:val="top"/>
          </w:tcPr>
          <w:p>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供货计划及保证措施科学、合理、完善可行，有针对性、能根据实际需求保证供货时间和质量。</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top"/>
          </w:tcPr>
          <w:p>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供货计划及保证措施较科学、合理、完善可行，针对性较强、能根据实际需求较好保证供货时间和质量。</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6.0-8.0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top"/>
          </w:tcPr>
          <w:p>
            <w:pPr>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供货计划及保证措施一般，基本能保证供货的时间和质量。</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restart"/>
            <w:noWrap w:val="0"/>
            <w:vAlign w:val="center"/>
          </w:tcPr>
          <w:p>
            <w:pPr>
              <w:pStyle w:val="14"/>
              <w:jc w:val="center"/>
              <w:rPr>
                <w:rFonts w:hint="eastAsia"/>
                <w:color w:val="auto"/>
                <w:sz w:val="24"/>
                <w:szCs w:val="24"/>
                <w:highlight w:val="none"/>
              </w:rPr>
            </w:pPr>
            <w:r>
              <w:rPr>
                <w:rFonts w:hint="eastAsia"/>
                <w:color w:val="auto"/>
                <w:sz w:val="24"/>
                <w:szCs w:val="24"/>
                <w:highlight w:val="none"/>
              </w:rPr>
              <w:t>技术服务和质保期服务能力的评价</w:t>
            </w:r>
          </w:p>
        </w:tc>
        <w:tc>
          <w:tcPr>
            <w:tcW w:w="733" w:type="dxa"/>
            <w:vMerge w:val="restart"/>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15分</w:t>
            </w:r>
          </w:p>
        </w:tc>
        <w:tc>
          <w:tcPr>
            <w:tcW w:w="3488" w:type="dxa"/>
            <w:noWrap w:val="0"/>
            <w:vAlign w:val="top"/>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技术服务和质保期服务能力满足招标文件要求，技术和售后服务方案、质保期服务保障措施等完善，能够提出更优化的服务方案或增值服务，且可实施性好。</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12.0-15.0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top"/>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技术服务和质保期服务能力满足招标文件要求，技术和售后服务方案、质保期服务保障措施等较完善，能够提出较优化的服务方案或增值服务，且可实施性较好。</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9.0-12.0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jc w:val="center"/>
        </w:trPr>
        <w:tc>
          <w:tcPr>
            <w:tcW w:w="816"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709"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lang w:val="zh-CN"/>
              </w:rPr>
            </w:pPr>
          </w:p>
        </w:tc>
        <w:tc>
          <w:tcPr>
            <w:tcW w:w="850"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1677" w:type="dxa"/>
            <w:vMerge w:val="continue"/>
            <w:noWrap w:val="0"/>
            <w:vAlign w:val="center"/>
          </w:tcPr>
          <w:p>
            <w:pPr>
              <w:pStyle w:val="14"/>
              <w:jc w:val="center"/>
              <w:rPr>
                <w:rFonts w:hint="eastAsia"/>
                <w:color w:val="auto"/>
                <w:sz w:val="24"/>
                <w:szCs w:val="24"/>
                <w:highlight w:val="none"/>
              </w:rPr>
            </w:pPr>
          </w:p>
        </w:tc>
        <w:tc>
          <w:tcPr>
            <w:tcW w:w="733" w:type="dxa"/>
            <w:vMerge w:val="continue"/>
            <w:noWrap w:val="0"/>
            <w:vAlign w:val="center"/>
          </w:tcPr>
          <w:p>
            <w:pPr>
              <w:autoSpaceDE w:val="0"/>
              <w:autoSpaceDN w:val="0"/>
              <w:adjustRightInd w:val="0"/>
              <w:snapToGrid w:val="0"/>
              <w:jc w:val="center"/>
              <w:rPr>
                <w:rFonts w:hint="eastAsia" w:ascii="宋体" w:hAnsi="宋体" w:cs="宋体"/>
                <w:color w:val="auto"/>
                <w:sz w:val="24"/>
                <w:szCs w:val="24"/>
                <w:highlight w:val="none"/>
              </w:rPr>
            </w:pPr>
          </w:p>
        </w:tc>
        <w:tc>
          <w:tcPr>
            <w:tcW w:w="3488" w:type="dxa"/>
            <w:noWrap w:val="0"/>
            <w:vAlign w:val="top"/>
          </w:tcPr>
          <w:p>
            <w:pPr>
              <w:autoSpaceDE w:val="0"/>
              <w:autoSpaceDN w:val="0"/>
              <w:adjustRightInd w:val="0"/>
              <w:snapToGrid w:val="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技术服务和质保期服务能力基本满足招标文件要求，技术和售后服务方案、质保期服务保障措施等基本完善，可实施性一般。</w:t>
            </w:r>
          </w:p>
        </w:tc>
        <w:tc>
          <w:tcPr>
            <w:tcW w:w="1437" w:type="dxa"/>
            <w:noWrap w:val="0"/>
            <w:vAlign w:val="center"/>
          </w:tcPr>
          <w:p>
            <w:pPr>
              <w:pStyle w:val="15"/>
              <w:spacing w:before="240" w:after="120"/>
              <w:jc w:val="center"/>
              <w:rPr>
                <w:rFonts w:hint="eastAsia" w:cs="宋体"/>
                <w:color w:val="auto"/>
                <w:highlight w:val="none"/>
                <w:lang w:val="zh-CN"/>
              </w:rPr>
            </w:pPr>
            <w:r>
              <w:rPr>
                <w:rFonts w:hint="eastAsia" w:cs="宋体"/>
                <w:bCs/>
                <w:color w:val="auto"/>
                <w:highlight w:val="none"/>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816" w:type="dxa"/>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2.3.4（2）</w:t>
            </w:r>
          </w:p>
        </w:tc>
        <w:tc>
          <w:tcPr>
            <w:tcW w:w="709" w:type="dxa"/>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投标报价</w:t>
            </w:r>
          </w:p>
        </w:tc>
        <w:tc>
          <w:tcPr>
            <w:tcW w:w="850" w:type="dxa"/>
            <w:noWrap w:val="0"/>
            <w:vAlign w:val="center"/>
          </w:tcPr>
          <w:p>
            <w:pPr>
              <w:autoSpaceDE w:val="0"/>
              <w:autoSpaceDN w:val="0"/>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30分</w:t>
            </w:r>
          </w:p>
        </w:tc>
        <w:tc>
          <w:tcPr>
            <w:tcW w:w="1677" w:type="dxa"/>
            <w:noWrap w:val="0"/>
            <w:vAlign w:val="center"/>
          </w:tcPr>
          <w:p>
            <w:pPr>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评标报价评分标准</w:t>
            </w:r>
          </w:p>
        </w:tc>
        <w:tc>
          <w:tcPr>
            <w:tcW w:w="5658" w:type="dxa"/>
            <w:gridSpan w:val="3"/>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评标报价得分计算公式：</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(1)如果投标人的有效投标报价＞评标基准价，则投标报价得分=30-偏差率×100×E1；</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(2)如果投标人的有效投标报价≤评标基准价，则投标报价得分=30+偏差率×100×E2。</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其中：</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E1是有效投标报价每高于评标基准价一个百分点的扣分值，E1＝0.2；</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E2是有效投标报价每低于评标基准价一个百分点的扣分值，E2＝0.1。</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投标价最低得分为0分。投标报价得分保留小数点后两位，小数点后第三位“四舍五入”。</w:t>
            </w:r>
          </w:p>
        </w:tc>
      </w:tr>
    </w:tbl>
    <w:p>
      <w:pPr>
        <w:pStyle w:val="4"/>
        <w:rPr>
          <w:rFonts w:hint="eastAsia"/>
          <w:color w:val="auto"/>
          <w:highlight w:val="none"/>
        </w:rPr>
      </w:pPr>
    </w:p>
    <w:p>
      <w:pPr>
        <w:adjustRightInd w:val="0"/>
        <w:spacing w:line="400" w:lineRule="exact"/>
        <w:rPr>
          <w:rFonts w:ascii="宋体" w:hAnsi="宋体"/>
          <w:color w:val="auto"/>
          <w:sz w:val="24"/>
          <w:highlight w:val="none"/>
        </w:rPr>
      </w:pPr>
      <w:r>
        <w:rPr>
          <w:rFonts w:hint="eastAsia" w:ascii="宋体" w:hAnsi="宋体"/>
          <w:color w:val="auto"/>
          <w:sz w:val="24"/>
          <w:highlight w:val="none"/>
        </w:rPr>
        <w:t>注：</w:t>
      </w:r>
      <w:bookmarkEnd w:id="1"/>
      <w:r>
        <w:rPr>
          <w:rFonts w:hint="eastAsia" w:ascii="宋体" w:hAnsi="宋体"/>
          <w:color w:val="auto"/>
          <w:sz w:val="24"/>
          <w:highlight w:val="none"/>
        </w:rPr>
        <w:t>1、评审因素得分应以评标委员会各成员的打分平均值确定；</w:t>
      </w:r>
    </w:p>
    <w:p>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2、服务方案各评分因素细分项的细分项缺项则该项得0分；</w:t>
      </w:r>
    </w:p>
    <w:p>
      <w:pPr>
        <w:adjustRightInd w:val="0"/>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3、服务方案评分时保留1位小数，评标价得分计算时保留两位小数。</w:t>
      </w:r>
    </w:p>
    <w:p>
      <w:pPr>
        <w:adjustRightInd w:val="0"/>
        <w:spacing w:line="400" w:lineRule="exact"/>
        <w:rPr>
          <w:rFonts w:hint="eastAsia" w:ascii="宋体" w:hAnsi="宋体" w:cs="微软雅黑"/>
          <w:b/>
          <w:color w:val="auto"/>
          <w:sz w:val="28"/>
          <w:szCs w:val="28"/>
          <w:highlight w:val="none"/>
        </w:rPr>
      </w:pPr>
      <w:r>
        <w:rPr>
          <w:rFonts w:ascii="宋体" w:hAnsi="宋体"/>
          <w:color w:val="auto"/>
          <w:kern w:val="0"/>
          <w:highlight w:val="none"/>
        </w:rPr>
        <w:br w:type="page"/>
      </w:r>
      <w:r>
        <w:rPr>
          <w:rFonts w:hint="eastAsia" w:ascii="宋体" w:hAnsi="宋体" w:cs="微软雅黑"/>
          <w:b/>
          <w:color w:val="auto"/>
          <w:sz w:val="28"/>
          <w:szCs w:val="28"/>
          <w:highlight w:val="none"/>
        </w:rPr>
        <w:t>附件3：设备采购清单</w:t>
      </w:r>
    </w:p>
    <w:p>
      <w:pPr>
        <w:pStyle w:val="2"/>
        <w:rPr>
          <w:rFonts w:hint="eastAsia" w:ascii="宋体" w:hAnsi="宋体" w:cs="微软雅黑"/>
          <w:b/>
          <w:color w:val="auto"/>
          <w:sz w:val="28"/>
          <w:szCs w:val="28"/>
          <w:highlight w:val="none"/>
        </w:rPr>
      </w:pPr>
    </w:p>
    <w:p>
      <w:pPr>
        <w:rPr>
          <w:rFonts w:hint="eastAsia"/>
          <w:color w:val="auto"/>
          <w:sz w:val="24"/>
          <w:szCs w:val="24"/>
          <w:highlight w:val="none"/>
        </w:rPr>
      </w:pPr>
      <w:r>
        <w:rPr>
          <w:rFonts w:hint="eastAsia" w:ascii="宋体" w:hAnsi="宋体" w:cs="微软雅黑"/>
          <w:b/>
          <w:color w:val="auto"/>
          <w:sz w:val="24"/>
          <w:szCs w:val="24"/>
          <w:highlight w:val="none"/>
        </w:rPr>
        <w:t>1标段采购清单</w:t>
      </w:r>
    </w:p>
    <w:p>
      <w:pPr>
        <w:pStyle w:val="4"/>
        <w:rPr>
          <w:rFonts w:hint="eastAsia"/>
          <w:color w:val="auto"/>
          <w:highlight w:val="none"/>
        </w:rPr>
      </w:pPr>
    </w:p>
    <w:tbl>
      <w:tblPr>
        <w:tblStyle w:val="9"/>
        <w:tblW w:w="49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02"/>
        <w:gridCol w:w="1244"/>
        <w:gridCol w:w="2488"/>
        <w:gridCol w:w="1229"/>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tcBorders>
              <w:tl2br w:val="nil"/>
              <w:tr2bl w:val="nil"/>
            </w:tcBorders>
            <w:noWrap w:val="0"/>
            <w:vAlign w:val="center"/>
          </w:tcPr>
          <w:p>
            <w:pPr>
              <w:widowControl/>
              <w:jc w:val="center"/>
              <w:textAlignment w:val="center"/>
              <w:rPr>
                <w:rFonts w:hint="eastAsia"/>
                <w:color w:val="auto"/>
                <w:highlight w:val="none"/>
              </w:rPr>
            </w:pPr>
            <w:r>
              <w:rPr>
                <w:rFonts w:hint="eastAsia" w:ascii="宋体" w:hAnsi="宋体" w:cs="宋体"/>
                <w:b/>
                <w:bCs/>
                <w:color w:val="auto"/>
                <w:kern w:val="0"/>
                <w:sz w:val="24"/>
                <w:szCs w:val="24"/>
                <w:highlight w:val="none"/>
                <w:lang w:bidi="ar"/>
              </w:rPr>
              <w:t>需求部门</w:t>
            </w:r>
          </w:p>
        </w:tc>
        <w:tc>
          <w:tcPr>
            <w:tcW w:w="744" w:type="pct"/>
            <w:tcBorders>
              <w:tl2br w:val="nil"/>
              <w:tr2bl w:val="nil"/>
            </w:tcBorders>
            <w:noWrap w:val="0"/>
            <w:vAlign w:val="center"/>
          </w:tcPr>
          <w:p>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序号</w:t>
            </w:r>
          </w:p>
        </w:tc>
        <w:tc>
          <w:tcPr>
            <w:tcW w:w="1488" w:type="pct"/>
            <w:tcBorders>
              <w:tl2br w:val="nil"/>
              <w:tr2bl w:val="nil"/>
            </w:tcBorders>
            <w:noWrap w:val="0"/>
            <w:vAlign w:val="center"/>
          </w:tcPr>
          <w:p>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设备</w:t>
            </w:r>
          </w:p>
        </w:tc>
        <w:tc>
          <w:tcPr>
            <w:tcW w:w="735" w:type="pct"/>
            <w:tcBorders>
              <w:tl2br w:val="nil"/>
              <w:tr2bl w:val="nil"/>
            </w:tcBorders>
            <w:noWrap w:val="0"/>
            <w:vAlign w:val="center"/>
          </w:tcPr>
          <w:p>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数量</w:t>
            </w:r>
          </w:p>
        </w:tc>
        <w:tc>
          <w:tcPr>
            <w:tcW w:w="712" w:type="pct"/>
            <w:tcBorders>
              <w:tl2br w:val="nil"/>
              <w:tr2bl w:val="nil"/>
            </w:tcBorders>
            <w:noWrap w:val="0"/>
            <w:vAlign w:val="center"/>
          </w:tcPr>
          <w:p>
            <w:pPr>
              <w:widowControl/>
              <w:jc w:val="center"/>
              <w:textAlignment w:val="center"/>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结算中心</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资源公司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石安分公司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80</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彩色复印机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16</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14</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运动相机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石黄分公司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109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A3黑白打印机</w:t>
            </w:r>
          </w:p>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养护分公司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78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47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单反相机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数码相机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项目开发办公室</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冀翔通公司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112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A3彩打复印一体机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10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单反相机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摄像机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工程技术公司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40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10</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8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数码照相机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数码摄像机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工程咨询公司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16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高速打印机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彩色复印机（快速）</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高速复印机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复印机</w:t>
            </w:r>
          </w:p>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（A3彩色多功能）</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摄像机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京雄分公司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打印机（落地式）</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单反相机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荣乌分公司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8</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张涿分公司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A4彩色复印机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照相机（单反）</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廊坊分公司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A3黑白打印机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19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张承张家口分公司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10</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A3黑白复印打印机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宣大分公司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54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复印机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39</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延崇分公司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A3黑白复印打印机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承德分公司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通衢公司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京哈北线分公司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14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摄像机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全景运动相机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承秦分公司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12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打印复印扫描</w:t>
            </w:r>
          </w:p>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A4彩色打印机</w:t>
            </w:r>
          </w:p>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复印、扫描</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8</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数码相机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restar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京秦分公司</w:t>
            </w: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台式电脑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63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笔记本电脑</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7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3</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打印复印一体机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4</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A3黑白打印机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3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5</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A4彩色打印机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6</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A4打印机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15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7</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微单相机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1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317" w:type="pct"/>
            <w:vMerge w:val="continue"/>
            <w:tcBorders>
              <w:tl2br w:val="nil"/>
              <w:tr2bl w:val="nil"/>
            </w:tcBorders>
            <w:noWrap w:val="0"/>
            <w:vAlign w:val="center"/>
          </w:tcPr>
          <w:p>
            <w:pPr>
              <w:jc w:val="center"/>
              <w:rPr>
                <w:rFonts w:hint="eastAsia" w:ascii="宋体" w:hAnsi="宋体" w:cs="宋体"/>
                <w:color w:val="auto"/>
                <w:sz w:val="24"/>
                <w:szCs w:val="24"/>
                <w:highlight w:val="none"/>
              </w:rPr>
            </w:pPr>
          </w:p>
        </w:tc>
        <w:tc>
          <w:tcPr>
            <w:tcW w:w="744"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8</w:t>
            </w:r>
          </w:p>
        </w:tc>
        <w:tc>
          <w:tcPr>
            <w:tcW w:w="1488" w:type="pct"/>
            <w:tcBorders>
              <w:tl2br w:val="nil"/>
              <w:tr2bl w:val="nil"/>
            </w:tcBorders>
            <w:noWrap w:val="0"/>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单反照相机</w:t>
            </w:r>
          </w:p>
        </w:tc>
        <w:tc>
          <w:tcPr>
            <w:tcW w:w="735"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 xml:space="preserve">4 </w:t>
            </w:r>
          </w:p>
        </w:tc>
        <w:tc>
          <w:tcPr>
            <w:tcW w:w="712" w:type="pct"/>
            <w:tcBorders>
              <w:tl2br w:val="nil"/>
              <w:tr2bl w:val="nil"/>
            </w:tcBorders>
            <w:noWrap w:val="0"/>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台</w:t>
            </w:r>
          </w:p>
        </w:tc>
      </w:tr>
    </w:tbl>
    <w:p>
      <w:pPr>
        <w:pStyle w:val="8"/>
        <w:ind w:left="0" w:leftChars="0" w:firstLine="0" w:firstLineChars="0"/>
        <w:rPr>
          <w:color w:val="auto"/>
          <w:highlight w:val="none"/>
        </w:rPr>
        <w:sectPr>
          <w:footerReference r:id="rId4" w:type="first"/>
          <w:footerReference r:id="rId3" w:type="default"/>
          <w:pgSz w:w="11907" w:h="16840"/>
          <w:pgMar w:top="1440" w:right="1800" w:bottom="1440" w:left="1800" w:header="1134" w:footer="1134" w:gutter="0"/>
          <w:pgBorders>
            <w:top w:val="none" w:sz="0" w:space="0"/>
            <w:left w:val="none" w:sz="0" w:space="0"/>
            <w:bottom w:val="none" w:sz="0" w:space="0"/>
            <w:right w:val="none" w:sz="0" w:space="0"/>
          </w:pgBorders>
          <w:pgNumType w:fmt="numberInDash" w:start="1"/>
          <w:cols w:space="720" w:num="1"/>
          <w:titlePg/>
          <w:docGrid w:linePitch="286" w:charSpace="0"/>
        </w:sectPr>
      </w:pPr>
    </w:p>
    <w:p>
      <w:pPr>
        <w:pStyle w:val="4"/>
        <w:rPr>
          <w:rFonts w:hint="eastAsia"/>
          <w:b/>
          <w:bCs/>
          <w:color w:val="auto"/>
          <w:sz w:val="24"/>
          <w:szCs w:val="24"/>
          <w:highlight w:val="none"/>
        </w:rPr>
      </w:pPr>
      <w:r>
        <w:rPr>
          <w:rFonts w:hint="eastAsia"/>
          <w:b/>
          <w:bCs/>
          <w:color w:val="auto"/>
          <w:sz w:val="24"/>
          <w:szCs w:val="24"/>
          <w:highlight w:val="none"/>
        </w:rPr>
        <w:t>2标段设备采购清单</w:t>
      </w:r>
    </w:p>
    <w:tbl>
      <w:tblPr>
        <w:tblStyle w:val="9"/>
        <w:tblW w:w="49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88"/>
        <w:gridCol w:w="1091"/>
        <w:gridCol w:w="2699"/>
        <w:gridCol w:w="1153"/>
        <w:gridCol w:w="11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tcBorders>
              <w:tl2br w:val="nil"/>
              <w:tr2bl w:val="nil"/>
            </w:tcBorders>
            <w:noWrap w:val="0"/>
            <w:vAlign w:val="center"/>
          </w:tcPr>
          <w:p>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需求部门</w:t>
            </w:r>
          </w:p>
        </w:tc>
        <w:tc>
          <w:tcPr>
            <w:tcW w:w="647" w:type="pct"/>
            <w:tcBorders>
              <w:tl2br w:val="nil"/>
              <w:tr2bl w:val="nil"/>
            </w:tcBorders>
            <w:noWrap w:val="0"/>
            <w:vAlign w:val="center"/>
          </w:tcPr>
          <w:p>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序号</w:t>
            </w:r>
          </w:p>
        </w:tc>
        <w:tc>
          <w:tcPr>
            <w:tcW w:w="1601" w:type="pct"/>
            <w:tcBorders>
              <w:tl2br w:val="nil"/>
              <w:tr2bl w:val="nil"/>
            </w:tcBorders>
            <w:noWrap w:val="0"/>
            <w:vAlign w:val="center"/>
          </w:tcPr>
          <w:p>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设备</w:t>
            </w:r>
          </w:p>
        </w:tc>
        <w:tc>
          <w:tcPr>
            <w:tcW w:w="684" w:type="pct"/>
            <w:tcBorders>
              <w:tl2br w:val="nil"/>
              <w:tr2bl w:val="nil"/>
            </w:tcBorders>
            <w:noWrap w:val="0"/>
            <w:vAlign w:val="center"/>
          </w:tcPr>
          <w:p>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数量</w:t>
            </w:r>
          </w:p>
        </w:tc>
        <w:tc>
          <w:tcPr>
            <w:tcW w:w="707" w:type="pct"/>
            <w:tcBorders>
              <w:tl2br w:val="nil"/>
              <w:tr2bl w:val="nil"/>
            </w:tcBorders>
            <w:noWrap w:val="0"/>
            <w:vAlign w:val="center"/>
          </w:tcPr>
          <w:p>
            <w:pPr>
              <w:widowControl/>
              <w:jc w:val="center"/>
              <w:textAlignment w:val="center"/>
              <w:rPr>
                <w:rFonts w:hint="eastAsia" w:ascii="宋体" w:hAnsi="宋体" w:cs="宋体"/>
                <w:b/>
                <w:bCs/>
                <w:color w:val="auto"/>
                <w:kern w:val="0"/>
                <w:sz w:val="22"/>
                <w:highlight w:val="none"/>
                <w:lang w:bidi="ar"/>
              </w:rPr>
            </w:pPr>
            <w:r>
              <w:rPr>
                <w:rFonts w:hint="eastAsia" w:ascii="宋体" w:hAnsi="宋体" w:cs="宋体"/>
                <w:b/>
                <w:bCs/>
                <w:color w:val="auto"/>
                <w:kern w:val="0"/>
                <w:sz w:val="22"/>
                <w:highlight w:val="none"/>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集团总部</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20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A3彩色打印复印一体机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燕赵驿行集团</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200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32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A3彩打复印一体机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彩色打印复印一体机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打印复印一体机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7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19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指挥调度中心</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生态建设公司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物流公司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高速复印机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天呈投资公司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A3打印机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摄像机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交通科技公司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A3彩色打印机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青银分公司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38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京沪分公司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32</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彩色A3复印机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复印机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12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大广分公司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57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邢衡衡水分公司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邢汾分公司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9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A3黑白打印机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A4彩色复印机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3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widowControl/>
              <w:jc w:val="center"/>
              <w:textAlignment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打印复印一体机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15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A4彩色复印机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15</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7</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照相摄像一体机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8</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restar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邢衡邢台分公司</w:t>
            </w: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台式电脑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25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笔记本电脑</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A4彩色打印机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A4打印机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13 </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58" w:type="pct"/>
            <w:vMerge w:val="continue"/>
            <w:tcBorders>
              <w:tl2br w:val="nil"/>
              <w:tr2bl w:val="nil"/>
            </w:tcBorders>
            <w:noWrap w:val="0"/>
            <w:vAlign w:val="center"/>
          </w:tcPr>
          <w:p>
            <w:pPr>
              <w:jc w:val="center"/>
              <w:rPr>
                <w:rFonts w:hint="eastAsia" w:ascii="宋体" w:hAnsi="宋体" w:cs="宋体"/>
                <w:color w:val="auto"/>
                <w:sz w:val="22"/>
                <w:highlight w:val="none"/>
              </w:rPr>
            </w:pPr>
          </w:p>
        </w:tc>
        <w:tc>
          <w:tcPr>
            <w:tcW w:w="64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1601"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照相机</w:t>
            </w:r>
          </w:p>
        </w:tc>
        <w:tc>
          <w:tcPr>
            <w:tcW w:w="684"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707" w:type="pct"/>
            <w:tcBorders>
              <w:tl2br w:val="nil"/>
              <w:tr2bl w:val="nil"/>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台</w:t>
            </w:r>
          </w:p>
        </w:tc>
      </w:tr>
    </w:tbl>
    <w:p>
      <w:pPr>
        <w:rPr>
          <w:rFonts w:ascii="宋体" w:hAnsi="宋体" w:cs="宋体"/>
          <w:color w:val="auto"/>
          <w:sz w:val="24"/>
          <w:szCs w:val="24"/>
          <w:highlight w:val="none"/>
        </w:rPr>
      </w:pPr>
      <w:r>
        <w:rPr>
          <w:rFonts w:hint="eastAsia" w:ascii="宋体" w:hAnsi="宋体"/>
          <w:color w:val="auto"/>
          <w:sz w:val="24"/>
          <w:highlight w:val="none"/>
        </w:rPr>
        <w:t>注：</w:t>
      </w:r>
    </w:p>
    <w:p>
      <w:pPr>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具体设备参数详见第五章供货要求；</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w:t>
      </w:r>
      <w:r>
        <w:rPr>
          <w:rFonts w:hint="eastAsia" w:ascii="宋体" w:hAnsi="宋体" w:cs="宋体"/>
          <w:color w:val="auto"/>
          <w:sz w:val="24"/>
          <w:szCs w:val="24"/>
          <w:highlight w:val="none"/>
        </w:rPr>
        <w:t>所有设备均应符合国家相关的强制性要求；</w:t>
      </w:r>
    </w:p>
    <w:p>
      <w:pPr>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w:t>
      </w:r>
      <w:r>
        <w:rPr>
          <w:rFonts w:hint="eastAsia" w:ascii="宋体" w:hAnsi="宋体" w:cs="宋体"/>
          <w:color w:val="auto"/>
          <w:sz w:val="24"/>
          <w:szCs w:val="24"/>
          <w:highlight w:val="none"/>
        </w:rPr>
        <w:t>投标人</w:t>
      </w:r>
      <w:r>
        <w:rPr>
          <w:rFonts w:ascii="宋体" w:hAnsi="宋体" w:cs="宋体"/>
          <w:color w:val="auto"/>
          <w:sz w:val="24"/>
          <w:szCs w:val="24"/>
          <w:highlight w:val="none"/>
        </w:rPr>
        <w:t>提供的货物为最新生产，符合国家质量性能检测标准，同时符合国家法律规定的有关质量安全规定，且各项技术参数符合招标文件要求和</w:t>
      </w:r>
      <w:r>
        <w:rPr>
          <w:rFonts w:hint="eastAsia" w:ascii="宋体" w:hAnsi="宋体" w:cs="宋体"/>
          <w:color w:val="auto"/>
          <w:sz w:val="24"/>
          <w:szCs w:val="24"/>
          <w:highlight w:val="none"/>
        </w:rPr>
        <w:t>投标人</w:t>
      </w:r>
      <w:r>
        <w:rPr>
          <w:rFonts w:ascii="宋体" w:hAnsi="宋体" w:cs="宋体"/>
          <w:color w:val="auto"/>
          <w:sz w:val="24"/>
          <w:szCs w:val="24"/>
          <w:highlight w:val="none"/>
        </w:rPr>
        <w:t>投标文件承诺；</w:t>
      </w:r>
    </w:p>
    <w:p>
      <w:pPr>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ascii="宋体" w:hAnsi="宋体" w:cs="宋体"/>
          <w:color w:val="auto"/>
          <w:sz w:val="24"/>
          <w:szCs w:val="24"/>
          <w:highlight w:val="none"/>
        </w:rPr>
        <w:t>包装标准按照国家规定，包装物由</w:t>
      </w:r>
      <w:r>
        <w:rPr>
          <w:rFonts w:hint="eastAsia" w:ascii="宋体" w:hAnsi="宋体" w:cs="宋体"/>
          <w:color w:val="auto"/>
          <w:sz w:val="24"/>
          <w:szCs w:val="24"/>
          <w:highlight w:val="none"/>
        </w:rPr>
        <w:t>投标人</w:t>
      </w:r>
      <w:r>
        <w:rPr>
          <w:rFonts w:ascii="宋体" w:hAnsi="宋体" w:cs="宋体"/>
          <w:color w:val="auto"/>
          <w:sz w:val="24"/>
          <w:szCs w:val="24"/>
          <w:highlight w:val="none"/>
        </w:rPr>
        <w:t>免费提供。随机备品按所附标准由</w:t>
      </w:r>
      <w:r>
        <w:rPr>
          <w:rFonts w:hint="eastAsia" w:ascii="宋体" w:hAnsi="宋体" w:cs="宋体"/>
          <w:color w:val="auto"/>
          <w:sz w:val="24"/>
          <w:szCs w:val="24"/>
          <w:highlight w:val="none"/>
        </w:rPr>
        <w:t>投标人</w:t>
      </w:r>
      <w:r>
        <w:rPr>
          <w:rFonts w:ascii="宋体" w:hAnsi="宋体" w:cs="宋体"/>
          <w:color w:val="auto"/>
          <w:sz w:val="24"/>
          <w:szCs w:val="24"/>
          <w:highlight w:val="none"/>
        </w:rPr>
        <w:t>配置</w:t>
      </w:r>
      <w:r>
        <w:rPr>
          <w:rFonts w:hint="eastAsia" w:ascii="宋体" w:hAnsi="宋体" w:cs="宋体"/>
          <w:color w:val="auto"/>
          <w:sz w:val="24"/>
          <w:szCs w:val="24"/>
          <w:highlight w:val="none"/>
        </w:rPr>
        <w:t>；</w:t>
      </w:r>
    </w:p>
    <w:p>
      <w:r>
        <w:rPr>
          <w:rFonts w:ascii="宋体" w:hAnsi="宋体" w:cs="宋体"/>
          <w:b/>
          <w:bCs/>
          <w:color w:val="auto"/>
          <w:sz w:val="24"/>
          <w:szCs w:val="24"/>
          <w:highlight w:val="none"/>
        </w:rPr>
        <w:t>5.投标人所供货物须为厂商原装全新正规渠道正品（中途不得作任何形式的拆封，拒绝水货、串货、拆机货、二手货、翻新货）若查验异常或提供产品为假冒伪劣产品，</w:t>
      </w:r>
      <w:r>
        <w:rPr>
          <w:rFonts w:hint="eastAsia" w:ascii="宋体" w:hAnsi="宋体" w:cs="宋体"/>
          <w:b/>
          <w:bCs/>
          <w:color w:val="auto"/>
          <w:sz w:val="24"/>
          <w:szCs w:val="24"/>
          <w:highlight w:val="none"/>
        </w:rPr>
        <w:t>招标人</w:t>
      </w:r>
      <w:r>
        <w:rPr>
          <w:rFonts w:ascii="宋体" w:hAnsi="宋体" w:cs="宋体"/>
          <w:b/>
          <w:bCs/>
          <w:color w:val="auto"/>
          <w:sz w:val="24"/>
          <w:szCs w:val="24"/>
          <w:highlight w:val="none"/>
        </w:rPr>
        <w:t>有权利拒收，并要求退货及赔偿。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autoSpaceDE w:val="0"/>
      <w:autoSpaceDN w:val="0"/>
      <w:adjustRightInd w:val="0"/>
      <w:spacing w:line="200" w:lineRule="exact"/>
      <w:jc w:val="left"/>
      <w:rPr>
        <w:kern w:val="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F38E0"/>
    <w:multiLevelType w:val="singleLevel"/>
    <w:tmpl w:val="080F38E0"/>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43A0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after="120"/>
      <w:jc w:val="both"/>
    </w:pPr>
    <w:rPr>
      <w:rFonts w:eastAsia="宋体" w:cs="Times New Roman"/>
      <w:kern w:val="2"/>
      <w:sz w:val="21"/>
      <w:szCs w:val="24"/>
    </w:rPr>
  </w:style>
  <w:style w:type="paragraph" w:styleId="3">
    <w:name w:val="Body Text Indent"/>
    <w:basedOn w:val="1"/>
    <w:uiPriority w:val="0"/>
    <w:pPr>
      <w:spacing w:after="120"/>
      <w:ind w:left="420" w:leftChars="200"/>
    </w:pPr>
  </w:style>
  <w:style w:type="paragraph" w:styleId="4">
    <w:name w:val="Plain Text"/>
    <w:basedOn w:val="1"/>
    <w:next w:val="5"/>
    <w:unhideWhenUsed/>
    <w:qFormat/>
    <w:uiPriority w:val="0"/>
    <w:rPr>
      <w:rFonts w:ascii="宋体" w:hAnsi="Courier New" w:eastAsia="宋体" w:cs="Courier New"/>
      <w:kern w:val="2"/>
      <w:sz w:val="21"/>
      <w:szCs w:val="21"/>
      <w:lang w:val="en-US" w:eastAsia="zh-CN" w:bidi="ar-SA"/>
    </w:rPr>
  </w:style>
  <w:style w:type="paragraph" w:styleId="5">
    <w:name w:val="List Number 5"/>
    <w:basedOn w:val="1"/>
    <w:uiPriority w:val="0"/>
    <w:pPr>
      <w:numPr>
        <w:ilvl w:val="0"/>
        <w:numId w:val="1"/>
      </w:numPr>
    </w:p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First Indent 2"/>
    <w:basedOn w:val="3"/>
    <w:next w:val="4"/>
    <w:qFormat/>
    <w:uiPriority w:val="0"/>
    <w:pPr>
      <w:widowControl w:val="0"/>
      <w:ind w:firstLine="420" w:firstLineChars="200"/>
      <w:jc w:val="both"/>
    </w:pPr>
    <w:rPr>
      <w:rFonts w:eastAsia="宋体" w:cs="Times New Roman"/>
      <w:kern w:val="2"/>
      <w:sz w:val="21"/>
      <w:szCs w:val="24"/>
    </w:rPr>
  </w:style>
  <w:style w:type="paragraph" w:styleId="11">
    <w:name w:val="List Paragraph"/>
    <w:basedOn w:val="1"/>
    <w:autoRedefine/>
    <w:qFormat/>
    <w:uiPriority w:val="34"/>
    <w:pPr>
      <w:ind w:firstLine="420" w:firstLineChars="200"/>
    </w:pPr>
  </w:style>
  <w:style w:type="character" w:customStyle="1" w:styleId="12">
    <w:name w:val="font21"/>
    <w:autoRedefine/>
    <w:qFormat/>
    <w:uiPriority w:val="0"/>
    <w:rPr>
      <w:rFonts w:hint="eastAsia" w:ascii="宋体" w:hAnsi="宋体" w:eastAsia="宋体" w:cs="宋体"/>
      <w:b/>
      <w:bCs/>
      <w:color w:val="000000"/>
      <w:sz w:val="21"/>
      <w:szCs w:val="21"/>
      <w:u w:val="none"/>
    </w:rPr>
  </w:style>
  <w:style w:type="paragraph" w:customStyle="1" w:styleId="13">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4">
    <w:name w:val="Table Paragraph"/>
    <w:basedOn w:val="1"/>
    <w:autoRedefine/>
    <w:qFormat/>
    <w:uiPriority w:val="6"/>
    <w:pPr>
      <w:widowControl w:val="0"/>
      <w:autoSpaceDE w:val="0"/>
      <w:autoSpaceDN w:val="0"/>
    </w:pPr>
    <w:rPr>
      <w:rFonts w:ascii="宋体" w:hAnsi="宋体" w:eastAsia="宋体" w:cs="宋体"/>
      <w:sz w:val="22"/>
      <w:szCs w:val="22"/>
      <w:lang w:val="zh-CN" w:bidi="zh-CN"/>
    </w:rPr>
  </w:style>
  <w:style w:type="paragraph" w:styleId="15">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2024-07-19T01:06:18Z</dcterms:created>
  <dc:creator>Administrator</dc:creator>
  <cp:lastModifiedBy>李娜</cp:lastModifiedBy>
  <dcterms:modified xsi:type="dcterms:W3CDTF">2024-07-19T01:07:07Z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9B98CC7D47DB4532BE924328BAA828E0_12</vt:lpwstr>
  </property>
</Properties>
</file>