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left"/>
        <w:rPr>
          <w:color w:val="auto"/>
          <w:highlight w:val="none"/>
        </w:rPr>
      </w:pPr>
      <w:bookmarkStart w:id="0" w:name="_Toc136940439"/>
      <w:bookmarkStart w:id="1" w:name="_Toc136940559"/>
      <w:r>
        <w:rPr>
          <w:rFonts w:hint="eastAsia"/>
          <w:color w:val="auto"/>
          <w:highlight w:val="none"/>
        </w:rPr>
        <w:t>附件</w:t>
      </w:r>
      <w:r>
        <w:rPr>
          <w:color w:val="auto"/>
          <w:highlight w:val="none"/>
        </w:rPr>
        <w:t>1</w:t>
      </w:r>
      <w:r>
        <w:rPr>
          <w:rFonts w:hint="eastAsia"/>
          <w:color w:val="auto"/>
          <w:highlight w:val="none"/>
        </w:rPr>
        <w:t>：资格审查条件</w:t>
      </w:r>
      <w:bookmarkEnd w:id="0"/>
      <w:bookmarkEnd w:id="1"/>
    </w:p>
    <w:p>
      <w:pPr>
        <w:pStyle w:val="12"/>
        <w:rPr>
          <w:color w:val="auto"/>
          <w:highlight w:val="none"/>
          <w:shd w:val="clear" w:color="auto" w:fill="auto"/>
        </w:rPr>
      </w:pPr>
      <w:bookmarkStart w:id="2" w:name="_Hlk44947073"/>
      <w:bookmarkStart w:id="3" w:name="_Toc524343453"/>
    </w:p>
    <w:p>
      <w:pPr>
        <w:pStyle w:val="12"/>
        <w:rPr>
          <w:color w:val="auto"/>
          <w:highlight w:val="none"/>
          <w:shd w:val="clear" w:color="auto" w:fill="auto"/>
        </w:rPr>
      </w:pPr>
      <w:r>
        <w:rPr>
          <w:rFonts w:hint="eastAsia"/>
          <w:color w:val="auto"/>
          <w:highlight w:val="none"/>
          <w:shd w:val="clear" w:color="auto" w:fill="auto"/>
        </w:rPr>
        <w:t>附录</w:t>
      </w:r>
      <w:r>
        <w:rPr>
          <w:color w:val="auto"/>
          <w:highlight w:val="none"/>
          <w:shd w:val="clear" w:color="auto" w:fill="auto"/>
        </w:rPr>
        <w:t xml:space="preserve">1 </w:t>
      </w:r>
      <w:bookmarkEnd w:id="2"/>
      <w:r>
        <w:rPr>
          <w:color w:val="auto"/>
          <w:highlight w:val="none"/>
          <w:shd w:val="clear" w:color="auto" w:fill="auto"/>
        </w:rPr>
        <w:t xml:space="preserve"> </w:t>
      </w:r>
      <w:r>
        <w:rPr>
          <w:rFonts w:hint="eastAsia"/>
          <w:color w:val="auto"/>
          <w:highlight w:val="none"/>
          <w:shd w:val="clear" w:color="auto" w:fill="auto"/>
        </w:rPr>
        <w:t>资格审查条件</w:t>
      </w:r>
      <w:r>
        <w:rPr>
          <w:color w:val="auto"/>
          <w:highlight w:val="none"/>
          <w:shd w:val="clear" w:color="auto" w:fill="auto"/>
        </w:rPr>
        <w:t>(</w:t>
      </w:r>
      <w:r>
        <w:rPr>
          <w:rFonts w:hint="eastAsia"/>
          <w:color w:val="auto"/>
          <w:highlight w:val="none"/>
          <w:shd w:val="clear" w:color="auto" w:fill="auto"/>
        </w:rPr>
        <w:t>资质最低条件</w:t>
      </w:r>
      <w:r>
        <w:rPr>
          <w:color w:val="auto"/>
          <w:highlight w:val="none"/>
          <w:shd w:val="clear" w:color="auto" w:fill="auto"/>
        </w:rPr>
        <w:t>)</w:t>
      </w:r>
      <w:bookmarkEnd w:id="3"/>
    </w:p>
    <w:tbl>
      <w:tblPr>
        <w:tblStyle w:val="9"/>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jc w:val="center"/>
        </w:trPr>
        <w:tc>
          <w:tcPr>
            <w:tcW w:w="9072" w:type="dxa"/>
            <w:vAlign w:val="center"/>
          </w:tcPr>
          <w:p>
            <w:pPr>
              <w:adjustRightInd w:val="0"/>
              <w:snapToGrid w:val="0"/>
              <w:spacing w:line="360" w:lineRule="auto"/>
              <w:jc w:val="center"/>
              <w:rPr>
                <w:rFonts w:cs="宋体" w:asciiTheme="minorEastAsia" w:hAnsiTheme="minorEastAsia"/>
                <w:b/>
                <w:bCs/>
                <w:color w:val="auto"/>
                <w:sz w:val="24"/>
                <w:szCs w:val="24"/>
                <w:highlight w:val="none"/>
              </w:rPr>
            </w:pPr>
            <w:r>
              <w:rPr>
                <w:rFonts w:hint="eastAsia" w:cs="宋体" w:asciiTheme="minorEastAsia" w:hAnsiTheme="minorEastAsia"/>
                <w:b/>
                <w:bCs/>
                <w:color w:val="auto"/>
                <w:sz w:val="24"/>
                <w:szCs w:val="24"/>
                <w:highlight w:val="none"/>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55" w:hRule="atLeast"/>
          <w:jc w:val="center"/>
        </w:trPr>
        <w:tc>
          <w:tcPr>
            <w:tcW w:w="9072" w:type="dxa"/>
            <w:vAlign w:val="center"/>
          </w:tcPr>
          <w:p>
            <w:pPr>
              <w:adjustRightInd w:val="0"/>
              <w:snapToGrid w:val="0"/>
              <w:spacing w:line="360" w:lineRule="auto"/>
              <w:ind w:firstLine="480" w:firstLineChars="200"/>
              <w:jc w:val="both"/>
              <w:rPr>
                <w:rFonts w:hint="default"/>
                <w:color w:val="auto"/>
                <w:highlight w:val="none"/>
                <w:lang w:val="en-US" w:eastAsia="zh-CN"/>
              </w:rPr>
            </w:pPr>
            <w:r>
              <w:rPr>
                <w:rFonts w:hint="eastAsia" w:ascii="宋体" w:hAnsi="宋体" w:eastAsia="宋体"/>
                <w:color w:val="auto"/>
                <w:sz w:val="24"/>
                <w:szCs w:val="24"/>
                <w:highlight w:val="none"/>
                <w:lang w:eastAsia="zh-CN"/>
              </w:rPr>
              <w:t>具有独立企业法人资格，持有有效企业营业执照。</w:t>
            </w:r>
          </w:p>
        </w:tc>
      </w:tr>
    </w:tbl>
    <w:p>
      <w:pPr>
        <w:pStyle w:val="12"/>
        <w:rPr>
          <w:color w:val="auto"/>
          <w:highlight w:val="none"/>
          <w:shd w:val="clear" w:color="auto" w:fill="auto"/>
        </w:rPr>
      </w:pPr>
    </w:p>
    <w:p>
      <w:pPr>
        <w:pStyle w:val="12"/>
        <w:rPr>
          <w:color w:val="auto"/>
          <w:highlight w:val="none"/>
          <w:shd w:val="clear" w:color="auto" w:fill="auto"/>
        </w:rPr>
      </w:pPr>
      <w:r>
        <w:rPr>
          <w:rFonts w:hint="eastAsia" w:ascii="宋体" w:hAnsi="宋体" w:cs="宋体"/>
          <w:b/>
          <w:color w:val="auto"/>
          <w:sz w:val="24"/>
          <w:szCs w:val="24"/>
          <w:highlight w:val="none"/>
          <w:lang w:eastAsia="zh-CN"/>
        </w:rPr>
        <w:t xml:space="preserve">附录2  </w:t>
      </w:r>
      <w:r>
        <w:rPr>
          <w:rFonts w:hint="eastAsia"/>
          <w:color w:val="auto"/>
          <w:highlight w:val="none"/>
          <w:shd w:val="clear" w:color="auto" w:fill="auto"/>
        </w:rPr>
        <w:t>信誉审查条件</w:t>
      </w:r>
      <w:r>
        <w:rPr>
          <w:color w:val="auto"/>
          <w:highlight w:val="none"/>
          <w:shd w:val="clear" w:color="auto" w:fill="auto"/>
        </w:rPr>
        <w:t>(</w:t>
      </w:r>
      <w:r>
        <w:rPr>
          <w:rFonts w:hint="eastAsia"/>
          <w:color w:val="auto"/>
          <w:highlight w:val="none"/>
          <w:shd w:val="clear" w:color="auto" w:fill="auto"/>
        </w:rPr>
        <w:t>信誉最低要求</w:t>
      </w:r>
      <w:r>
        <w:rPr>
          <w:color w:val="auto"/>
          <w:highlight w:val="none"/>
          <w:shd w:val="clear" w:color="auto" w:fill="auto"/>
        </w:rPr>
        <w:t>)</w:t>
      </w: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pPr>
              <w:adjustRightInd w:val="0"/>
              <w:snapToGrid w:val="0"/>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lang w:eastAsia="zh-CN"/>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pPr>
              <w:adjustRightInd w:val="0"/>
              <w:snapToGrid w:val="0"/>
              <w:spacing w:line="360" w:lineRule="auto"/>
              <w:ind w:firstLine="480" w:firstLineChars="200"/>
              <w:jc w:val="both"/>
              <w:rPr>
                <w:rFonts w:asciiTheme="minorEastAsia" w:hAnsiTheme="minorEastAsia"/>
                <w:b/>
                <w:color w:val="auto"/>
                <w:sz w:val="24"/>
                <w:szCs w:val="24"/>
                <w:highlight w:val="none"/>
                <w:lang w:eastAsia="zh-CN"/>
              </w:rPr>
            </w:pPr>
            <w:r>
              <w:rPr>
                <w:rFonts w:hint="eastAsia" w:ascii="宋体" w:hAnsi="宋体" w:eastAsia="宋体"/>
                <w:color w:val="auto"/>
                <w:sz w:val="24"/>
                <w:szCs w:val="24"/>
                <w:highlight w:val="none"/>
                <w:lang w:eastAsia="zh-CN"/>
              </w:rPr>
              <w:t>投标人在过去1年中(2023年</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lang w:eastAsia="zh-CN"/>
              </w:rPr>
              <w:t>月1日至今)不曾在车辆供货合同中违约而被驱逐或因投标人自身的原因而使车辆供货合同被解除。</w:t>
            </w:r>
          </w:p>
        </w:tc>
      </w:tr>
    </w:tbl>
    <w:p>
      <w:pPr>
        <w:widowControl/>
        <w:rPr>
          <w:rFonts w:asciiTheme="minorEastAsia" w:hAnsiTheme="minorEastAsia"/>
          <w:bCs/>
          <w:color w:val="auto"/>
          <w:sz w:val="52"/>
          <w:szCs w:val="52"/>
          <w:highlight w:val="none"/>
          <w:lang w:eastAsia="zh-CN"/>
        </w:rPr>
      </w:pPr>
      <w:r>
        <w:rPr>
          <w:rFonts w:asciiTheme="minorEastAsia" w:hAnsiTheme="minorEastAsia"/>
          <w:b/>
          <w:color w:val="auto"/>
          <w:sz w:val="52"/>
          <w:szCs w:val="52"/>
          <w:highlight w:val="none"/>
          <w:lang w:eastAsia="zh-CN"/>
        </w:rPr>
        <w:br w:type="page"/>
      </w:r>
    </w:p>
    <w:p>
      <w:pPr>
        <w:pStyle w:val="2"/>
        <w:ind w:left="110" w:firstLine="0"/>
        <w:rPr>
          <w:rFonts w:ascii="宋体" w:hAnsi="宋体" w:cs="宋体"/>
          <w:color w:val="auto"/>
          <w:highlight w:val="none"/>
        </w:rPr>
      </w:pPr>
      <w:r>
        <w:rPr>
          <w:rFonts w:hint="eastAsia" w:ascii="宋体" w:hAnsi="宋体" w:cs="宋体"/>
          <w:color w:val="auto"/>
          <w:highlight w:val="none"/>
        </w:rPr>
        <w:t>附件2：评标办法（综合评估法）</w:t>
      </w:r>
    </w:p>
    <w:p>
      <w:pPr>
        <w:autoSpaceDE w:val="0"/>
        <w:autoSpaceDN w:val="0"/>
        <w:adjustRightInd w:val="0"/>
        <w:snapToGrid w:val="0"/>
        <w:spacing w:line="360" w:lineRule="auto"/>
        <w:ind w:right="113"/>
        <w:jc w:val="center"/>
        <w:rPr>
          <w:rFonts w:ascii="宋体" w:hAnsi="宋体" w:cs="宋体"/>
          <w:b/>
          <w:bCs/>
          <w:color w:val="auto"/>
          <w:sz w:val="24"/>
          <w:szCs w:val="32"/>
          <w:highlight w:val="none"/>
        </w:rPr>
      </w:pPr>
      <w:r>
        <w:rPr>
          <w:rFonts w:hint="eastAsia" w:ascii="宋体" w:hAnsi="宋体" w:cs="宋体"/>
          <w:b/>
          <w:bCs/>
          <w:color w:val="auto"/>
          <w:sz w:val="24"/>
          <w:szCs w:val="32"/>
          <w:highlight w:val="none"/>
        </w:rPr>
        <w:t>评标办法前附表</w:t>
      </w:r>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968"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pPr>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546" w:type="dxa"/>
            <w:vAlign w:val="center"/>
          </w:tcPr>
          <w:p>
            <w:pPr>
              <w:snapToGrid w:val="0"/>
              <w:jc w:val="center"/>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6968" w:type="dxa"/>
            <w:vAlign w:val="center"/>
          </w:tcPr>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本条修改为：</w:t>
            </w:r>
          </w:p>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本次评标采用综合评估法。评标委员会对满足招标文件实质性要求的投标文件，按照本章第2.2款规定的评分标准进行打分，并按综合得分由高到低顺序推荐1-3名中标候选人。</w:t>
            </w:r>
            <w:r>
              <w:rPr>
                <w:rFonts w:hint="eastAsia" w:ascii="宋体" w:hAnsi="宋体" w:eastAsia="宋体"/>
                <w:color w:val="auto"/>
                <w:sz w:val="24"/>
                <w:szCs w:val="24"/>
                <w:highlight w:val="none"/>
                <w:lang w:eastAsia="zh-CN"/>
              </w:rPr>
              <w:t>当综合得分相等时按以下顺序推荐中标候选人：</w:t>
            </w:r>
          </w:p>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w:t>
            </w:r>
            <w:r>
              <w:rPr>
                <w:rFonts w:hint="eastAsia" w:ascii="宋体" w:hAnsi="宋体" w:eastAsia="宋体"/>
                <w:color w:val="auto"/>
                <w:sz w:val="24"/>
                <w:szCs w:val="24"/>
                <w:highlight w:val="none"/>
                <w:lang w:eastAsia="zh-CN"/>
              </w:rPr>
              <w:t>1</w:t>
            </w:r>
            <w:r>
              <w:rPr>
                <w:rFonts w:ascii="宋体" w:hAnsi="宋体" w:eastAsia="宋体"/>
                <w:color w:val="auto"/>
                <w:sz w:val="24"/>
                <w:szCs w:val="24"/>
                <w:highlight w:val="none"/>
                <w:lang w:eastAsia="zh-CN"/>
              </w:rPr>
              <w:t>）以评标价低的优先</w:t>
            </w:r>
            <w:r>
              <w:rPr>
                <w:rFonts w:hint="eastAsia" w:ascii="宋体" w:hAnsi="宋体" w:eastAsia="宋体"/>
                <w:color w:val="auto"/>
                <w:sz w:val="24"/>
                <w:szCs w:val="24"/>
                <w:highlight w:val="none"/>
                <w:lang w:eastAsia="zh-CN"/>
              </w:rPr>
              <w:t>；</w:t>
            </w:r>
          </w:p>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（2）当评标价相等时，以技术</w:t>
            </w:r>
            <w:r>
              <w:rPr>
                <w:rFonts w:hint="eastAsia" w:ascii="宋体" w:hAnsi="宋体" w:eastAsia="宋体"/>
                <w:color w:val="auto"/>
                <w:sz w:val="24"/>
                <w:szCs w:val="24"/>
                <w:highlight w:val="none"/>
                <w:lang w:eastAsia="zh-CN"/>
              </w:rPr>
              <w:t>部分</w:t>
            </w:r>
            <w:r>
              <w:rPr>
                <w:rFonts w:ascii="宋体" w:hAnsi="宋体" w:eastAsia="宋体"/>
                <w:color w:val="auto"/>
                <w:sz w:val="24"/>
                <w:szCs w:val="24"/>
                <w:highlight w:val="none"/>
                <w:lang w:eastAsia="zh-CN"/>
              </w:rPr>
              <w:t>得分高的优先</w:t>
            </w:r>
            <w:r>
              <w:rPr>
                <w:rFonts w:hint="eastAsia" w:ascii="宋体" w:hAnsi="宋体" w:eastAsia="宋体"/>
                <w:color w:val="auto"/>
                <w:sz w:val="24"/>
                <w:szCs w:val="24"/>
                <w:highlight w:val="none"/>
                <w:lang w:eastAsia="zh-CN"/>
              </w:rPr>
              <w:t>；</w:t>
            </w:r>
          </w:p>
          <w:p>
            <w:pPr>
              <w:rPr>
                <w:rFonts w:ascii="宋体" w:hAnsi="宋体" w:eastAsia="宋体"/>
                <w:color w:val="auto"/>
                <w:sz w:val="24"/>
                <w:szCs w:val="24"/>
                <w:highlight w:val="none"/>
                <w:lang w:eastAsia="zh-CN"/>
              </w:rPr>
            </w:pPr>
            <w:r>
              <w:rPr>
                <w:rFonts w:ascii="宋体" w:hAnsi="宋体" w:eastAsia="宋体"/>
                <w:color w:val="auto"/>
                <w:sz w:val="24"/>
                <w:szCs w:val="24"/>
                <w:highlight w:val="none"/>
                <w:lang w:eastAsia="zh-CN"/>
              </w:rPr>
              <w:t>（</w:t>
            </w:r>
            <w:r>
              <w:rPr>
                <w:rFonts w:hint="eastAsia" w:ascii="宋体" w:hAnsi="宋体" w:eastAsia="宋体"/>
                <w:color w:val="auto"/>
                <w:sz w:val="24"/>
                <w:szCs w:val="24"/>
                <w:highlight w:val="none"/>
                <w:lang w:eastAsia="zh-CN"/>
              </w:rPr>
              <w:t>3</w:t>
            </w:r>
            <w:r>
              <w:rPr>
                <w:rFonts w:ascii="宋体" w:hAnsi="宋体" w:eastAsia="宋体"/>
                <w:color w:val="auto"/>
                <w:sz w:val="24"/>
                <w:szCs w:val="24"/>
                <w:highlight w:val="none"/>
                <w:lang w:eastAsia="zh-CN"/>
              </w:rPr>
              <w:t>）技术</w:t>
            </w:r>
            <w:r>
              <w:rPr>
                <w:rFonts w:hint="eastAsia" w:ascii="宋体" w:hAnsi="宋体" w:eastAsia="宋体"/>
                <w:color w:val="auto"/>
                <w:sz w:val="24"/>
                <w:szCs w:val="24"/>
                <w:highlight w:val="none"/>
                <w:lang w:eastAsia="zh-CN"/>
              </w:rPr>
              <w:t>部分</w:t>
            </w:r>
            <w:r>
              <w:rPr>
                <w:rFonts w:ascii="宋体" w:hAnsi="宋体" w:eastAsia="宋体"/>
                <w:color w:val="auto"/>
                <w:sz w:val="24"/>
                <w:szCs w:val="24"/>
                <w:highlight w:val="none"/>
                <w:lang w:eastAsia="zh-CN"/>
              </w:rPr>
              <w:t>得分</w:t>
            </w:r>
            <w:r>
              <w:rPr>
                <w:rFonts w:hint="eastAsia" w:ascii="宋体" w:hAnsi="宋体" w:eastAsia="宋体"/>
                <w:color w:val="auto"/>
                <w:sz w:val="24"/>
                <w:szCs w:val="24"/>
                <w:highlight w:val="none"/>
                <w:lang w:val="en-US" w:eastAsia="zh-CN"/>
              </w:rPr>
              <w:t>也</w:t>
            </w:r>
            <w:r>
              <w:rPr>
                <w:rFonts w:ascii="宋体" w:hAnsi="宋体" w:eastAsia="宋体"/>
                <w:color w:val="auto"/>
                <w:sz w:val="24"/>
                <w:szCs w:val="24"/>
                <w:highlight w:val="none"/>
                <w:lang w:eastAsia="zh-CN"/>
              </w:rPr>
              <w:t>相等</w:t>
            </w:r>
            <w:r>
              <w:rPr>
                <w:rFonts w:hint="eastAsia" w:ascii="宋体" w:hAnsi="宋体" w:eastAsia="宋体"/>
                <w:color w:val="auto"/>
                <w:sz w:val="24"/>
                <w:szCs w:val="24"/>
                <w:highlight w:val="none"/>
                <w:lang w:eastAsia="zh-CN"/>
              </w:rPr>
              <w:t>时</w:t>
            </w:r>
            <w:r>
              <w:rPr>
                <w:rFonts w:ascii="宋体" w:hAnsi="宋体" w:eastAsia="宋体"/>
                <w:color w:val="auto"/>
                <w:sz w:val="24"/>
                <w:szCs w:val="24"/>
                <w:highlight w:val="none"/>
                <w:lang w:eastAsia="zh-CN"/>
              </w:rPr>
              <w:t>，由评标委员会投票确定。</w:t>
            </w:r>
          </w:p>
          <w:p>
            <w:pPr>
              <w:pStyle w:val="3"/>
              <w:rPr>
                <w:lang w:eastAsia="zh-CN"/>
              </w:rPr>
            </w:pPr>
            <w:r>
              <w:rPr>
                <w:rFonts w:hint="eastAsia" w:ascii="宋体" w:hAnsi="宋体" w:eastAsia="宋体" w:cstheme="minorBidi"/>
                <w:color w:val="auto"/>
                <w:sz w:val="24"/>
                <w:szCs w:val="24"/>
                <w:highlight w:val="none"/>
                <w:lang w:val="en-US" w:eastAsia="zh-CN" w:bidi="ar-SA"/>
              </w:rPr>
              <w:t>注：本项目按标段号</w:t>
            </w:r>
            <w:r>
              <w:rPr>
                <w:rFonts w:hint="eastAsia" w:cstheme="minorBidi"/>
                <w:color w:val="auto"/>
                <w:sz w:val="24"/>
                <w:szCs w:val="24"/>
                <w:highlight w:val="none"/>
                <w:lang w:val="en-US" w:eastAsia="zh-CN" w:bidi="ar-SA"/>
              </w:rPr>
              <w:t>（1标段、2标段、3标段、4标段）</w:t>
            </w:r>
            <w:r>
              <w:rPr>
                <w:rFonts w:hint="eastAsia" w:ascii="宋体" w:hAnsi="宋体" w:eastAsia="宋体" w:cstheme="minorBidi"/>
                <w:color w:val="auto"/>
                <w:sz w:val="24"/>
                <w:szCs w:val="24"/>
                <w:highlight w:val="none"/>
                <w:lang w:val="en-US" w:eastAsia="zh-CN" w:bidi="ar-SA"/>
              </w:rPr>
              <w:t>的顺序逐一进行评审</w:t>
            </w:r>
            <w:r>
              <w:rPr>
                <w:rFonts w:hint="eastAsia" w:cstheme="minorBidi"/>
                <w:color w:val="auto"/>
                <w:sz w:val="24"/>
                <w:szCs w:val="24"/>
                <w:highlight w:val="none"/>
                <w:lang w:val="en-US" w:eastAsia="zh-CN" w:bidi="ar-SA"/>
              </w:rPr>
              <w:t>，</w:t>
            </w:r>
            <w:r>
              <w:rPr>
                <w:rFonts w:hint="eastAsia" w:ascii="宋体" w:hAnsi="宋体" w:eastAsia="宋体" w:cstheme="minorBidi"/>
                <w:color w:val="auto"/>
                <w:sz w:val="24"/>
                <w:szCs w:val="24"/>
                <w:highlight w:val="none"/>
                <w:lang w:val="en-US" w:eastAsia="zh-CN" w:bidi="ar-SA"/>
              </w:rPr>
              <w:t>同一投标人参与</w:t>
            </w:r>
            <w:r>
              <w:rPr>
                <w:rFonts w:hint="eastAsia" w:cstheme="minorBidi"/>
                <w:color w:val="auto"/>
                <w:sz w:val="24"/>
                <w:szCs w:val="24"/>
                <w:highlight w:val="none"/>
                <w:lang w:val="en-US" w:eastAsia="zh-CN" w:bidi="ar-SA"/>
              </w:rPr>
              <w:t>2个标段</w:t>
            </w:r>
            <w:r>
              <w:rPr>
                <w:rFonts w:hint="eastAsia" w:ascii="宋体" w:hAnsi="宋体" w:eastAsia="宋体" w:cstheme="minorBidi"/>
                <w:color w:val="auto"/>
                <w:sz w:val="24"/>
                <w:szCs w:val="24"/>
                <w:highlight w:val="none"/>
                <w:lang w:val="en-US" w:eastAsia="zh-CN" w:bidi="ar-SA"/>
              </w:rPr>
              <w:t>的投标，若在先评审的标段被推荐为第一中标候选人，则在后评审的标段将不被推荐为中标候选人。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546" w:type="dxa"/>
            <w:vAlign w:val="center"/>
          </w:tcPr>
          <w:p>
            <w:pPr>
              <w:adjustRightInd w:val="0"/>
              <w:snapToGrid w:val="0"/>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形式评审与响应性评审标准</w:t>
            </w:r>
          </w:p>
        </w:tc>
        <w:tc>
          <w:tcPr>
            <w:tcW w:w="6968" w:type="dxa"/>
            <w:vAlign w:val="center"/>
          </w:tcPr>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（1）投标文件按照招标文件规定的格式、内容填写，字迹清晰可辨：</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a.投标函按照招标文件规定填报了招标人名称、项目名称、标段号、补遗书编号（如有）、交货地点、交货期、质量要求、投标报价（包括大写金额和小写金额）；</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b.投标文件组成齐全完整，内容均按规定填写；</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（2）投标文件上法定代表人或其委托代理人的签字、投标人的单位章盖章齐全，符合招标文件规定：</w:t>
            </w:r>
          </w:p>
          <w:p>
            <w:pPr>
              <w:snapToGrid w:val="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（3）投标人按照招标文件的规定提供了投标保证金，满足投标人须知3.4.1规定。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（4）投标人法定代表人授权委托代理人签署投标文件的，须提交授权委托书，授权委托书的签字盖章符合招标文件规定。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（5）投标人法定代表人亲自签署投标文件的，提供了法定代表人身份证明,法定代表人身份证明的签字盖章符合招标文件规定。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（6）投标人未以联合体形式投标。</w:t>
            </w:r>
          </w:p>
          <w:p>
            <w:pPr>
              <w:snapToGrid w:val="0"/>
              <w:ind w:right="1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（7）投标人未对本项目进行分包。</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（8）同一投标人对同一标段未提交两个以上不同的投标文件。</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（9）投标文件载明的招标项目完成期限未超过招标文件规定的时限。</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（10）投标文件对招标文件的实质性要求和条件作出响应。</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（11）投标文件满足招标文件</w:t>
            </w:r>
            <w:r>
              <w:rPr>
                <w:rFonts w:hint="eastAsia" w:ascii="宋体" w:hAnsi="宋体" w:eastAsia="宋体" w:cs="宋体"/>
                <w:color w:val="auto"/>
                <w:sz w:val="24"/>
                <w:szCs w:val="24"/>
                <w:highlight w:val="none"/>
                <w:lang w:val="en-US" w:eastAsia="zh-CN"/>
              </w:rPr>
              <w:t>供货要求中</w:t>
            </w:r>
            <w:r>
              <w:rPr>
                <w:rFonts w:hint="eastAsia" w:ascii="宋体" w:hAnsi="宋体" w:eastAsia="宋体" w:cs="宋体"/>
                <w:color w:val="auto"/>
                <w:sz w:val="24"/>
                <w:szCs w:val="24"/>
                <w:highlight w:val="none"/>
                <w:lang w:eastAsia="zh-CN"/>
              </w:rPr>
              <w:t>（带</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的条款）的要求。</w:t>
            </w:r>
          </w:p>
          <w:p>
            <w:pPr>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（12）技术支持资料符合第二章“投标人须知”第1.11.3项规定</w:t>
            </w:r>
            <w:r>
              <w:rPr>
                <w:rFonts w:hint="eastAsia" w:ascii="宋体" w:hAnsi="宋体" w:eastAsia="宋体" w:cs="宋体"/>
                <w:color w:val="auto"/>
                <w:sz w:val="24"/>
                <w:szCs w:val="24"/>
                <w:highlight w:val="none"/>
                <w:lang w:val="en-US" w:eastAsia="zh-CN"/>
              </w:rPr>
              <w:t>。</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lang w:eastAsia="zh-CN" w:bidi="ar"/>
              </w:rPr>
              <w:t>递交的投标文件与所</w:t>
            </w:r>
            <w:r>
              <w:rPr>
                <w:rFonts w:hint="eastAsia" w:ascii="宋体" w:hAnsi="宋体" w:eastAsia="宋体" w:cs="宋体"/>
                <w:strike w:val="0"/>
                <w:dstrike w:val="0"/>
                <w:color w:val="auto"/>
                <w:sz w:val="24"/>
                <w:szCs w:val="24"/>
                <w:highlight w:val="none"/>
                <w:lang w:eastAsia="zh-CN" w:bidi="ar"/>
              </w:rPr>
              <w:t>投</w:t>
            </w:r>
            <w:r>
              <w:rPr>
                <w:rFonts w:hint="eastAsia" w:ascii="宋体" w:hAnsi="宋体" w:eastAsia="宋体" w:cs="宋体"/>
                <w:color w:val="auto"/>
                <w:sz w:val="24"/>
                <w:szCs w:val="24"/>
                <w:highlight w:val="none"/>
                <w:lang w:eastAsia="zh-CN" w:bidi="ar"/>
              </w:rPr>
              <w:t>标段一致</w:t>
            </w:r>
            <w:r>
              <w:rPr>
                <w:rFonts w:hint="eastAsia" w:ascii="宋体" w:hAnsi="宋体" w:eastAsia="宋体" w:cs="宋体"/>
                <w:color w:val="auto"/>
                <w:sz w:val="24"/>
                <w:szCs w:val="24"/>
                <w:highlight w:val="none"/>
                <w:lang w:eastAsia="zh-CN"/>
              </w:rPr>
              <w:t>。</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（14）权利义务符合招标文件规定：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a．投标人应接受招标文件规定的风险划分原则，未提出新的风险划分办法；</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b．投标人未增加发包人的责任范围，或减少投标人义务；</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c．投标人未提出不同的工程验收、计量、支付办法；</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d．投标人对合同纠纷、事故处理办法未提出异议；</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e．投标人在投标活动中无欺诈行为；</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f．投标人未对合同条款有重要保留</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Times New Roman" w:hAnsi="Times New Roman" w:eastAsia="宋体" w:cs="Times New Roman"/>
                <w:color w:val="auto"/>
                <w:sz w:val="24"/>
                <w:szCs w:val="24"/>
                <w:highlight w:val="none"/>
                <w:lang w:eastAsia="zh-CN"/>
              </w:rPr>
              <w:t>投标人名称与营业执照一致，如企业名称有变更的，应提供其变更记录或相关部门的合法批件复印件</w:t>
            </w:r>
            <w:r>
              <w:rPr>
                <w:rFonts w:hint="eastAsia" w:ascii="宋体" w:hAnsi="宋体" w:eastAsia="宋体" w:cs="宋体"/>
                <w:color w:val="auto"/>
                <w:sz w:val="24"/>
                <w:szCs w:val="24"/>
                <w:highlight w:val="none"/>
                <w:lang w:eastAsia="zh-CN"/>
              </w:rPr>
              <w:t>。</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）投标报价未超过招标文件设定的最高限价。</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）投标报价的大写金额能够确定具体数值。</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）同一投标人对同一标段未提交两个以上不同的投标报价。</w:t>
            </w:r>
          </w:p>
          <w:p>
            <w:pPr>
              <w:snapToGrid w:val="0"/>
              <w:rPr>
                <w:rFonts w:hint="eastAsia" w:ascii="宋体" w:hAnsi="宋体" w:eastAsia="宋体" w:cs="宋体"/>
                <w:color w:val="auto"/>
                <w:sz w:val="24"/>
                <w:szCs w:val="24"/>
                <w:highlight w:val="none"/>
                <w:lang w:eastAsia="zh-CN"/>
              </w:rPr>
            </w:pP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lang w:val="en-US" w:eastAsia="zh-CN"/>
              </w:rPr>
              <w:t>19</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color w:val="auto"/>
                <w:sz w:val="24"/>
                <w:szCs w:val="24"/>
                <w:highlight w:val="none"/>
                <w:lang w:eastAsia="zh-CN"/>
              </w:rPr>
              <w:t>投标报价表和投标函大写金额报价一致的。</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）投标人未对</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个以上标段投标。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54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6968" w:type="dxa"/>
            <w:vAlign w:val="center"/>
          </w:tcPr>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（1）投标人具备有效的企业营业执照、组织机构代码证（三证合一或五证合一的除外）和基本账户开户许可证（或基本存款账户信息）；</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（2）投标人的资质等级符合招标文件规定；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（3）投标人的信誉符合招标文件规定；</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46"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968" w:type="dxa"/>
            <w:vAlign w:val="center"/>
          </w:tcPr>
          <w:p>
            <w:pPr>
              <w:adjustRightInd w:val="0"/>
              <w:snapToGrid w:val="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546" w:type="dxa"/>
            <w:vAlign w:val="center"/>
          </w:tcPr>
          <w:p>
            <w:pPr>
              <w:adjustRightInd w:val="0"/>
              <w:snapToGrid w:val="0"/>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分值构成</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968" w:type="dxa"/>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技术部分：60分</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2.3.2</w:t>
            </w:r>
          </w:p>
        </w:tc>
        <w:tc>
          <w:tcPr>
            <w:tcW w:w="1546" w:type="dxa"/>
            <w:vAlign w:val="center"/>
          </w:tcPr>
          <w:p>
            <w:pPr>
              <w:adjustRightInd w:val="0"/>
              <w:snapToGrid w:val="0"/>
              <w:spacing w:line="240" w:lineRule="auto"/>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评标基准价</w:t>
            </w:r>
          </w:p>
          <w:p>
            <w:pPr>
              <w:adjustRightInd w:val="0"/>
              <w:snapToGrid w:val="0"/>
              <w:spacing w:line="240" w:lineRule="auto"/>
              <w:jc w:val="center"/>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计算方法</w:t>
            </w:r>
          </w:p>
        </w:tc>
        <w:tc>
          <w:tcPr>
            <w:tcW w:w="6968" w:type="dxa"/>
            <w:vAlign w:val="center"/>
          </w:tcPr>
          <w:p>
            <w:pPr>
              <w:pStyle w:val="8"/>
              <w:spacing w:line="240" w:lineRule="auto"/>
              <w:ind w:left="0" w:leftChars="0" w:firstLine="0" w:firstLineChars="0"/>
              <w:rPr>
                <w:color w:val="auto"/>
                <w:sz w:val="24"/>
                <w:highlight w:val="none"/>
              </w:rPr>
            </w:pPr>
            <w:r>
              <w:rPr>
                <w:color w:val="auto"/>
                <w:sz w:val="24"/>
                <w:highlight w:val="none"/>
              </w:rPr>
              <w:t>评标基准价的计算：</w:t>
            </w:r>
          </w:p>
          <w:p>
            <w:pPr>
              <w:pStyle w:val="8"/>
              <w:spacing w:line="240" w:lineRule="auto"/>
              <w:ind w:left="0" w:leftChars="0" w:firstLine="0" w:firstLineChars="0"/>
              <w:rPr>
                <w:color w:val="auto"/>
                <w:sz w:val="24"/>
                <w:highlight w:val="none"/>
              </w:rPr>
            </w:pPr>
            <w:r>
              <w:rPr>
                <w:color w:val="auto"/>
                <w:sz w:val="24"/>
                <w:highlight w:val="none"/>
              </w:rPr>
              <w:t>1、评标价的确定：</w:t>
            </w:r>
          </w:p>
          <w:p>
            <w:pPr>
              <w:pStyle w:val="8"/>
              <w:spacing w:line="240" w:lineRule="auto"/>
              <w:ind w:left="0" w:leftChars="0" w:firstLine="0" w:firstLineChars="0"/>
              <w:rPr>
                <w:color w:val="auto"/>
                <w:sz w:val="24"/>
                <w:highlight w:val="none"/>
              </w:rPr>
            </w:pPr>
            <w:r>
              <w:rPr>
                <w:color w:val="auto"/>
                <w:sz w:val="24"/>
                <w:highlight w:val="none"/>
              </w:rPr>
              <w:t>评标价=投标函文字报价</w:t>
            </w:r>
          </w:p>
          <w:p>
            <w:pPr>
              <w:pStyle w:val="8"/>
              <w:spacing w:line="240" w:lineRule="auto"/>
              <w:ind w:left="0" w:leftChars="0" w:firstLine="0" w:firstLineChars="0"/>
              <w:rPr>
                <w:color w:val="auto"/>
                <w:sz w:val="24"/>
                <w:highlight w:val="none"/>
              </w:rPr>
            </w:pPr>
            <w:r>
              <w:rPr>
                <w:color w:val="auto"/>
                <w:sz w:val="24"/>
                <w:highlight w:val="none"/>
              </w:rPr>
              <w:t>2、评标价平均值的计算：</w:t>
            </w:r>
          </w:p>
          <w:p>
            <w:pPr>
              <w:pStyle w:val="8"/>
              <w:spacing w:line="240" w:lineRule="auto"/>
              <w:ind w:left="0" w:leftChars="0" w:firstLine="0" w:firstLineChars="0"/>
              <w:rPr>
                <w:color w:val="auto"/>
                <w:sz w:val="24"/>
                <w:highlight w:val="none"/>
              </w:rPr>
            </w:pPr>
            <w:r>
              <w:rPr>
                <w:color w:val="auto"/>
                <w:sz w:val="24"/>
                <w:highlight w:val="none"/>
              </w:rPr>
              <w:t>所有投标人的评标价去掉规定个数的最高值和最低值后的算术平均值即为评标价平均值。</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a、如果参与评标价平均值计算的投标人数量＜6家时，计算评标价平均值时不去最高值和最低值。 </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b、如果6家≤参与评标价平均值计算的投标人数量＜10家时，计算评标价平均值时去掉1个最高值和1个最低值。 </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c、如果10家≤参与评标价平均值计算的投标人数量＜20家时，计算评标价平均值时去掉2个最高值和2个最低值； </w:t>
            </w:r>
          </w:p>
          <w:p>
            <w:pPr>
              <w:snapToGrid w:val="0"/>
              <w:spacing w:line="240" w:lineRule="auto"/>
              <w:rPr>
                <w:rFonts w:ascii="Times New Roman" w:hAnsi="Times New Roman" w:eastAsia="宋体" w:cs="Times New Roman"/>
                <w:color w:val="auto"/>
                <w:spacing w:val="-4"/>
                <w:sz w:val="24"/>
                <w:szCs w:val="24"/>
                <w:highlight w:val="none"/>
                <w:lang w:eastAsia="zh-CN"/>
              </w:rPr>
            </w:pPr>
            <w:r>
              <w:rPr>
                <w:rFonts w:ascii="Times New Roman" w:hAnsi="Times New Roman" w:eastAsia="宋体" w:cs="Times New Roman"/>
                <w:color w:val="auto"/>
                <w:spacing w:val="-4"/>
                <w:sz w:val="24"/>
                <w:szCs w:val="24"/>
                <w:highlight w:val="none"/>
                <w:lang w:eastAsia="zh-CN"/>
              </w:rPr>
              <w:t xml:space="preserve">d、如果20家≤参与评标价平均值计算的投标人数量＜30家时，计算评标价平均值时去掉3个最高值和3个最低值； </w:t>
            </w:r>
          </w:p>
          <w:p>
            <w:pPr>
              <w:pStyle w:val="8"/>
              <w:spacing w:line="240" w:lineRule="auto"/>
              <w:ind w:left="0" w:leftChars="0" w:firstLine="0" w:firstLineChars="0"/>
              <w:rPr>
                <w:color w:val="auto"/>
                <w:spacing w:val="-4"/>
                <w:sz w:val="24"/>
                <w:highlight w:val="none"/>
              </w:rPr>
            </w:pPr>
            <w:r>
              <w:rPr>
                <w:color w:val="auto"/>
                <w:spacing w:val="-4"/>
                <w:sz w:val="24"/>
                <w:highlight w:val="none"/>
              </w:rPr>
              <w:t>e、如果30家≤参与评标价平均值计算的投标人数量时，计算评标价平均值时去掉5个最高值和5个最低值；</w:t>
            </w:r>
          </w:p>
          <w:p>
            <w:pPr>
              <w:pStyle w:val="8"/>
              <w:spacing w:line="240" w:lineRule="auto"/>
              <w:ind w:left="0" w:leftChars="0" w:firstLine="0" w:firstLineChars="0"/>
              <w:rPr>
                <w:color w:val="auto"/>
                <w:sz w:val="24"/>
                <w:highlight w:val="none"/>
              </w:rPr>
            </w:pPr>
            <w:r>
              <w:rPr>
                <w:color w:val="auto"/>
                <w:sz w:val="24"/>
                <w:highlight w:val="none"/>
              </w:rPr>
              <w:t>3、评标基准价的确定：</w:t>
            </w:r>
          </w:p>
          <w:p>
            <w:pPr>
              <w:pStyle w:val="8"/>
              <w:spacing w:line="240" w:lineRule="auto"/>
              <w:ind w:left="0" w:leftChars="0" w:firstLine="0" w:firstLineChars="0"/>
              <w:rPr>
                <w:color w:val="auto"/>
                <w:sz w:val="24"/>
                <w:highlight w:val="none"/>
              </w:rPr>
            </w:pPr>
            <w:r>
              <w:rPr>
                <w:color w:val="auto"/>
                <w:sz w:val="24"/>
                <w:highlight w:val="none"/>
              </w:rPr>
              <w:t>评标价平均值作为评标基准价。</w:t>
            </w:r>
          </w:p>
          <w:p>
            <w:pPr>
              <w:pStyle w:val="8"/>
              <w:spacing w:line="240" w:lineRule="auto"/>
              <w:ind w:left="0" w:leftChars="0" w:firstLine="0" w:firstLineChars="0"/>
              <w:rPr>
                <w:rFonts w:hint="eastAsia" w:ascii="宋体" w:hAnsi="宋体" w:eastAsia="宋体" w:cs="宋体"/>
                <w:color w:val="auto"/>
                <w:sz w:val="24"/>
                <w:szCs w:val="24"/>
                <w:highlight w:val="none"/>
              </w:rPr>
            </w:pPr>
            <w:r>
              <w:rPr>
                <w:color w:val="auto"/>
                <w:sz w:val="24"/>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lang w:eastAsia="zh-CN"/>
              </w:rPr>
              <w:t>3</w:t>
            </w:r>
            <w:r>
              <w:rPr>
                <w:rFonts w:ascii="Times New Roman" w:hAnsi="Times New Roman" w:eastAsia="宋体" w:cs="Times New Roman"/>
                <w:color w:val="auto"/>
                <w:sz w:val="24"/>
                <w:szCs w:val="24"/>
                <w:highlight w:val="none"/>
              </w:rPr>
              <w:t>.3</w:t>
            </w:r>
          </w:p>
        </w:tc>
        <w:tc>
          <w:tcPr>
            <w:tcW w:w="1546" w:type="dxa"/>
            <w:vAlign w:val="center"/>
          </w:tcPr>
          <w:p>
            <w:pPr>
              <w:adjustRightInd w:val="0"/>
              <w:snapToGrid w:val="0"/>
              <w:jc w:val="center"/>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lang w:eastAsia="zh-CN"/>
              </w:rPr>
              <w:t>评标价的偏差率计算公式</w:t>
            </w:r>
          </w:p>
        </w:tc>
        <w:tc>
          <w:tcPr>
            <w:tcW w:w="6968" w:type="dxa"/>
            <w:vAlign w:val="center"/>
          </w:tcPr>
          <w:p>
            <w:pPr>
              <w:adjustRightInd w:val="0"/>
              <w:snapToGrid w:val="0"/>
              <w:jc w:val="both"/>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lang w:eastAsia="zh-CN"/>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54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6968" w:type="dxa"/>
            <w:vAlign w:val="center"/>
          </w:tcPr>
          <w:p>
            <w:pPr>
              <w:adjustRightInd w:val="0"/>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修改为：</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在评标过程中，评标委员会应对以下信息进行查询：</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pPr>
              <w:autoSpaceDE w:val="0"/>
              <w:autoSpaceDN w:val="0"/>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投标人应保证本款所附的全部截图的真实性。</w:t>
            </w:r>
            <w:r>
              <w:rPr>
                <w:rFonts w:hint="eastAsia" w:ascii="宋体" w:hAnsi="宋体" w:eastAsia="宋体" w:cs="宋体"/>
                <w:color w:val="auto"/>
                <w:sz w:val="24"/>
                <w:szCs w:val="24"/>
                <w:highlight w:val="none"/>
                <w:lang w:eastAsia="zh-CN"/>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pPr>
        <w:autoSpaceDE w:val="0"/>
        <w:autoSpaceDN w:val="0"/>
        <w:adjustRightInd w:val="0"/>
        <w:snapToGrid w:val="0"/>
        <w:spacing w:line="360" w:lineRule="auto"/>
        <w:ind w:left="110" w:right="113"/>
        <w:rPr>
          <w:rFonts w:ascii="宋体" w:hAnsi="宋体" w:cs="宋体"/>
          <w:color w:val="auto"/>
          <w:szCs w:val="21"/>
          <w:highlight w:val="none"/>
          <w:lang w:eastAsia="zh-CN"/>
        </w:rPr>
      </w:pPr>
    </w:p>
    <w:p>
      <w:pP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br w:type="page"/>
      </w:r>
    </w:p>
    <w:p>
      <w:pPr>
        <w:pStyle w:val="13"/>
        <w:rPr>
          <w:color w:val="auto"/>
          <w:highlight w:val="none"/>
        </w:rPr>
      </w:pPr>
      <w:r>
        <w:rPr>
          <w:rFonts w:hint="eastAsia"/>
          <w:color w:val="auto"/>
          <w:highlight w:val="none"/>
        </w:rPr>
        <w:t>评分标准</w:t>
      </w:r>
      <w:bookmarkStart w:id="5" w:name="_GoBack"/>
      <w:bookmarkEnd w:id="5"/>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34"/>
        <w:gridCol w:w="1199"/>
        <w:gridCol w:w="1587"/>
        <w:gridCol w:w="390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7"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2786"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5295"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restart"/>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p>
        </w:tc>
        <w:tc>
          <w:tcPr>
            <w:tcW w:w="834" w:type="dxa"/>
            <w:vMerge w:val="restart"/>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2.3.4（</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p>
        </w:tc>
        <w:tc>
          <w:tcPr>
            <w:tcW w:w="1199" w:type="dxa"/>
            <w:vMerge w:val="restart"/>
            <w:vAlign w:val="center"/>
          </w:tcPr>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服务方案评分标准</w:t>
            </w:r>
          </w:p>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（60分）</w:t>
            </w:r>
          </w:p>
        </w:tc>
        <w:tc>
          <w:tcPr>
            <w:tcW w:w="1587" w:type="dxa"/>
            <w:vMerge w:val="restart"/>
            <w:vAlign w:val="center"/>
          </w:tcPr>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投标人综合能力评价</w:t>
            </w:r>
          </w:p>
          <w:p>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(25分)</w:t>
            </w:r>
          </w:p>
        </w:tc>
        <w:tc>
          <w:tcPr>
            <w:tcW w:w="3907" w:type="dxa"/>
            <w:vAlign w:val="center"/>
          </w:tcPr>
          <w:p>
            <w:pPr>
              <w:spacing w:line="24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restart"/>
            <w:vAlign w:val="center"/>
          </w:tcPr>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车辆主要配置及技术性能指标的响应程度评价</w:t>
            </w:r>
          </w:p>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bCs/>
                <w:color w:val="auto"/>
                <w:sz w:val="24"/>
                <w:szCs w:val="24"/>
                <w:highlight w:val="none"/>
                <w:lang w:eastAsia="zh-CN"/>
              </w:rPr>
              <w:t>（15分）</w:t>
            </w: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车辆功能配置齐全、实用性强、外观、内饰、工艺好，主要零部件的性能参数高</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cs="宋体"/>
                <w:bCs/>
                <w:color w:val="auto"/>
                <w:sz w:val="24"/>
                <w:szCs w:val="24"/>
                <w:highlight w:val="none"/>
                <w:lang w:val="en-US" w:eastAsia="zh-CN"/>
              </w:rPr>
              <w:t>2.0</w:t>
            </w:r>
            <w:r>
              <w:rPr>
                <w:rFonts w:hint="eastAsia" w:ascii="宋体" w:hAnsi="宋体" w:eastAsia="宋体" w:cs="宋体"/>
                <w:bCs/>
                <w:color w:val="auto"/>
                <w:sz w:val="24"/>
                <w:szCs w:val="24"/>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color w:val="auto"/>
                <w:spacing w:val="12"/>
                <w:sz w:val="24"/>
                <w:szCs w:val="24"/>
                <w:highlight w:val="none"/>
                <w:lang w:eastAsia="zh-CN"/>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车辆功能配置较齐全、实用性较强、外观、内饰、工艺较好，主要零部件的性能参数较高</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9</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-1</w:t>
            </w:r>
            <w:r>
              <w:rPr>
                <w:rFonts w:hint="eastAsia" w:cs="宋体"/>
                <w:bCs/>
                <w:color w:val="auto"/>
                <w:sz w:val="24"/>
                <w:szCs w:val="24"/>
                <w:highlight w:val="none"/>
                <w:lang w:val="en-US" w:eastAsia="zh-CN"/>
              </w:rPr>
              <w:t>2</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color w:val="auto"/>
                <w:spacing w:val="12"/>
                <w:sz w:val="24"/>
                <w:szCs w:val="24"/>
                <w:highlight w:val="none"/>
                <w:lang w:eastAsia="zh-CN"/>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车辆功能配置一般、实用性一般、外观、内饰、工艺一般，主要零部件的性能参数一般</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restart"/>
            <w:vAlign w:val="center"/>
          </w:tcPr>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交货期服务方案及服务能力评价</w:t>
            </w:r>
          </w:p>
          <w:p>
            <w:pPr>
              <w:spacing w:line="240" w:lineRule="auto"/>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(10分)</w:t>
            </w: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6.0</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restart"/>
            <w:vAlign w:val="center"/>
          </w:tcPr>
          <w:p>
            <w:pPr>
              <w:wordWrap w:val="0"/>
              <w:adjustRightInd w:val="0"/>
              <w:snapToGrid w:val="0"/>
              <w:spacing w:line="240" w:lineRule="auto"/>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技术服务和质保期服务能力的评价</w:t>
            </w:r>
          </w:p>
          <w:p>
            <w:pPr>
              <w:wordWrap w:val="0"/>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(10分)</w:t>
            </w: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技术服务能力、维保能力强，优惠政策好、有良好的保养检测等售后服务</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0</w:t>
            </w:r>
            <w:r>
              <w:rPr>
                <w:rFonts w:hint="eastAsia" w:ascii="宋体" w:hAnsi="宋体" w:eastAsia="宋体" w:cs="宋体"/>
                <w:bCs/>
                <w:color w:val="auto"/>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技术服务能力、维保能力较强，优惠政策较好、有较好的保养检测等售后服务</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rPr>
            </w:pPr>
            <w:r>
              <w:rPr>
                <w:rFonts w:hint="eastAsia" w:cs="宋体"/>
                <w:bCs/>
                <w:color w:val="auto"/>
                <w:sz w:val="24"/>
                <w:szCs w:val="24"/>
                <w:highlight w:val="none"/>
                <w:lang w:val="en-US" w:eastAsia="zh-CN"/>
              </w:rPr>
              <w:t>6.0</w:t>
            </w:r>
            <w:r>
              <w:rPr>
                <w:rFonts w:hint="eastAsia" w:ascii="宋体" w:hAnsi="宋体" w:eastAsia="宋体" w:cs="宋体"/>
                <w:bCs/>
                <w:color w:val="auto"/>
                <w:sz w:val="24"/>
                <w:szCs w:val="24"/>
                <w:highlight w:val="none"/>
              </w:rPr>
              <w:t>-</w:t>
            </w:r>
            <w:r>
              <w:rPr>
                <w:rFonts w:hint="eastAsia" w:cs="宋体"/>
                <w:bCs/>
                <w:color w:val="auto"/>
                <w:sz w:val="24"/>
                <w:szCs w:val="24"/>
                <w:highlight w:val="none"/>
                <w:lang w:val="en-US" w:eastAsia="zh-CN"/>
              </w:rPr>
              <w:t>8</w:t>
            </w:r>
            <w:r>
              <w:rPr>
                <w:rFonts w:hint="eastAsia" w:ascii="宋体" w:hAnsi="宋体" w:eastAsia="宋体" w:cs="宋体"/>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834"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199"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1587" w:type="dxa"/>
            <w:vMerge w:val="continue"/>
            <w:vAlign w:val="center"/>
          </w:tcPr>
          <w:p>
            <w:pPr>
              <w:spacing w:line="240" w:lineRule="auto"/>
              <w:jc w:val="center"/>
              <w:rPr>
                <w:rFonts w:hint="eastAsia" w:ascii="宋体" w:hAnsi="宋体" w:eastAsia="宋体" w:cs="宋体"/>
                <w:bCs/>
                <w:color w:val="auto"/>
                <w:sz w:val="24"/>
                <w:szCs w:val="24"/>
                <w:highlight w:val="none"/>
              </w:rPr>
            </w:pPr>
          </w:p>
        </w:tc>
        <w:tc>
          <w:tcPr>
            <w:tcW w:w="3907" w:type="dxa"/>
            <w:vAlign w:val="center"/>
          </w:tcPr>
          <w:p>
            <w:pPr>
              <w:spacing w:line="240" w:lineRule="auto"/>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技术服务能力、维保能力一般，优惠政策一般、保养检测等售后服务一般</w:t>
            </w:r>
          </w:p>
        </w:tc>
        <w:tc>
          <w:tcPr>
            <w:tcW w:w="1388" w:type="dxa"/>
            <w:vAlign w:val="center"/>
          </w:tcPr>
          <w:p>
            <w:pPr>
              <w:pStyle w:val="14"/>
              <w:spacing w:before="240" w:after="120"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3"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2033" w:type="dxa"/>
            <w:gridSpan w:val="2"/>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2.3.4（</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p>
        </w:tc>
        <w:tc>
          <w:tcPr>
            <w:tcW w:w="1587" w:type="dxa"/>
            <w:vAlign w:val="center"/>
          </w:tcPr>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评标报价</w:t>
            </w:r>
          </w:p>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评分标准</w:t>
            </w:r>
          </w:p>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（40分）</w:t>
            </w:r>
          </w:p>
        </w:tc>
        <w:tc>
          <w:tcPr>
            <w:tcW w:w="5295" w:type="dxa"/>
            <w:gridSpan w:val="2"/>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报价得分计算公式：</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(1)如果投标人的有效投标报价＞评标基准价，则投标报价得分=40-偏差率×100×E1；</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(2)如果投标人的有效投标报价≤评标基准价，则投标报价得分=40+偏差率×100×E2。</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E1是有效投标报价每高于评标基准价一个百分点的扣分值，E1＝0.2；</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E2是有效投标报价每低于评标基准价一个百分点的扣分值，E2＝0.1。</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投标价最低得分为0分。投标报价得分保留小数点后两位，小数点后第三位“四舍五入”。</w:t>
            </w:r>
          </w:p>
        </w:tc>
      </w:tr>
    </w:tbl>
    <w:p>
      <w:pPr>
        <w:adjustRightIn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注：1、评审因素得分应以评标委员会各成员的打分平均值确定；</w:t>
      </w:r>
    </w:p>
    <w:p>
      <w:pPr>
        <w:adjustRightIn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2、服务方案各评分因素细分项的细分项缺项则该项得0分；</w:t>
      </w:r>
    </w:p>
    <w:p>
      <w:pPr>
        <w:adjustRightIn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3、服务方案评分时保留1位小数，评标价得分计算时保留两位小数。</w:t>
      </w:r>
    </w:p>
    <w:p>
      <w:pPr>
        <w:widowControl/>
        <w:rPr>
          <w:rFonts w:ascii="宋体" w:hAnsi="宋体"/>
          <w:color w:val="auto"/>
          <w:sz w:val="24"/>
          <w:highlight w:val="none"/>
          <w:lang w:eastAsia="zh-CN"/>
        </w:rPr>
      </w:pPr>
      <w:r>
        <w:rPr>
          <w:rFonts w:ascii="宋体" w:hAnsi="宋体"/>
          <w:color w:val="auto"/>
          <w:sz w:val="24"/>
          <w:highlight w:val="none"/>
          <w:lang w:eastAsia="zh-CN"/>
        </w:rPr>
        <w:br w:type="page"/>
      </w:r>
    </w:p>
    <w:p>
      <w:pPr>
        <w:pStyle w:val="2"/>
        <w:ind w:left="110" w:firstLine="0"/>
        <w:rPr>
          <w:rFonts w:ascii="宋体" w:hAnsi="宋体" w:cs="宋体"/>
          <w:color w:val="auto"/>
          <w:highlight w:val="none"/>
        </w:rPr>
      </w:pPr>
      <w:r>
        <w:rPr>
          <w:rFonts w:hint="eastAsia" w:ascii="宋体" w:hAnsi="宋体" w:cs="宋体"/>
          <w:color w:val="auto"/>
          <w:highlight w:val="none"/>
        </w:rPr>
        <w:t>附件3：标段划分及招标内容表</w:t>
      </w:r>
    </w:p>
    <w:tbl>
      <w:tblPr>
        <w:tblStyle w:val="9"/>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086"/>
        <w:gridCol w:w="2014"/>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tcBorders>
              <w:top w:val="single" w:color="auto" w:sz="4" w:space="0"/>
              <w:left w:val="single" w:color="auto" w:sz="4" w:space="0"/>
              <w:right w:val="single" w:color="auto" w:sz="4" w:space="0"/>
            </w:tcBorders>
            <w:vAlign w:val="center"/>
          </w:tcPr>
          <w:p>
            <w:pPr>
              <w:jc w:val="center"/>
              <w:rPr>
                <w:rFonts w:ascii="宋体" w:hAnsi="宋体" w:eastAsia="宋体" w:cs="宋体"/>
                <w:b/>
                <w:bCs/>
                <w:color w:val="auto"/>
                <w:sz w:val="24"/>
                <w:szCs w:val="24"/>
                <w:highlight w:val="none"/>
              </w:rPr>
            </w:pPr>
            <w:bookmarkStart w:id="4" w:name="_Hlk169708837"/>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rPr>
              <w:t>标段</w:t>
            </w:r>
          </w:p>
        </w:tc>
        <w:tc>
          <w:tcPr>
            <w:tcW w:w="1086" w:type="dxa"/>
            <w:tcBorders>
              <w:top w:val="single" w:color="auto" w:sz="4" w:space="0"/>
              <w:left w:val="single" w:color="auto" w:sz="4" w:space="0"/>
              <w:right w:val="single" w:color="auto" w:sz="4" w:space="0"/>
            </w:tcBorders>
            <w:vAlign w:val="center"/>
          </w:tcPr>
          <w:p>
            <w:pPr>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w:t>
            </w:r>
          </w:p>
          <w:p>
            <w:pPr>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类别</w:t>
            </w:r>
          </w:p>
        </w:tc>
        <w:tc>
          <w:tcPr>
            <w:tcW w:w="2014" w:type="dxa"/>
            <w:tcBorders>
              <w:top w:val="single" w:color="auto" w:sz="4" w:space="0"/>
              <w:left w:val="single" w:color="auto" w:sz="4" w:space="0"/>
              <w:right w:val="single" w:color="auto" w:sz="4" w:space="0"/>
            </w:tcBorders>
            <w:vAlign w:val="center"/>
          </w:tcPr>
          <w:p>
            <w:pPr>
              <w:jc w:val="center"/>
              <w:rPr>
                <w:rFonts w:ascii="宋体" w:hAnsi="宋体" w:eastAsia="宋体" w:cs="Times New Roman"/>
                <w:b/>
                <w:bCs/>
                <w:color w:val="auto"/>
                <w:kern w:val="2"/>
                <w:sz w:val="24"/>
                <w:szCs w:val="32"/>
                <w:highlight w:val="none"/>
                <w:lang w:val="en-US" w:eastAsia="zh-CN" w:bidi="ar-SA"/>
              </w:rPr>
            </w:pPr>
            <w:r>
              <w:rPr>
                <w:rFonts w:hint="eastAsia" w:ascii="宋体" w:hAnsi="宋体" w:eastAsia="宋体" w:cs="宋体"/>
                <w:b/>
                <w:bCs/>
                <w:color w:val="auto"/>
                <w:sz w:val="24"/>
                <w:szCs w:val="24"/>
                <w:highlight w:val="none"/>
                <w:lang w:val="en-US" w:eastAsia="zh-CN"/>
              </w:rPr>
              <w:t>采购内容及数量</w:t>
            </w:r>
          </w:p>
        </w:tc>
        <w:tc>
          <w:tcPr>
            <w:tcW w:w="5202" w:type="dxa"/>
            <w:tcBorders>
              <w:top w:val="single" w:color="auto" w:sz="4" w:space="0"/>
              <w:left w:val="single" w:color="auto" w:sz="4" w:space="0"/>
              <w:right w:val="single" w:color="auto" w:sz="4" w:space="0"/>
            </w:tcBorders>
            <w:vAlign w:val="center"/>
          </w:tcPr>
          <w:p>
            <w:pPr>
              <w:jc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车辆主要参数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4" w:type="dxa"/>
            <w:tcBorders>
              <w:top w:val="single" w:color="auto" w:sz="4" w:space="0"/>
              <w:left w:val="single" w:color="auto" w:sz="4" w:space="0"/>
              <w:right w:val="single" w:color="auto" w:sz="4" w:space="0"/>
            </w:tcBorders>
            <w:vAlign w:val="center"/>
          </w:tcPr>
          <w:p>
            <w:pPr>
              <w:jc w:val="center"/>
              <w:rPr>
                <w:rFonts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标段</w:t>
            </w:r>
            <w:r>
              <w:rPr>
                <w:rFonts w:hint="eastAsia" w:ascii="宋体" w:hAnsi="宋体" w:eastAsia="宋体" w:cs="Times New Roman"/>
                <w:color w:val="auto"/>
                <w:sz w:val="24"/>
                <w:szCs w:val="24"/>
                <w:highlight w:val="none"/>
                <w:lang w:eastAsia="zh-CN"/>
              </w:rPr>
              <w:t>1</w:t>
            </w:r>
          </w:p>
        </w:tc>
        <w:tc>
          <w:tcPr>
            <w:tcW w:w="1086"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通勤</w:t>
            </w:r>
          </w:p>
          <w:p>
            <w:pPr>
              <w:jc w:val="center"/>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接待车</w:t>
            </w:r>
          </w:p>
        </w:tc>
        <w:tc>
          <w:tcPr>
            <w:tcW w:w="2014"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共16辆，其中：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20座接待车1辆7座通勤车1辆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9座通勤车1辆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30座通勤车1辆35座通勤车2辆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39座通勤车3辆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48座通勤车1辆50座通勤车3辆55座通勤车3辆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heme="minorHAnsi" w:hAnsiTheme="minorHAnsi" w:eastAsiaTheme="minorEastAsia" w:cstheme="minorBidi"/>
                <w:color w:val="auto"/>
                <w:sz w:val="22"/>
                <w:szCs w:val="22"/>
                <w:highlight w:val="none"/>
                <w:lang w:val="en-US" w:eastAsia="zh-CN" w:bidi="ar-SA"/>
              </w:rPr>
            </w:pPr>
          </w:p>
        </w:tc>
        <w:tc>
          <w:tcPr>
            <w:tcW w:w="5202" w:type="dxa"/>
            <w:tcBorders>
              <w:top w:val="single" w:color="auto" w:sz="4" w:space="0"/>
              <w:left w:val="single" w:color="auto" w:sz="4" w:space="0"/>
              <w:right w:val="single" w:color="auto" w:sz="4" w:space="0"/>
            </w:tcBorders>
            <w:vAlign w:val="top"/>
          </w:tcPr>
          <w:p>
            <w:pPr>
              <w:widowControl/>
              <w:spacing w:line="300" w:lineRule="exact"/>
              <w:jc w:val="both"/>
              <w:textAlignment w:val="center"/>
              <w:rPr>
                <w:rFonts w:hint="default"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20座</w:t>
            </w:r>
            <w:r>
              <w:rPr>
                <w:rFonts w:hint="eastAsia" w:ascii="宋体" w:hAnsi="宋体" w:eastAsia="宋体" w:cs="宋体"/>
                <w:b/>
                <w:bCs/>
                <w:color w:val="auto"/>
                <w:sz w:val="24"/>
                <w:szCs w:val="24"/>
                <w:highlight w:val="none"/>
                <w:lang w:eastAsia="zh-CN" w:bidi="ar"/>
              </w:rPr>
              <w:t>接待车</w:t>
            </w:r>
            <w:r>
              <w:rPr>
                <w:rFonts w:hint="eastAsia" w:ascii="宋体" w:hAnsi="宋体" w:eastAsia="宋体" w:cs="宋体"/>
                <w:b/>
                <w:bCs/>
                <w:color w:val="auto"/>
                <w:sz w:val="24"/>
                <w:szCs w:val="24"/>
                <w:highlight w:val="none"/>
                <w:lang w:val="en-US" w:eastAsia="zh-CN" w:bidi="ar"/>
              </w:rPr>
              <w:t>：</w:t>
            </w:r>
          </w:p>
          <w:p>
            <w:pPr>
              <w:widowControl/>
              <w:spacing w:line="300" w:lineRule="exact"/>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外观尺寸：长度≥7000 毫米，宽度≥2000 毫米，高度≥2600 毫米，轴距≥3900毫米。</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排量≥3.0L，发动机额定功率≥140KW，最大扭矩≥330N.m。</w:t>
            </w:r>
          </w:p>
          <w:p>
            <w:pPr>
              <w:widowControl/>
              <w:spacing w:line="300" w:lineRule="exact"/>
              <w:jc w:val="both"/>
              <w:textAlignment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7座通勤车：</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排量、功率：1.8L ，发动机额定功率≥85KW，最大扭矩≥160N.m。</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制动方式：盘式制动。</w:t>
            </w:r>
          </w:p>
          <w:p>
            <w:pPr>
              <w:widowControl/>
              <w:spacing w:line="300" w:lineRule="exact"/>
              <w:jc w:val="both"/>
              <w:textAlignment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9座通勤车：</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外观尺寸：长度≥5400 毫米，宽度≥1950 毫米，高度≥2300 毫米，轴距≥3300 毫米。</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排量、功率：2.0L ，发动机额定功率≥90KW，最大扭矩≥285N.m。</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悬架形式：前悬架独立悬架，后悬架非独立悬架。</w:t>
            </w:r>
          </w:p>
          <w:p>
            <w:pPr>
              <w:widowControl/>
              <w:spacing w:line="300" w:lineRule="exact"/>
              <w:jc w:val="both"/>
              <w:textAlignment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30座通勤车：</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发动机：选用柴油系列发动机，国六排放，发动机额定功率≥118kW，满足动力性及夏季空调负荷要求，匹配发动机热管理系统，匹配智能节油系统。</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变速器：六档变速箱。</w:t>
            </w:r>
          </w:p>
          <w:p>
            <w:pPr>
              <w:widowControl/>
              <w:spacing w:line="300" w:lineRule="exact"/>
              <w:textAlignment w:val="center"/>
              <w:rPr>
                <w:rFonts w:ascii="宋体" w:hAnsi="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空调系统：顶置空调（制冷量≥16000Kcal/h）暖气系统：独立燃油锅炉，乘客区安装不少于四个强制散热器，安装大功率水暖除霜（内、外进风）。</w:t>
            </w:r>
          </w:p>
          <w:p>
            <w:pPr>
              <w:widowControl/>
              <w:spacing w:line="300" w:lineRule="exact"/>
              <w:jc w:val="both"/>
              <w:textAlignment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35座通勤车：</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发动机：柴油发动机，国六排放，额定功率≥169kW，满足动力性及夏季空调负荷要求，有发动机进气预热系统及燃油加热系统，匹配发动机热管理系统，匹配智能节油系统。</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变速器：六档手动变速箱，挡杆布置在仪表台处，两软轴操纵（带气助力）。</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空调系统：顶置空调（制冷量≥20000Kcal/h）暖气系统：独立燃油锅炉，乘客区安装不少于四个强制散热器，安装大功率水暖除霜（内、外进风），安装驾驶区取暖器。</w:t>
            </w:r>
          </w:p>
          <w:p>
            <w:pPr>
              <w:widowControl/>
              <w:spacing w:line="300" w:lineRule="exact"/>
              <w:jc w:val="both"/>
              <w:textAlignment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39座通勤车：</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发动机：柴油发动机，国六排放标准，发动机额定功率≥190kW，有发动机进气预热，匹配带电子风扇的发动机智能冷却系统，匹配智能节油系统，匹配发动机舱温报警系统。</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变速箱：机械六档变速箱。</w:t>
            </w:r>
          </w:p>
          <w:p>
            <w:pPr>
              <w:widowControl/>
              <w:spacing w:line="300" w:lineRule="exact"/>
              <w:textAlignment w:val="center"/>
              <w:rPr>
                <w:color w:val="auto"/>
                <w:highlight w:val="none"/>
                <w:lang w:eastAsia="zh-CN"/>
              </w:rPr>
            </w:pPr>
            <w:r>
              <w:rPr>
                <w:rFonts w:hint="eastAsia" w:ascii="宋体" w:hAnsi="宋体" w:eastAsia="宋体" w:cs="宋体"/>
                <w:color w:val="auto"/>
                <w:sz w:val="24"/>
                <w:szCs w:val="24"/>
                <w:highlight w:val="none"/>
                <w:lang w:eastAsia="zh-CN" w:bidi="ar"/>
              </w:rPr>
              <w:t>空调系统：顶置空调，蒸发器风机、冷凝器风机采用低噪音风机，制冷量≥24000Kcal/h。</w:t>
            </w:r>
          </w:p>
          <w:p>
            <w:pPr>
              <w:widowControl/>
              <w:spacing w:line="300" w:lineRule="exact"/>
              <w:jc w:val="both"/>
              <w:textAlignment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48座通勤车：</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发动机：选用柴油系列发动机，国六排放，发动机额定功率≥228kW，满足动力性及夏季空调负荷要求，有发动机进气预热系统及燃油加热系统，匹配发动机热管理系统，匹配智能节油系统。</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变速器：六档手动变速箱，两软轴操纵（带气助力）。</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空调系统：顶置空调（制冷量≥28000Kcal/h）。</w:t>
            </w:r>
          </w:p>
          <w:p>
            <w:pPr>
              <w:widowControl/>
              <w:spacing w:line="300" w:lineRule="exact"/>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暖气系统：独立燃油锅炉，乘客区安装不少于六个强制散热器，安装大功率水暖除霜（内、外进风），安装驾驶区取暖器。</w:t>
            </w:r>
          </w:p>
          <w:p>
            <w:pPr>
              <w:widowControl/>
              <w:spacing w:line="300" w:lineRule="exact"/>
              <w:jc w:val="both"/>
              <w:textAlignment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50座通勤车：</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发动机：选用柴油系列发动机，国六排放，发动机额定功率≥228kW，满足动力性及夏季空调负荷要求，有发动机进气预热系统及燃油加热系统，匹配发动机热管理系统，匹配智能节油系统。</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变速器：六档手动变速箱，两软轴操纵（带气助力）。</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空调系统：顶置空调（制冷量≥28000Kcal/h）。</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暖气系统：独立燃油锅炉，乘客区安装不少于六个强制散热器，安装大功率水暖除霜（内、外进风），安装驾驶区取暖器。</w:t>
            </w:r>
          </w:p>
          <w:p>
            <w:pPr>
              <w:widowControl/>
              <w:spacing w:line="300" w:lineRule="exact"/>
              <w:jc w:val="both"/>
              <w:textAlignment w:val="center"/>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55座通勤车：</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发动机：选用柴油系列发动机，国六排放，发动机额定功率≥228kW，满足动力性及夏季空调负荷要求，有发动机进气预热系统及燃油加热系统，匹配发动机热管理系统，匹配智能节油系统。</w:t>
            </w:r>
          </w:p>
          <w:p>
            <w:pPr>
              <w:widowControl/>
              <w:spacing w:line="300" w:lineRule="exact"/>
              <w:textAlignment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变速器：六档手动变速箱，两软轴操纵（带气助力）。</w:t>
            </w:r>
          </w:p>
          <w:p>
            <w:pPr>
              <w:widowControl/>
              <w:spacing w:line="300" w:lineRule="exact"/>
              <w:textAlignment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空调系统：顶置空调（制冷量≥32000Kcal/h）。暖气系统：独立燃油锅炉，乘客区安装不少于六个强制散热器，安装大功率水暖除霜（内、外进风），安装驾驶区取暖器。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954"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lang w:eastAsia="zh-CN"/>
              </w:rPr>
              <w:t>标段</w:t>
            </w:r>
            <w:r>
              <w:rPr>
                <w:rFonts w:hint="eastAsia" w:ascii="宋体" w:hAnsi="宋体" w:eastAsia="宋体" w:cs="Times New Roman"/>
                <w:color w:val="auto"/>
                <w:sz w:val="24"/>
                <w:szCs w:val="24"/>
                <w:highlight w:val="none"/>
                <w:lang w:eastAsia="zh-CN"/>
              </w:rPr>
              <w:t>2</w:t>
            </w:r>
          </w:p>
        </w:tc>
        <w:tc>
          <w:tcPr>
            <w:tcW w:w="1086" w:type="dxa"/>
            <w:tcBorders>
              <w:top w:val="single" w:color="auto" w:sz="4" w:space="0"/>
              <w:left w:val="single" w:color="auto" w:sz="4" w:space="0"/>
              <w:right w:val="single" w:color="auto" w:sz="4" w:space="0"/>
            </w:tcBorders>
            <w:vAlign w:val="center"/>
          </w:tcPr>
          <w:p>
            <w:pPr>
              <w:autoSpaceDE w:val="0"/>
              <w:autoSpaceDN w:val="0"/>
              <w:adjustRightInd w:val="0"/>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轿车</w:t>
            </w:r>
          </w:p>
          <w:p>
            <w:pPr>
              <w:autoSpaceDE w:val="0"/>
              <w:autoSpaceDN w:val="0"/>
              <w:adjustRightInd w:val="0"/>
              <w:jc w:val="center"/>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小型车</w:t>
            </w:r>
          </w:p>
        </w:tc>
        <w:tc>
          <w:tcPr>
            <w:tcW w:w="2014" w:type="dxa"/>
            <w:tcBorders>
              <w:top w:val="single" w:color="auto" w:sz="4" w:space="0"/>
              <w:left w:val="single" w:color="auto" w:sz="4" w:space="0"/>
              <w:right w:val="single" w:color="auto" w:sz="4" w:space="0"/>
            </w:tcBorders>
            <w:vAlign w:val="center"/>
          </w:tcPr>
          <w:p>
            <w:pPr>
              <w:autoSpaceDE w:val="0"/>
              <w:autoSpaceDN w:val="0"/>
              <w:adjustRightInd w:val="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共</w:t>
            </w:r>
            <w:r>
              <w:rPr>
                <w:rFonts w:hint="eastAsia" w:ascii="Times New Roman" w:hAnsi="Times New Roman" w:eastAsia="宋体" w:cs="Times New Roman"/>
                <w:color w:val="auto"/>
                <w:sz w:val="24"/>
                <w:szCs w:val="24"/>
                <w:highlight w:val="none"/>
                <w:lang w:val="en-US" w:eastAsia="zh-CN"/>
              </w:rPr>
              <w:t>18辆，其中：</w:t>
            </w:r>
            <w:r>
              <w:rPr>
                <w:rFonts w:hint="eastAsia" w:ascii="Times New Roman" w:hAnsi="Times New Roman" w:eastAsia="宋体" w:cs="Times New Roman"/>
                <w:color w:val="auto"/>
                <w:sz w:val="24"/>
                <w:szCs w:val="24"/>
                <w:highlight w:val="none"/>
                <w:lang w:eastAsia="zh-CN"/>
              </w:rPr>
              <w:t>轿车</w:t>
            </w:r>
            <w:r>
              <w:rPr>
                <w:rFonts w:hint="eastAsia" w:ascii="Times New Roman" w:hAnsi="Times New Roman" w:eastAsia="宋体" w:cs="Times New Roman"/>
                <w:color w:val="auto"/>
                <w:sz w:val="24"/>
                <w:szCs w:val="24"/>
                <w:highlight w:val="none"/>
                <w:lang w:val="en-US" w:eastAsia="zh-CN"/>
              </w:rPr>
              <w:t>17辆</w:t>
            </w:r>
          </w:p>
          <w:p>
            <w:pPr>
              <w:pStyle w:val="3"/>
              <w:ind w:left="0" w:leftChars="0" w:firstLine="0" w:firstLineChars="0"/>
              <w:rPr>
                <w:rFonts w:hint="default"/>
                <w:color w:val="auto"/>
                <w:highlight w:val="none"/>
                <w:lang w:val="en-US" w:eastAsia="zh-CN"/>
              </w:rPr>
            </w:pPr>
            <w:r>
              <w:rPr>
                <w:rFonts w:hint="eastAsia" w:ascii="Times New Roman" w:hAnsi="Times New Roman" w:cs="Times New Roman"/>
                <w:color w:val="auto"/>
                <w:sz w:val="24"/>
                <w:szCs w:val="24"/>
                <w:highlight w:val="none"/>
                <w:lang w:val="en-US" w:eastAsia="zh-CN"/>
              </w:rPr>
              <w:t>小型车1辆</w:t>
            </w:r>
          </w:p>
        </w:tc>
        <w:tc>
          <w:tcPr>
            <w:tcW w:w="5202" w:type="dxa"/>
            <w:tcBorders>
              <w:top w:val="single" w:color="auto" w:sz="4" w:space="0"/>
              <w:left w:val="single" w:color="auto" w:sz="4" w:space="0"/>
              <w:right w:val="single" w:color="auto" w:sz="4" w:space="0"/>
            </w:tcBorders>
            <w:vAlign w:val="center"/>
          </w:tcPr>
          <w:p>
            <w:pPr>
              <w:widowControl/>
              <w:spacing w:line="300" w:lineRule="exact"/>
              <w:jc w:val="both"/>
              <w:textAlignment w:val="center"/>
              <w:rPr>
                <w:rFonts w:hint="default"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eastAsia="zh-CN" w:bidi="ar"/>
              </w:rPr>
              <w:t>轿车：</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排放标准：国VI排放标准，排量不高于1.8L，最大功率不低于110KW，最大扭矩不低于250N.M，外观尺寸：长度不小于4850毫米，宽度不小于1800毫米，高度不小于1400毫米，轴距不小于2840毫米。</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悬架：前悬架麦弗逊式独立悬架，后悬架多连杆式独立悬架。</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制动：前制动通风盘式，后制动盘式。</w:t>
            </w:r>
          </w:p>
          <w:p>
            <w:pPr>
              <w:widowControl/>
              <w:spacing w:line="300" w:lineRule="exact"/>
              <w:jc w:val="both"/>
              <w:textAlignment w:val="center"/>
              <w:rPr>
                <w:rFonts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小型车：</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排放标准：国VI排放标准，排量不低于1.4，最大功率不低于110KW，最大扭矩不低于250N.M，外观尺寸：长度不小于4670毫米，宽度不小于1800毫米，高度不小于1470毫米，轴距不小于2680毫米。</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悬架：前悬架麦弗逊式独立悬架，后悬架扭力梁式独立悬架。</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制动：前制动通风盘式，后制动盘式。</w:t>
            </w:r>
          </w:p>
          <w:p>
            <w:pPr>
              <w:autoSpaceDE w:val="0"/>
              <w:autoSpaceDN w:val="0"/>
              <w:adjustRightInd w:val="0"/>
              <w:jc w:val="both"/>
              <w:rPr>
                <w:rFonts w:ascii="Times New Roman" w:hAnsi="Times New Roman" w:eastAsia="宋体" w:cs="Times New Roman"/>
                <w:color w:val="auto"/>
                <w:sz w:val="24"/>
                <w:szCs w:val="24"/>
                <w:highlight w:val="none"/>
                <w:lang w:eastAsia="zh-CN"/>
              </w:rPr>
            </w:pPr>
            <w:r>
              <w:rPr>
                <w:rFonts w:hint="eastAsia" w:ascii="宋体" w:hAnsi="宋体" w:eastAsia="宋体" w:cs="宋体"/>
                <w:color w:val="auto"/>
                <w:sz w:val="24"/>
                <w:szCs w:val="24"/>
                <w:highlight w:val="none"/>
                <w:lang w:eastAsia="zh-CN" w:bidi="ar"/>
              </w:rPr>
              <w:t>LED灯光，胎压显，倒车影像，电子驻车，遥控钥匙，自动空调，调节电动车窗，后视镜电动调节。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4"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sz w:val="24"/>
                <w:szCs w:val="24"/>
                <w:highlight w:val="none"/>
                <w:lang w:eastAsia="zh-CN"/>
              </w:rPr>
            </w:pPr>
            <w:r>
              <w:rPr>
                <w:rFonts w:ascii="宋体" w:hAnsi="宋体" w:eastAsia="宋体" w:cs="Times New Roman"/>
                <w:color w:val="auto"/>
                <w:sz w:val="24"/>
                <w:szCs w:val="24"/>
                <w:highlight w:val="none"/>
                <w:lang w:eastAsia="zh-CN"/>
              </w:rPr>
              <w:t>标段</w:t>
            </w:r>
            <w:r>
              <w:rPr>
                <w:rFonts w:hint="eastAsia" w:ascii="宋体" w:hAnsi="宋体" w:eastAsia="宋体" w:cs="Times New Roman"/>
                <w:color w:val="auto"/>
                <w:sz w:val="24"/>
                <w:szCs w:val="24"/>
                <w:highlight w:val="none"/>
                <w:lang w:eastAsia="zh-CN"/>
              </w:rPr>
              <w:t>3</w:t>
            </w:r>
          </w:p>
        </w:tc>
        <w:tc>
          <w:tcPr>
            <w:tcW w:w="1086"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商务车</w:t>
            </w:r>
          </w:p>
        </w:tc>
        <w:tc>
          <w:tcPr>
            <w:tcW w:w="2014" w:type="dxa"/>
            <w:tcBorders>
              <w:left w:val="single" w:color="auto" w:sz="4" w:space="0"/>
              <w:right w:val="single" w:color="auto" w:sz="4" w:space="0"/>
            </w:tcBorders>
            <w:vAlign w:val="center"/>
          </w:tcPr>
          <w:p>
            <w:pPr>
              <w:autoSpaceDE w:val="0"/>
              <w:autoSpaceDN w:val="0"/>
              <w:adjustRightInd w:val="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共</w:t>
            </w:r>
            <w:r>
              <w:rPr>
                <w:rFonts w:hint="eastAsia" w:ascii="Times New Roman" w:hAnsi="Times New Roman" w:eastAsia="宋体" w:cs="Times New Roman"/>
                <w:color w:val="auto"/>
                <w:sz w:val="24"/>
                <w:szCs w:val="24"/>
                <w:highlight w:val="none"/>
                <w:lang w:val="en-US" w:eastAsia="zh-CN"/>
              </w:rPr>
              <w:t>3辆，其中：</w:t>
            </w:r>
          </w:p>
          <w:p>
            <w:pPr>
              <w:autoSpaceDE w:val="0"/>
              <w:autoSpaceDN w:val="0"/>
              <w:adjustRightInd w:val="0"/>
              <w:jc w:val="both"/>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eastAsia="zh-CN"/>
              </w:rPr>
              <w:t>商务车</w:t>
            </w:r>
            <w:r>
              <w:rPr>
                <w:rFonts w:hint="eastAsia" w:ascii="Times New Roman" w:hAnsi="Times New Roman" w:eastAsia="宋体" w:cs="Times New Roman"/>
                <w:color w:val="auto"/>
                <w:sz w:val="24"/>
                <w:szCs w:val="24"/>
                <w:highlight w:val="none"/>
                <w:lang w:val="en-US" w:eastAsia="zh-CN"/>
              </w:rPr>
              <w:t>3辆</w:t>
            </w:r>
          </w:p>
        </w:tc>
        <w:tc>
          <w:tcPr>
            <w:tcW w:w="5202" w:type="dxa"/>
            <w:tcBorders>
              <w:left w:val="single" w:color="auto" w:sz="4" w:space="0"/>
              <w:bottom w:val="single" w:color="auto" w:sz="4" w:space="0"/>
              <w:right w:val="single" w:color="auto" w:sz="4" w:space="0"/>
            </w:tcBorders>
            <w:vAlign w:val="center"/>
          </w:tcPr>
          <w:p>
            <w:pPr>
              <w:widowControl/>
              <w:spacing w:line="300" w:lineRule="exact"/>
              <w:jc w:val="both"/>
              <w:textAlignment w:val="center"/>
              <w:rPr>
                <w:rFonts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商务车：</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外观尺寸：长度≥5200 毫米，宽度≥1800 毫米，高度≥1800 毫米。轴距≥3000 毫米。</w:t>
            </w:r>
          </w:p>
          <w:p>
            <w:pPr>
              <w:widowControl/>
              <w:spacing w:line="300" w:lineRule="exact"/>
              <w:textAlignment w:val="center"/>
              <w:rPr>
                <w:rFonts w:ascii="Times New Roman" w:hAnsi="Times New Roman" w:eastAsia="宋体" w:cs="Times New Roman"/>
                <w:color w:val="auto"/>
                <w:sz w:val="24"/>
                <w:szCs w:val="24"/>
                <w:highlight w:val="none"/>
                <w:lang w:eastAsia="zh-CN"/>
              </w:rPr>
            </w:pPr>
            <w:r>
              <w:rPr>
                <w:rFonts w:hint="eastAsia" w:ascii="宋体" w:hAnsi="宋体" w:eastAsia="宋体" w:cs="宋体"/>
                <w:color w:val="auto"/>
                <w:sz w:val="24"/>
                <w:szCs w:val="24"/>
                <w:highlight w:val="none"/>
                <w:lang w:eastAsia="zh-CN" w:bidi="ar"/>
              </w:rPr>
              <w:t>排量、功率：2.0L 涡轮发动机轻混系统，9 档或以上变速箱，发动机额定功率≥170KW，最大扭矩≥350N.m。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4"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sz w:val="24"/>
                <w:szCs w:val="24"/>
                <w:highlight w:val="none"/>
                <w:lang w:eastAsia="zh-CN"/>
              </w:rPr>
            </w:pPr>
            <w:r>
              <w:rPr>
                <w:rFonts w:ascii="宋体" w:hAnsi="宋体" w:eastAsia="宋体" w:cs="Times New Roman"/>
                <w:color w:val="auto"/>
                <w:sz w:val="24"/>
                <w:szCs w:val="24"/>
                <w:highlight w:val="none"/>
                <w:lang w:eastAsia="zh-CN"/>
              </w:rPr>
              <w:t>标段4</w:t>
            </w:r>
          </w:p>
        </w:tc>
        <w:tc>
          <w:tcPr>
            <w:tcW w:w="10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皮卡车</w:t>
            </w:r>
          </w:p>
        </w:tc>
        <w:tc>
          <w:tcPr>
            <w:tcW w:w="20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共</w:t>
            </w:r>
            <w:r>
              <w:rPr>
                <w:rFonts w:hint="eastAsia" w:ascii="Times New Roman" w:hAnsi="Times New Roman" w:eastAsia="宋体" w:cs="Times New Roman"/>
                <w:color w:val="auto"/>
                <w:sz w:val="24"/>
                <w:szCs w:val="24"/>
                <w:highlight w:val="none"/>
                <w:lang w:val="en-US" w:eastAsia="zh-CN"/>
              </w:rPr>
              <w:t>16辆，其中：</w:t>
            </w:r>
          </w:p>
          <w:p>
            <w:pPr>
              <w:autoSpaceDE w:val="0"/>
              <w:autoSpaceDN w:val="0"/>
              <w:adjustRightInd w:val="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皮卡车</w:t>
            </w:r>
            <w:r>
              <w:rPr>
                <w:rFonts w:hint="eastAsia" w:ascii="Times New Roman" w:hAnsi="Times New Roman" w:eastAsia="宋体" w:cs="Times New Roman"/>
                <w:color w:val="auto"/>
                <w:sz w:val="24"/>
                <w:szCs w:val="24"/>
                <w:highlight w:val="none"/>
                <w:lang w:val="en-US" w:eastAsia="zh-CN"/>
              </w:rPr>
              <w:t>12辆</w:t>
            </w:r>
          </w:p>
          <w:p>
            <w:pPr>
              <w:pStyle w:val="3"/>
              <w:ind w:left="0" w:leftChars="0" w:firstLine="0" w:firstLineChars="0"/>
              <w:rPr>
                <w:rFonts w:hint="default"/>
                <w:color w:val="auto"/>
                <w:highlight w:val="none"/>
                <w:lang w:val="en-US" w:eastAsia="zh-CN"/>
              </w:rPr>
            </w:pPr>
            <w:r>
              <w:rPr>
                <w:rFonts w:hint="eastAsia" w:ascii="Times New Roman" w:hAnsi="Times New Roman" w:cs="Times New Roman"/>
                <w:color w:val="auto"/>
                <w:sz w:val="24"/>
                <w:szCs w:val="24"/>
                <w:highlight w:val="none"/>
                <w:lang w:val="en-US" w:eastAsia="zh-CN"/>
              </w:rPr>
              <w:t>箱货皮卡车4辆</w:t>
            </w:r>
          </w:p>
        </w:tc>
        <w:tc>
          <w:tcPr>
            <w:tcW w:w="52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textAlignment w:val="center"/>
              <w:rPr>
                <w:rFonts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皮卡车：</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悬架形式：前置双叉臂独立悬架，后置非独立悬架。</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制动方式：盘式制动。</w:t>
            </w:r>
          </w:p>
          <w:p>
            <w:pPr>
              <w:widowControl/>
              <w:spacing w:line="300" w:lineRule="exact"/>
              <w:jc w:val="both"/>
              <w:textAlignment w:val="center"/>
              <w:rPr>
                <w:rFonts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箱货皮卡车：</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排量、功率：1.8L 自然吸气发动机，发动机额定功率≥70KW，最大扭矩≥160，</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悬架：前双横臂扭杆式独立悬挂、后悬架钢板弹簧非独立悬架。</w:t>
            </w:r>
          </w:p>
          <w:p>
            <w:pPr>
              <w:widowControl/>
              <w:spacing w:line="300" w:lineRule="exact"/>
              <w:textAlignment w:val="center"/>
              <w:rPr>
                <w:rFonts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制动方式：前制动通风盘式，后制动鼓式。</w:t>
            </w:r>
          </w:p>
          <w:p>
            <w:pPr>
              <w:autoSpaceDE w:val="0"/>
              <w:autoSpaceDN w:val="0"/>
              <w:adjustRightInd w:val="0"/>
              <w:jc w:val="both"/>
              <w:rPr>
                <w:rFonts w:ascii="Times New Roman" w:hAnsi="Times New Roman" w:eastAsia="宋体" w:cs="Times New Roman"/>
                <w:color w:val="auto"/>
                <w:sz w:val="24"/>
                <w:szCs w:val="24"/>
                <w:highlight w:val="none"/>
                <w:lang w:eastAsia="zh-CN"/>
              </w:rPr>
            </w:pPr>
            <w:r>
              <w:rPr>
                <w:rFonts w:hint="eastAsia" w:ascii="宋体" w:hAnsi="宋体" w:eastAsia="宋体" w:cs="宋体"/>
                <w:color w:val="auto"/>
                <w:sz w:val="24"/>
                <w:szCs w:val="24"/>
                <w:highlight w:val="none"/>
                <w:lang w:eastAsia="zh-CN" w:bidi="ar"/>
              </w:rPr>
              <w:t>其他配置：卤素灯光，日间行车灯，手刹驻车，右侧手动侧滑门，后驻车雷达。</w:t>
            </w:r>
          </w:p>
        </w:tc>
      </w:tr>
      <w:bookmarkEnd w:id="4"/>
    </w:tbl>
    <w:p>
      <w:pPr>
        <w:adjustRightInd w:val="0"/>
        <w:spacing w:line="4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entury">
    <w:altName w:val="Nyala"/>
    <w:panose1 w:val="02040604050505020304"/>
    <w:charset w:val="00"/>
    <w:family w:val="roman"/>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BF4DD"/>
    <w:multiLevelType w:val="singleLevel"/>
    <w:tmpl w:val="1A3BF4DD"/>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50127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4"/>
    <w:basedOn w:val="1"/>
    <w:next w:val="1"/>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ind w:left="100"/>
    </w:pPr>
    <w:rPr>
      <w:rFonts w:ascii="宋体" w:hAnsi="宋体" w:eastAsia="宋体"/>
      <w:sz w:val="21"/>
      <w:szCs w:val="21"/>
    </w:rPr>
  </w:style>
  <w:style w:type="paragraph" w:styleId="4">
    <w:name w:val="Body Text Indent"/>
    <w:basedOn w:val="1"/>
    <w:unhideWhenUsed/>
    <w:qFormat/>
    <w:uiPriority w:val="99"/>
    <w:pPr>
      <w:spacing w:after="120"/>
      <w:ind w:left="420" w:leftChars="200"/>
    </w:pPr>
  </w:style>
  <w:style w:type="paragraph" w:styleId="5">
    <w:name w:val="Plain Text"/>
    <w:basedOn w:val="1"/>
    <w:next w:val="6"/>
    <w:qFormat/>
    <w:uiPriority w:val="0"/>
    <w:pPr>
      <w:spacing w:before="120" w:line="360" w:lineRule="auto"/>
      <w:jc w:val="both"/>
    </w:pPr>
    <w:rPr>
      <w:rFonts w:ascii="宋体" w:hAnsi="Courier New" w:eastAsia="宋体" w:cs="Century"/>
      <w:kern w:val="2"/>
      <w:sz w:val="21"/>
      <w:szCs w:val="21"/>
      <w:lang w:eastAsia="zh-CN"/>
    </w:rPr>
  </w:style>
  <w:style w:type="paragraph" w:styleId="6">
    <w:name w:val="List Number 5"/>
    <w:basedOn w:val="1"/>
    <w:uiPriority w:val="0"/>
    <w:pPr>
      <w:numPr>
        <w:ilvl w:val="0"/>
        <w:numId w:val="1"/>
      </w:numPr>
    </w:pPr>
  </w:style>
  <w:style w:type="paragraph" w:styleId="7">
    <w:name w:val="Body Text Indent 2"/>
    <w:basedOn w:val="1"/>
    <w:qFormat/>
    <w:uiPriority w:val="0"/>
    <w:pPr>
      <w:spacing w:after="120" w:line="480" w:lineRule="auto"/>
      <w:ind w:left="420" w:leftChars="200"/>
      <w:jc w:val="both"/>
    </w:pPr>
    <w:rPr>
      <w:rFonts w:ascii="Times New Roman" w:hAnsi="Times New Roman" w:eastAsia="宋体" w:cs="Times New Roman"/>
      <w:kern w:val="2"/>
      <w:sz w:val="21"/>
      <w:szCs w:val="24"/>
      <w:lang w:eastAsia="zh-CN"/>
    </w:rPr>
  </w:style>
  <w:style w:type="paragraph" w:styleId="8">
    <w:name w:val="Body Text First Indent 2"/>
    <w:basedOn w:val="4"/>
    <w:next w:val="5"/>
    <w:qFormat/>
    <w:uiPriority w:val="0"/>
    <w:pPr>
      <w:spacing w:after="0" w:line="360" w:lineRule="auto"/>
      <w:ind w:left="0" w:leftChars="0"/>
      <w:jc w:val="both"/>
    </w:pPr>
    <w:rPr>
      <w:rFonts w:ascii="宋体" w:hAnsi="宋体" w:eastAsia="宋体" w:cs="Times New Roman"/>
      <w:kern w:val="2"/>
      <w:sz w:val="24"/>
      <w:szCs w:val="32"/>
      <w:lang w:eastAsia="zh-CN"/>
    </w:rPr>
  </w:style>
  <w:style w:type="paragraph" w:customStyle="1" w:styleId="11">
    <w:name w:val="标题 31"/>
    <w:basedOn w:val="1"/>
    <w:autoRedefine/>
    <w:qFormat/>
    <w:uiPriority w:val="1"/>
    <w:pPr>
      <w:tabs>
        <w:tab w:val="left" w:pos="8789"/>
      </w:tabs>
      <w:spacing w:line="443" w:lineRule="exact"/>
      <w:ind w:firstLine="2"/>
      <w:jc w:val="center"/>
      <w:outlineLvl w:val="1"/>
    </w:pPr>
    <w:rPr>
      <w:rFonts w:asciiTheme="minorEastAsia" w:hAnsiTheme="minorEastAsia"/>
      <w:b/>
      <w:bCs/>
      <w:spacing w:val="2"/>
      <w:sz w:val="28"/>
      <w:szCs w:val="28"/>
      <w:lang w:eastAsia="zh-CN"/>
    </w:rPr>
  </w:style>
  <w:style w:type="paragraph" w:styleId="12">
    <w:name w:val="List Paragraph"/>
    <w:basedOn w:val="1"/>
    <w:autoRedefine/>
    <w:qFormat/>
    <w:uiPriority w:val="34"/>
    <w:pPr>
      <w:adjustRightInd w:val="0"/>
      <w:snapToGrid w:val="0"/>
      <w:spacing w:line="360" w:lineRule="auto"/>
      <w:jc w:val="center"/>
    </w:pPr>
    <w:rPr>
      <w:rFonts w:asciiTheme="minorEastAsia" w:hAnsiTheme="minorEastAsia"/>
      <w:b/>
      <w:sz w:val="24"/>
      <w:szCs w:val="24"/>
      <w:shd w:val="clear" w:color="auto" w:fill="FFFFFF" w:themeFill="background1"/>
      <w:lang w:eastAsia="zh-CN"/>
    </w:rPr>
  </w:style>
  <w:style w:type="paragraph" w:customStyle="1" w:styleId="13">
    <w:name w:val="目录1"/>
    <w:basedOn w:val="1"/>
    <w:qFormat/>
    <w:uiPriority w:val="99"/>
    <w:pPr>
      <w:adjustRightInd w:val="0"/>
      <w:spacing w:line="420" w:lineRule="atLeast"/>
      <w:textAlignment w:val="baseline"/>
      <w:outlineLvl w:val="0"/>
    </w:pPr>
    <w:rPr>
      <w:rFonts w:ascii="宋体" w:hAnsi="宋体" w:eastAsia="宋体" w:cs="宋体"/>
      <w:b/>
      <w:bCs/>
      <w:sz w:val="28"/>
      <w:szCs w:val="28"/>
      <w:lang w:eastAsia="zh-CN"/>
    </w:rPr>
  </w:style>
  <w:style w:type="paragraph" w:styleId="14">
    <w:name w:val="No Spacing"/>
    <w:autoRedefine/>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2024-07-19T01:03:30Z</dcterms:created>
  <dc:creator>Administrator</dc:creator>
  <cp:lastModifiedBy>李娜</cp:lastModifiedBy>
  <dcterms:modified xsi:type="dcterms:W3CDTF">2024-07-19T01:03:48Z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1FA0C7DD96E44C16B619A91CF72DB758_12</vt:lpwstr>
  </property>
</Properties>
</file>