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beforeLines="50" w:line="276" w:lineRule="auto"/>
        <w:rPr>
          <w:b/>
          <w:color w:val="auto"/>
          <w:sz w:val="24"/>
        </w:rPr>
      </w:pPr>
      <w:bookmarkStart w:id="0" w:name="_Toc514238201"/>
      <w:bookmarkStart w:id="1" w:name="OLE_LINK1"/>
      <w:bookmarkStart w:id="2" w:name="_Hlk517255404"/>
      <w:bookmarkStart w:id="17" w:name="_GoBack"/>
      <w:bookmarkEnd w:id="17"/>
      <w:r>
        <w:rPr>
          <w:b/>
          <w:color w:val="auto"/>
          <w:sz w:val="24"/>
        </w:rPr>
        <w:t>附件1：资格审查条件</w:t>
      </w:r>
      <w:bookmarkEnd w:id="0"/>
    </w:p>
    <w:p>
      <w:pPr>
        <w:adjustRightInd w:val="0"/>
        <w:spacing w:line="400" w:lineRule="exact"/>
        <w:jc w:val="center"/>
        <w:rPr>
          <w:b/>
          <w:color w:val="auto"/>
          <w:sz w:val="24"/>
          <w:szCs w:val="24"/>
        </w:rPr>
      </w:pPr>
      <w:r>
        <w:rPr>
          <w:b/>
          <w:color w:val="auto"/>
          <w:sz w:val="24"/>
          <w:szCs w:val="24"/>
        </w:rPr>
        <w:t xml:space="preserve">附录1 </w:t>
      </w:r>
      <w:bookmarkStart w:id="3" w:name="_Hlk515531673"/>
      <w:r>
        <w:rPr>
          <w:b/>
          <w:color w:val="auto"/>
          <w:sz w:val="24"/>
        </w:rPr>
        <w:t>资格</w:t>
      </w:r>
      <w:r>
        <w:rPr>
          <w:b/>
          <w:color w:val="auto"/>
          <w:sz w:val="24"/>
          <w:szCs w:val="24"/>
        </w:rPr>
        <w:t>审查条件（</w:t>
      </w:r>
      <w:bookmarkStart w:id="4" w:name="_Hlk93741047"/>
      <w:r>
        <w:rPr>
          <w:b/>
          <w:color w:val="auto"/>
          <w:sz w:val="24"/>
          <w:szCs w:val="24"/>
        </w:rPr>
        <w:t>资质最低要求</w:t>
      </w:r>
      <w:bookmarkEnd w:id="4"/>
      <w:r>
        <w:rPr>
          <w:b/>
          <w:color w:val="auto"/>
          <w:sz w:val="24"/>
          <w:szCs w:val="24"/>
        </w:rPr>
        <w:t>）</w:t>
      </w:r>
      <w:bookmarkEnd w:id="3"/>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6"/>
              <w:spacing w:before="0" w:beforeAutospacing="0" w:after="0" w:afterAutospacing="0" w:line="240" w:lineRule="auto"/>
              <w:ind w:firstLine="0"/>
              <w:contextualSpacing/>
              <w:jc w:val="center"/>
              <w:rPr>
                <w:rFonts w:ascii="Times New Roman" w:hAnsi="Times New Roman"/>
                <w:color w:val="auto"/>
                <w:sz w:val="21"/>
                <w:szCs w:val="21"/>
                <w:lang w:val="en-US" w:eastAsia="zh-CN"/>
              </w:rPr>
            </w:pPr>
            <w:r>
              <w:rPr>
                <w:rFonts w:ascii="Times New Roman" w:hAnsi="Times New Roman"/>
                <w:color w:val="auto"/>
                <w:sz w:val="21"/>
                <w:szCs w:val="21"/>
                <w:lang w:val="en-US" w:eastAsia="zh-CN"/>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noWrap w:val="0"/>
            <w:vAlign w:val="center"/>
          </w:tcPr>
          <w:p>
            <w:pPr>
              <w:rPr>
                <w:color w:val="auto"/>
                <w:sz w:val="21"/>
                <w:szCs w:val="21"/>
              </w:rPr>
            </w:pPr>
            <w:bookmarkStart w:id="5" w:name="_Hlk93741073"/>
            <w:r>
              <w:rPr>
                <w:color w:val="auto"/>
                <w:sz w:val="21"/>
                <w:szCs w:val="21"/>
              </w:rPr>
              <w:t>标段一：</w:t>
            </w:r>
          </w:p>
          <w:p>
            <w:pPr>
              <w:rPr>
                <w:color w:val="auto"/>
                <w:sz w:val="21"/>
                <w:szCs w:val="21"/>
              </w:rPr>
            </w:pPr>
            <w:r>
              <w:rPr>
                <w:color w:val="auto"/>
                <w:sz w:val="21"/>
                <w:szCs w:val="21"/>
              </w:rPr>
              <w:t>中华人民共和国境内注册的独立法人或合伙制企业，持有有效的企业营业执照；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rPr>
                <w:color w:val="auto"/>
                <w:sz w:val="21"/>
                <w:szCs w:val="21"/>
              </w:rPr>
            </w:pPr>
            <w:r>
              <w:rPr>
                <w:color w:val="auto"/>
                <w:sz w:val="21"/>
                <w:szCs w:val="21"/>
              </w:rPr>
              <w:t>标段二：</w:t>
            </w:r>
          </w:p>
          <w:p>
            <w:pPr>
              <w:rPr>
                <w:color w:val="auto"/>
                <w:sz w:val="21"/>
                <w:szCs w:val="21"/>
              </w:rPr>
            </w:pPr>
            <w:r>
              <w:rPr>
                <w:color w:val="auto"/>
                <w:sz w:val="21"/>
                <w:szCs w:val="21"/>
              </w:rPr>
              <w:t>1、中华人民共和国境内注册的独立法人或合伙制企业，持有有效的企业营业执照；</w:t>
            </w:r>
          </w:p>
          <w:p>
            <w:pPr>
              <w:rPr>
                <w:color w:val="auto"/>
                <w:sz w:val="21"/>
                <w:szCs w:val="21"/>
              </w:rPr>
            </w:pPr>
            <w:r>
              <w:rPr>
                <w:color w:val="auto"/>
                <w:sz w:val="21"/>
                <w:szCs w:val="21"/>
              </w:rPr>
              <w:t>2、具备会计师事务所执业证书；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rPr>
                <w:color w:val="auto"/>
                <w:sz w:val="21"/>
                <w:szCs w:val="21"/>
              </w:rPr>
            </w:pPr>
            <w:r>
              <w:rPr>
                <w:color w:val="auto"/>
                <w:sz w:val="21"/>
                <w:szCs w:val="21"/>
              </w:rPr>
              <w:t>投标人只能投标其中一个标段，否则两个标段的投标均将被否决。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rPr>
                <w:color w:val="auto"/>
                <w:spacing w:val="-4"/>
                <w:sz w:val="21"/>
                <w:szCs w:val="21"/>
              </w:rPr>
            </w:pPr>
            <w:r>
              <w:rPr>
                <w:color w:val="auto"/>
                <w:spacing w:val="-4"/>
                <w:sz w:val="21"/>
                <w:szCs w:val="21"/>
              </w:rPr>
              <w:t>注：与被审计主体有关联</w:t>
            </w:r>
            <w:r>
              <w:rPr>
                <w:rFonts w:hint="eastAsia"/>
                <w:color w:val="auto"/>
                <w:spacing w:val="-4"/>
                <w:sz w:val="21"/>
                <w:szCs w:val="21"/>
              </w:rPr>
              <w:t>的</w:t>
            </w:r>
            <w:r>
              <w:rPr>
                <w:color w:val="auto"/>
                <w:spacing w:val="-4"/>
                <w:sz w:val="21"/>
                <w:szCs w:val="21"/>
              </w:rPr>
              <w:t>单位不得</w:t>
            </w:r>
            <w:r>
              <w:rPr>
                <w:rFonts w:hint="eastAsia"/>
                <w:color w:val="auto"/>
                <w:spacing w:val="-4"/>
                <w:sz w:val="21"/>
                <w:szCs w:val="21"/>
              </w:rPr>
              <w:t>参与本项目的投标</w:t>
            </w:r>
            <w:r>
              <w:rPr>
                <w:color w:val="auto"/>
                <w:spacing w:val="-4"/>
                <w:sz w:val="21"/>
                <w:szCs w:val="21"/>
              </w:rPr>
              <w:t>。</w:t>
            </w:r>
          </w:p>
          <w:p>
            <w:pPr>
              <w:rPr>
                <w:color w:val="auto"/>
                <w:sz w:val="21"/>
                <w:szCs w:val="21"/>
              </w:rPr>
            </w:pPr>
            <w:r>
              <w:rPr>
                <w:color w:val="auto"/>
                <w:spacing w:val="-4"/>
                <w:sz w:val="21"/>
                <w:szCs w:val="21"/>
              </w:rPr>
              <w:t>（设计单位：中交第二公路勘察设计研究院有限公司；施工单位：中交路桥建设有限公司；监理单位：石家庄宏域工程技术咨询有限公司；建设单位及合同签订单位：河北高速公路集团有限公司大广分公司）</w:t>
            </w:r>
          </w:p>
        </w:tc>
      </w:tr>
      <w:bookmarkEnd w:id="5"/>
    </w:tbl>
    <w:p>
      <w:pPr>
        <w:adjustRightInd w:val="0"/>
        <w:spacing w:line="400" w:lineRule="exact"/>
        <w:jc w:val="center"/>
        <w:rPr>
          <w:b/>
          <w:color w:val="auto"/>
          <w:sz w:val="24"/>
          <w:szCs w:val="24"/>
        </w:rPr>
      </w:pPr>
    </w:p>
    <w:p>
      <w:pPr>
        <w:adjustRightInd w:val="0"/>
        <w:spacing w:line="400" w:lineRule="exact"/>
        <w:jc w:val="center"/>
        <w:rPr>
          <w:b/>
          <w:color w:val="auto"/>
          <w:sz w:val="24"/>
          <w:szCs w:val="24"/>
        </w:rPr>
      </w:pPr>
      <w:r>
        <w:rPr>
          <w:b/>
          <w:color w:val="auto"/>
          <w:sz w:val="24"/>
          <w:szCs w:val="24"/>
        </w:rPr>
        <w:t>附录2 资格审查条件（业绩最低要求）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6"/>
              <w:spacing w:before="0" w:beforeAutospacing="0" w:after="0" w:afterAutospacing="0" w:line="240" w:lineRule="auto"/>
              <w:ind w:firstLine="0"/>
              <w:contextualSpacing/>
              <w:jc w:val="center"/>
              <w:rPr>
                <w:rFonts w:ascii="Times New Roman" w:hAnsi="Times New Roman"/>
                <w:color w:val="auto"/>
                <w:sz w:val="21"/>
                <w:szCs w:val="21"/>
                <w:lang w:val="en-US" w:eastAsia="zh-CN"/>
              </w:rPr>
            </w:pPr>
            <w:r>
              <w:rPr>
                <w:rFonts w:ascii="Times New Roman" w:hAnsi="Times New Roman"/>
                <w:color w:val="auto"/>
                <w:sz w:val="21"/>
                <w:szCs w:val="21"/>
                <w:lang w:val="en-US" w:eastAsia="zh-CN"/>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rPr>
                <w:color w:val="auto"/>
                <w:sz w:val="21"/>
                <w:szCs w:val="21"/>
              </w:rPr>
            </w:pPr>
            <w:r>
              <w:rPr>
                <w:color w:val="auto"/>
                <w:sz w:val="21"/>
                <w:szCs w:val="21"/>
              </w:rPr>
              <w:t>标段一：投标人在近五年（</w:t>
            </w:r>
            <w:r>
              <w:rPr>
                <w:rFonts w:hint="eastAsia"/>
                <w:color w:val="auto"/>
                <w:sz w:val="21"/>
                <w:szCs w:val="21"/>
              </w:rPr>
              <w:t>2019年</w:t>
            </w:r>
            <w:r>
              <w:rPr>
                <w:rFonts w:hint="eastAsia"/>
                <w:color w:val="auto"/>
                <w:sz w:val="21"/>
                <w:szCs w:val="21"/>
                <w:lang w:val="en-US" w:eastAsia="zh-CN"/>
              </w:rPr>
              <w:t>7</w:t>
            </w:r>
            <w:r>
              <w:rPr>
                <w:rFonts w:hint="eastAsia"/>
                <w:color w:val="auto"/>
                <w:sz w:val="21"/>
                <w:szCs w:val="21"/>
              </w:rPr>
              <w:t>月1日</w:t>
            </w:r>
            <w:r>
              <w:rPr>
                <w:color w:val="auto"/>
                <w:sz w:val="21"/>
                <w:szCs w:val="21"/>
              </w:rPr>
              <w:t>至今，以合同签订时间为准）至少具有一项投资额1亿元以上的工程建设项目工程结算审计业绩；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rPr>
                <w:color w:val="auto"/>
                <w:sz w:val="21"/>
                <w:szCs w:val="21"/>
              </w:rPr>
            </w:pPr>
            <w:r>
              <w:rPr>
                <w:color w:val="auto"/>
                <w:sz w:val="21"/>
                <w:szCs w:val="21"/>
              </w:rPr>
              <w:t>标段二：投标人在近五年（</w:t>
            </w:r>
            <w:r>
              <w:rPr>
                <w:rFonts w:hint="eastAsia"/>
                <w:color w:val="auto"/>
                <w:sz w:val="21"/>
                <w:szCs w:val="21"/>
              </w:rPr>
              <w:t>2019年</w:t>
            </w:r>
            <w:r>
              <w:rPr>
                <w:rFonts w:hint="eastAsia"/>
                <w:color w:val="auto"/>
                <w:sz w:val="21"/>
                <w:szCs w:val="21"/>
                <w:lang w:val="en-US" w:eastAsia="zh-CN"/>
              </w:rPr>
              <w:t>7</w:t>
            </w:r>
            <w:r>
              <w:rPr>
                <w:rFonts w:hint="eastAsia"/>
                <w:color w:val="auto"/>
                <w:sz w:val="21"/>
                <w:szCs w:val="21"/>
              </w:rPr>
              <w:t>月1日</w:t>
            </w:r>
            <w:r>
              <w:rPr>
                <w:color w:val="auto"/>
                <w:sz w:val="21"/>
                <w:szCs w:val="21"/>
              </w:rPr>
              <w:t>至今，以合同签订时间为准）至少具有一项投资额1亿元以上的工程建设项目竣工财务决算审计业绩；</w:t>
            </w:r>
          </w:p>
        </w:tc>
      </w:tr>
    </w:tbl>
    <w:p>
      <w:pPr>
        <w:pStyle w:val="2"/>
        <w:rPr>
          <w:b/>
          <w:color w:val="auto"/>
          <w:sz w:val="24"/>
        </w:rPr>
      </w:pPr>
    </w:p>
    <w:p>
      <w:pPr>
        <w:pStyle w:val="2"/>
        <w:rPr>
          <w:b/>
          <w:color w:val="auto"/>
          <w:sz w:val="24"/>
        </w:rPr>
      </w:pPr>
    </w:p>
    <w:p>
      <w:pPr>
        <w:adjustRightInd w:val="0"/>
        <w:spacing w:line="400" w:lineRule="exact"/>
        <w:jc w:val="center"/>
        <w:rPr>
          <w:b/>
          <w:color w:val="auto"/>
          <w:sz w:val="24"/>
          <w:szCs w:val="24"/>
        </w:rPr>
      </w:pPr>
      <w:r>
        <w:rPr>
          <w:b/>
          <w:color w:val="auto"/>
          <w:sz w:val="24"/>
          <w:szCs w:val="24"/>
        </w:rPr>
        <w:t>附录3 资格审查条件（信誉最低要求）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pPr>
              <w:pStyle w:val="6"/>
              <w:spacing w:before="0" w:beforeAutospacing="0" w:after="0" w:afterAutospacing="0" w:line="240" w:lineRule="auto"/>
              <w:ind w:firstLine="0"/>
              <w:contextualSpacing/>
              <w:jc w:val="center"/>
              <w:rPr>
                <w:rFonts w:ascii="Times New Roman" w:hAnsi="Times New Roman"/>
                <w:color w:val="auto"/>
                <w:sz w:val="21"/>
                <w:szCs w:val="21"/>
                <w:lang w:val="en-US" w:eastAsia="zh-CN"/>
              </w:rPr>
            </w:pPr>
            <w:r>
              <w:rPr>
                <w:rFonts w:ascii="Times New Roman" w:hAnsi="Times New Roman"/>
                <w:color w:val="auto"/>
                <w:sz w:val="21"/>
                <w:szCs w:val="21"/>
                <w:lang w:val="en-US" w:eastAsia="zh-CN"/>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286" w:type="dxa"/>
            <w:noWrap w:val="0"/>
            <w:vAlign w:val="center"/>
          </w:tcPr>
          <w:p>
            <w:pPr>
              <w:ind w:firstLine="420" w:firstLineChars="200"/>
              <w:rPr>
                <w:color w:val="auto"/>
                <w:sz w:val="21"/>
                <w:szCs w:val="21"/>
              </w:rPr>
            </w:pPr>
            <w:r>
              <w:rPr>
                <w:color w:val="auto"/>
                <w:sz w:val="21"/>
                <w:szCs w:val="21"/>
              </w:rPr>
              <w:t>投标人在近1年内（</w:t>
            </w:r>
            <w:r>
              <w:rPr>
                <w:rFonts w:hint="eastAsia"/>
                <w:color w:val="auto"/>
                <w:sz w:val="21"/>
                <w:szCs w:val="21"/>
              </w:rPr>
              <w:t>2023年</w:t>
            </w:r>
            <w:r>
              <w:rPr>
                <w:rFonts w:hint="eastAsia"/>
                <w:color w:val="auto"/>
                <w:sz w:val="21"/>
                <w:szCs w:val="21"/>
                <w:lang w:val="en-US" w:eastAsia="zh-CN"/>
              </w:rPr>
              <w:t>7</w:t>
            </w:r>
            <w:r>
              <w:rPr>
                <w:rFonts w:hint="eastAsia"/>
                <w:color w:val="auto"/>
                <w:sz w:val="21"/>
                <w:szCs w:val="21"/>
              </w:rPr>
              <w:t>月1日</w:t>
            </w:r>
            <w:r>
              <w:rPr>
                <w:color w:val="auto"/>
                <w:sz w:val="21"/>
                <w:szCs w:val="21"/>
              </w:rPr>
              <w:t>至投标截止时间）不曾在高速公路审计项目中违约而被驱逐或因投标人自身的原因而使高速公路审计项目合同被解除。</w:t>
            </w:r>
          </w:p>
        </w:tc>
      </w:tr>
    </w:tbl>
    <w:p>
      <w:pPr>
        <w:adjustRightInd w:val="0"/>
        <w:spacing w:line="400" w:lineRule="exact"/>
        <w:jc w:val="center"/>
        <w:rPr>
          <w:b/>
          <w:color w:val="auto"/>
          <w:sz w:val="24"/>
          <w:szCs w:val="24"/>
        </w:rPr>
      </w:pPr>
    </w:p>
    <w:p>
      <w:pPr>
        <w:adjustRightInd w:val="0"/>
        <w:spacing w:line="400" w:lineRule="exact"/>
        <w:jc w:val="center"/>
        <w:rPr>
          <w:b/>
          <w:color w:val="auto"/>
          <w:sz w:val="24"/>
          <w:szCs w:val="24"/>
        </w:rPr>
      </w:pPr>
      <w:r>
        <w:rPr>
          <w:b/>
          <w:color w:val="auto"/>
          <w:sz w:val="24"/>
          <w:szCs w:val="24"/>
        </w:rPr>
        <w:t>附录4 资格审查条件（主要人员最低要求）</w:t>
      </w:r>
    </w:p>
    <w:tbl>
      <w:tblPr>
        <w:tblStyle w:val="7"/>
        <w:tblW w:w="53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4"/>
        <w:gridCol w:w="1690"/>
        <w:gridCol w:w="692"/>
        <w:gridCol w:w="5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04" w:type="pct"/>
            <w:noWrap w:val="0"/>
            <w:vAlign w:val="center"/>
          </w:tcPr>
          <w:p>
            <w:pPr>
              <w:pStyle w:val="6"/>
              <w:adjustRightInd w:val="0"/>
              <w:snapToGrid w:val="0"/>
              <w:spacing w:before="0" w:beforeAutospacing="0" w:after="0" w:afterAutospacing="0" w:line="240" w:lineRule="auto"/>
              <w:ind w:firstLine="0"/>
              <w:jc w:val="center"/>
              <w:rPr>
                <w:rFonts w:ascii="Times New Roman" w:hAnsi="Times New Roman"/>
                <w:color w:val="auto"/>
                <w:sz w:val="21"/>
                <w:szCs w:val="21"/>
                <w:lang w:val="en-US" w:eastAsia="zh-CN"/>
              </w:rPr>
            </w:pPr>
          </w:p>
        </w:tc>
        <w:tc>
          <w:tcPr>
            <w:tcW w:w="918" w:type="pct"/>
            <w:noWrap w:val="0"/>
            <w:vAlign w:val="center"/>
          </w:tcPr>
          <w:p>
            <w:pPr>
              <w:pStyle w:val="6"/>
              <w:adjustRightInd w:val="0"/>
              <w:snapToGrid w:val="0"/>
              <w:spacing w:before="0" w:beforeAutospacing="0" w:after="0" w:afterAutospacing="0" w:line="240" w:lineRule="auto"/>
              <w:ind w:firstLine="0"/>
              <w:jc w:val="center"/>
              <w:rPr>
                <w:rFonts w:ascii="Times New Roman" w:hAnsi="Times New Roman"/>
                <w:color w:val="auto"/>
                <w:sz w:val="21"/>
                <w:szCs w:val="21"/>
                <w:lang w:val="en-US" w:eastAsia="zh-CN"/>
              </w:rPr>
            </w:pPr>
            <w:r>
              <w:rPr>
                <w:rFonts w:ascii="Times New Roman" w:hAnsi="Times New Roman"/>
                <w:color w:val="auto"/>
                <w:sz w:val="21"/>
                <w:szCs w:val="21"/>
                <w:lang w:val="en-US" w:eastAsia="zh-CN"/>
              </w:rPr>
              <w:t>人   员</w:t>
            </w:r>
          </w:p>
        </w:tc>
        <w:tc>
          <w:tcPr>
            <w:tcW w:w="376" w:type="pct"/>
            <w:noWrap w:val="0"/>
            <w:vAlign w:val="center"/>
          </w:tcPr>
          <w:p>
            <w:pPr>
              <w:pStyle w:val="6"/>
              <w:adjustRightInd w:val="0"/>
              <w:snapToGrid w:val="0"/>
              <w:spacing w:before="0" w:beforeAutospacing="0" w:after="0" w:afterAutospacing="0" w:line="240" w:lineRule="auto"/>
              <w:ind w:firstLine="0"/>
              <w:jc w:val="center"/>
              <w:rPr>
                <w:rFonts w:ascii="Times New Roman" w:hAnsi="Times New Roman"/>
                <w:color w:val="auto"/>
                <w:sz w:val="21"/>
                <w:szCs w:val="21"/>
                <w:lang w:val="en-US" w:eastAsia="zh-CN"/>
              </w:rPr>
            </w:pPr>
            <w:r>
              <w:rPr>
                <w:rFonts w:ascii="Times New Roman" w:hAnsi="Times New Roman"/>
                <w:color w:val="auto"/>
                <w:sz w:val="21"/>
                <w:szCs w:val="21"/>
                <w:lang w:val="en-US" w:eastAsia="zh-CN"/>
              </w:rPr>
              <w:t>数量</w:t>
            </w:r>
          </w:p>
        </w:tc>
        <w:tc>
          <w:tcPr>
            <w:tcW w:w="2800" w:type="pct"/>
            <w:noWrap w:val="0"/>
            <w:vAlign w:val="center"/>
          </w:tcPr>
          <w:p>
            <w:pPr>
              <w:pStyle w:val="6"/>
              <w:adjustRightInd w:val="0"/>
              <w:snapToGrid w:val="0"/>
              <w:spacing w:before="0" w:beforeAutospacing="0" w:after="0" w:afterAutospacing="0" w:line="240" w:lineRule="auto"/>
              <w:ind w:firstLine="0"/>
              <w:jc w:val="center"/>
              <w:rPr>
                <w:rFonts w:ascii="Times New Roman" w:hAnsi="Times New Roman"/>
                <w:color w:val="auto"/>
                <w:sz w:val="21"/>
                <w:szCs w:val="21"/>
                <w:lang w:val="en-US" w:eastAsia="zh-CN"/>
              </w:rPr>
            </w:pPr>
            <w:r>
              <w:rPr>
                <w:rFonts w:ascii="Times New Roman" w:hAnsi="Times New Roman"/>
                <w:color w:val="auto"/>
                <w:sz w:val="21"/>
                <w:szCs w:val="21"/>
                <w:lang w:val="en-US" w:eastAsia="zh-CN"/>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04" w:type="pct"/>
            <w:noWrap w:val="0"/>
            <w:vAlign w:val="center"/>
          </w:tcPr>
          <w:p>
            <w:pPr>
              <w:adjustRightInd w:val="0"/>
              <w:snapToGrid w:val="0"/>
              <w:jc w:val="center"/>
              <w:rPr>
                <w:color w:val="auto"/>
                <w:sz w:val="21"/>
                <w:szCs w:val="21"/>
              </w:rPr>
            </w:pPr>
            <w:r>
              <w:rPr>
                <w:color w:val="auto"/>
                <w:sz w:val="21"/>
                <w:szCs w:val="21"/>
              </w:rPr>
              <w:t>标段一</w:t>
            </w:r>
          </w:p>
        </w:tc>
        <w:tc>
          <w:tcPr>
            <w:tcW w:w="918" w:type="pct"/>
            <w:noWrap w:val="0"/>
            <w:vAlign w:val="center"/>
          </w:tcPr>
          <w:p>
            <w:pPr>
              <w:adjustRightInd w:val="0"/>
              <w:snapToGrid w:val="0"/>
              <w:jc w:val="center"/>
              <w:rPr>
                <w:color w:val="auto"/>
                <w:sz w:val="21"/>
                <w:szCs w:val="21"/>
              </w:rPr>
            </w:pPr>
            <w:r>
              <w:rPr>
                <w:color w:val="auto"/>
                <w:sz w:val="21"/>
                <w:szCs w:val="21"/>
              </w:rPr>
              <w:t>项目负责人</w:t>
            </w:r>
          </w:p>
          <w:p>
            <w:pPr>
              <w:adjustRightInd w:val="0"/>
              <w:snapToGrid w:val="0"/>
              <w:jc w:val="center"/>
              <w:rPr>
                <w:color w:val="auto"/>
                <w:sz w:val="21"/>
                <w:szCs w:val="21"/>
              </w:rPr>
            </w:pPr>
            <w:r>
              <w:rPr>
                <w:color w:val="auto"/>
                <w:sz w:val="21"/>
                <w:szCs w:val="21"/>
              </w:rPr>
              <w:t>（造价审核主管）</w:t>
            </w:r>
          </w:p>
        </w:tc>
        <w:tc>
          <w:tcPr>
            <w:tcW w:w="376" w:type="pct"/>
            <w:noWrap w:val="0"/>
            <w:vAlign w:val="center"/>
          </w:tcPr>
          <w:p>
            <w:pPr>
              <w:adjustRightInd w:val="0"/>
              <w:snapToGrid w:val="0"/>
              <w:jc w:val="center"/>
              <w:rPr>
                <w:color w:val="auto"/>
                <w:sz w:val="21"/>
                <w:szCs w:val="21"/>
              </w:rPr>
            </w:pPr>
            <w:r>
              <w:rPr>
                <w:color w:val="auto"/>
                <w:sz w:val="21"/>
                <w:szCs w:val="21"/>
              </w:rPr>
              <w:t>1</w:t>
            </w:r>
          </w:p>
        </w:tc>
        <w:tc>
          <w:tcPr>
            <w:tcW w:w="2800" w:type="pct"/>
            <w:noWrap w:val="0"/>
            <w:vAlign w:val="center"/>
          </w:tcPr>
          <w:p>
            <w:pPr>
              <w:adjustRightInd w:val="0"/>
              <w:snapToGrid w:val="0"/>
              <w:rPr>
                <w:color w:val="auto"/>
                <w:sz w:val="21"/>
                <w:szCs w:val="21"/>
              </w:rPr>
            </w:pPr>
            <w:r>
              <w:rPr>
                <w:color w:val="auto"/>
                <w:sz w:val="21"/>
                <w:szCs w:val="21"/>
              </w:rPr>
              <w:t>一级注册造价工程师，注册年限5年以上。近5年内（</w:t>
            </w:r>
            <w:r>
              <w:rPr>
                <w:rFonts w:hint="eastAsia"/>
                <w:color w:val="auto"/>
                <w:sz w:val="21"/>
                <w:szCs w:val="21"/>
              </w:rPr>
              <w:t>2019年</w:t>
            </w:r>
            <w:r>
              <w:rPr>
                <w:rFonts w:hint="eastAsia"/>
                <w:color w:val="auto"/>
                <w:sz w:val="21"/>
                <w:szCs w:val="21"/>
                <w:lang w:val="en-US" w:eastAsia="zh-CN"/>
              </w:rPr>
              <w:t>7</w:t>
            </w:r>
            <w:r>
              <w:rPr>
                <w:rFonts w:hint="eastAsia"/>
                <w:color w:val="auto"/>
                <w:sz w:val="21"/>
                <w:szCs w:val="21"/>
              </w:rPr>
              <w:t>月1日</w:t>
            </w:r>
            <w:r>
              <w:rPr>
                <w:color w:val="auto"/>
                <w:sz w:val="21"/>
                <w:szCs w:val="21"/>
              </w:rPr>
              <w:t>至今，以合同签订时间为准）担任过一项投资额1亿元以上的工程建设项目工程结算审计业务的负责人。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04" w:type="pct"/>
            <w:vMerge w:val="restart"/>
            <w:noWrap w:val="0"/>
            <w:vAlign w:val="center"/>
          </w:tcPr>
          <w:p>
            <w:pPr>
              <w:adjustRightInd w:val="0"/>
              <w:snapToGrid w:val="0"/>
              <w:jc w:val="center"/>
              <w:rPr>
                <w:color w:val="auto"/>
                <w:sz w:val="21"/>
                <w:szCs w:val="21"/>
              </w:rPr>
            </w:pPr>
            <w:r>
              <w:rPr>
                <w:color w:val="auto"/>
                <w:sz w:val="21"/>
                <w:szCs w:val="21"/>
              </w:rPr>
              <w:t>标段二</w:t>
            </w:r>
          </w:p>
        </w:tc>
        <w:tc>
          <w:tcPr>
            <w:tcW w:w="918" w:type="pct"/>
            <w:noWrap w:val="0"/>
            <w:vAlign w:val="center"/>
          </w:tcPr>
          <w:p>
            <w:pPr>
              <w:adjustRightInd w:val="0"/>
              <w:snapToGrid w:val="0"/>
              <w:jc w:val="center"/>
              <w:rPr>
                <w:color w:val="auto"/>
                <w:sz w:val="21"/>
                <w:szCs w:val="21"/>
              </w:rPr>
            </w:pPr>
            <w:r>
              <w:rPr>
                <w:color w:val="auto"/>
                <w:sz w:val="21"/>
                <w:szCs w:val="21"/>
              </w:rPr>
              <w:t>项目负责人</w:t>
            </w:r>
          </w:p>
          <w:p>
            <w:pPr>
              <w:adjustRightInd w:val="0"/>
              <w:snapToGrid w:val="0"/>
              <w:jc w:val="center"/>
              <w:rPr>
                <w:color w:val="auto"/>
                <w:sz w:val="21"/>
                <w:szCs w:val="21"/>
              </w:rPr>
            </w:pPr>
            <w:r>
              <w:rPr>
                <w:color w:val="auto"/>
                <w:sz w:val="21"/>
                <w:szCs w:val="21"/>
              </w:rPr>
              <w:t>（财务审核主管）</w:t>
            </w:r>
          </w:p>
        </w:tc>
        <w:tc>
          <w:tcPr>
            <w:tcW w:w="376" w:type="pct"/>
            <w:noWrap w:val="0"/>
            <w:vAlign w:val="center"/>
          </w:tcPr>
          <w:p>
            <w:pPr>
              <w:adjustRightInd w:val="0"/>
              <w:snapToGrid w:val="0"/>
              <w:jc w:val="center"/>
              <w:rPr>
                <w:color w:val="auto"/>
                <w:sz w:val="21"/>
                <w:szCs w:val="21"/>
              </w:rPr>
            </w:pPr>
            <w:r>
              <w:rPr>
                <w:color w:val="auto"/>
                <w:sz w:val="21"/>
                <w:szCs w:val="21"/>
              </w:rPr>
              <w:t>1</w:t>
            </w:r>
          </w:p>
        </w:tc>
        <w:tc>
          <w:tcPr>
            <w:tcW w:w="2800" w:type="pct"/>
            <w:noWrap w:val="0"/>
            <w:vAlign w:val="center"/>
          </w:tcPr>
          <w:p>
            <w:pPr>
              <w:adjustRightInd w:val="0"/>
              <w:snapToGrid w:val="0"/>
              <w:rPr>
                <w:color w:val="auto"/>
                <w:sz w:val="21"/>
                <w:szCs w:val="21"/>
              </w:rPr>
            </w:pPr>
            <w:r>
              <w:rPr>
                <w:color w:val="auto"/>
                <w:sz w:val="21"/>
                <w:szCs w:val="21"/>
              </w:rPr>
              <w:t>注册会计师，注册年限5年以上，近5年内（</w:t>
            </w:r>
            <w:r>
              <w:rPr>
                <w:rFonts w:hint="eastAsia"/>
                <w:color w:val="auto"/>
                <w:sz w:val="21"/>
                <w:szCs w:val="21"/>
              </w:rPr>
              <w:t>2019年</w:t>
            </w:r>
            <w:r>
              <w:rPr>
                <w:rFonts w:hint="eastAsia"/>
                <w:color w:val="auto"/>
                <w:sz w:val="21"/>
                <w:szCs w:val="21"/>
                <w:lang w:val="en-US" w:eastAsia="zh-CN"/>
              </w:rPr>
              <w:t>7</w:t>
            </w:r>
            <w:r>
              <w:rPr>
                <w:rFonts w:hint="eastAsia"/>
                <w:color w:val="auto"/>
                <w:sz w:val="21"/>
                <w:szCs w:val="21"/>
              </w:rPr>
              <w:t>月1日</w:t>
            </w:r>
            <w:r>
              <w:rPr>
                <w:color w:val="auto"/>
                <w:sz w:val="21"/>
                <w:szCs w:val="21"/>
              </w:rPr>
              <w:t>至今，以合同签订时间为准）担任过一项投资额1亿元以上的工程建设项目竣工财务决算审计业务的负责人。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04" w:type="pct"/>
            <w:vMerge w:val="continue"/>
            <w:noWrap w:val="0"/>
            <w:vAlign w:val="center"/>
          </w:tcPr>
          <w:p>
            <w:pPr>
              <w:adjustRightInd w:val="0"/>
              <w:snapToGrid w:val="0"/>
              <w:jc w:val="center"/>
              <w:rPr>
                <w:color w:val="auto"/>
                <w:sz w:val="21"/>
                <w:szCs w:val="21"/>
              </w:rPr>
            </w:pPr>
          </w:p>
        </w:tc>
        <w:tc>
          <w:tcPr>
            <w:tcW w:w="918" w:type="pct"/>
            <w:noWrap w:val="0"/>
            <w:vAlign w:val="center"/>
          </w:tcPr>
          <w:p>
            <w:pPr>
              <w:adjustRightInd w:val="0"/>
              <w:snapToGrid w:val="0"/>
              <w:jc w:val="center"/>
              <w:rPr>
                <w:color w:val="auto"/>
                <w:sz w:val="21"/>
                <w:szCs w:val="21"/>
              </w:rPr>
            </w:pPr>
            <w:r>
              <w:rPr>
                <w:color w:val="auto"/>
                <w:sz w:val="21"/>
                <w:szCs w:val="21"/>
              </w:rPr>
              <w:t>财务审计人</w:t>
            </w:r>
          </w:p>
        </w:tc>
        <w:tc>
          <w:tcPr>
            <w:tcW w:w="376" w:type="pct"/>
            <w:noWrap w:val="0"/>
            <w:vAlign w:val="center"/>
          </w:tcPr>
          <w:p>
            <w:pPr>
              <w:adjustRightInd w:val="0"/>
              <w:snapToGrid w:val="0"/>
              <w:jc w:val="center"/>
              <w:rPr>
                <w:color w:val="auto"/>
                <w:sz w:val="21"/>
                <w:szCs w:val="21"/>
              </w:rPr>
            </w:pPr>
            <w:r>
              <w:rPr>
                <w:color w:val="auto"/>
                <w:sz w:val="21"/>
                <w:szCs w:val="21"/>
              </w:rPr>
              <w:t>1</w:t>
            </w:r>
          </w:p>
        </w:tc>
        <w:tc>
          <w:tcPr>
            <w:tcW w:w="2800" w:type="pct"/>
            <w:noWrap w:val="0"/>
            <w:vAlign w:val="center"/>
          </w:tcPr>
          <w:p>
            <w:pPr>
              <w:adjustRightInd w:val="0"/>
              <w:snapToGrid w:val="0"/>
              <w:rPr>
                <w:color w:val="auto"/>
                <w:sz w:val="21"/>
                <w:szCs w:val="21"/>
              </w:rPr>
            </w:pPr>
            <w:r>
              <w:rPr>
                <w:color w:val="auto"/>
                <w:sz w:val="21"/>
                <w:szCs w:val="21"/>
              </w:rPr>
              <w:t>注册会计师，注册年限1年以上。</w:t>
            </w:r>
          </w:p>
        </w:tc>
      </w:tr>
    </w:tbl>
    <w:p>
      <w:pPr>
        <w:ind w:firstLine="420" w:firstLineChars="200"/>
        <w:rPr>
          <w:color w:val="auto"/>
          <w:sz w:val="21"/>
          <w:szCs w:val="21"/>
        </w:rPr>
      </w:pPr>
    </w:p>
    <w:p>
      <w:pPr>
        <w:spacing w:line="360" w:lineRule="auto"/>
        <w:rPr>
          <w:b/>
          <w:color w:val="auto"/>
          <w:sz w:val="24"/>
        </w:rPr>
      </w:pPr>
      <w:r>
        <w:rPr>
          <w:color w:val="auto"/>
        </w:rPr>
        <w:br w:type="page"/>
      </w:r>
      <w:r>
        <w:rPr>
          <w:b/>
          <w:color w:val="auto"/>
          <w:sz w:val="24"/>
        </w:rPr>
        <w:t>附件2：评标办法</w:t>
      </w:r>
    </w:p>
    <w:p>
      <w:pPr>
        <w:pStyle w:val="22"/>
        <w:spacing w:line="276" w:lineRule="auto"/>
        <w:rPr>
          <w:rFonts w:ascii="Times New Roman" w:hAnsi="Times New Roman" w:eastAsia="宋体"/>
          <w:color w:val="auto"/>
          <w:sz w:val="30"/>
          <w:szCs w:val="30"/>
        </w:rPr>
      </w:pPr>
      <w:bookmarkStart w:id="6" w:name="_Hlk93740604"/>
      <w:bookmarkStart w:id="7" w:name="_Toc450319202"/>
      <w:bookmarkStart w:id="8" w:name="_Toc459307890"/>
      <w:bookmarkStart w:id="9" w:name="_Toc509659998"/>
      <w:bookmarkStart w:id="10" w:name="_Toc514238202"/>
      <w:bookmarkStart w:id="11" w:name="_Toc509660966"/>
      <w:bookmarkStart w:id="12" w:name="_Toc502992691"/>
      <w:bookmarkStart w:id="13" w:name="_Toc444088432"/>
      <w:bookmarkStart w:id="14" w:name="_Toc445222503"/>
      <w:bookmarkStart w:id="15" w:name="_Toc445382083"/>
      <w:bookmarkStart w:id="16" w:name="_Toc444271617"/>
      <w:r>
        <w:rPr>
          <w:rFonts w:ascii="Times New Roman" w:hAnsi="Times New Roman" w:eastAsia="宋体"/>
          <w:color w:val="auto"/>
          <w:sz w:val="30"/>
          <w:szCs w:val="30"/>
        </w:rPr>
        <w:t>评标办法</w:t>
      </w:r>
      <w:bookmarkEnd w:id="6"/>
      <w:r>
        <w:rPr>
          <w:rFonts w:ascii="Times New Roman" w:hAnsi="Times New Roman" w:eastAsia="宋体"/>
          <w:color w:val="auto"/>
          <w:sz w:val="30"/>
          <w:szCs w:val="30"/>
        </w:rPr>
        <w:t>（综合评估法）</w:t>
      </w:r>
      <w:bookmarkEnd w:id="7"/>
      <w:bookmarkEnd w:id="8"/>
      <w:bookmarkEnd w:id="9"/>
      <w:bookmarkEnd w:id="10"/>
      <w:bookmarkEnd w:id="11"/>
      <w:bookmarkEnd w:id="12"/>
    </w:p>
    <w:bookmarkEnd w:id="1"/>
    <w:bookmarkEnd w:id="2"/>
    <w:bookmarkEnd w:id="13"/>
    <w:bookmarkEnd w:id="14"/>
    <w:bookmarkEnd w:id="15"/>
    <w:bookmarkEnd w:id="16"/>
    <w:p>
      <w:pPr>
        <w:pStyle w:val="22"/>
        <w:spacing w:line="276" w:lineRule="auto"/>
        <w:jc w:val="both"/>
        <w:rPr>
          <w:rFonts w:ascii="Times New Roman" w:hAnsi="Times New Roman" w:eastAsia="宋体"/>
          <w:color w:val="auto"/>
          <w:sz w:val="24"/>
          <w:szCs w:val="30"/>
        </w:rPr>
      </w:pPr>
      <w:r>
        <w:rPr>
          <w:rFonts w:ascii="Times New Roman" w:hAnsi="Times New Roman" w:eastAsia="宋体"/>
          <w:color w:val="auto"/>
          <w:sz w:val="24"/>
          <w:szCs w:val="30"/>
        </w:rPr>
        <w:t>评标办法前附表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254"/>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839" w:type="dxa"/>
            <w:noWrap w:val="0"/>
            <w:vAlign w:val="center"/>
          </w:tcPr>
          <w:p>
            <w:pPr>
              <w:jc w:val="center"/>
              <w:rPr>
                <w:color w:val="auto"/>
                <w:sz w:val="21"/>
                <w:szCs w:val="21"/>
              </w:rPr>
            </w:pPr>
            <w:r>
              <w:rPr>
                <w:color w:val="auto"/>
                <w:sz w:val="21"/>
                <w:szCs w:val="21"/>
              </w:rPr>
              <w:t>条款号</w:t>
            </w:r>
          </w:p>
        </w:tc>
        <w:tc>
          <w:tcPr>
            <w:tcW w:w="1254" w:type="dxa"/>
            <w:noWrap w:val="0"/>
            <w:vAlign w:val="center"/>
          </w:tcPr>
          <w:p>
            <w:pPr>
              <w:jc w:val="center"/>
              <w:rPr>
                <w:color w:val="auto"/>
                <w:sz w:val="21"/>
                <w:szCs w:val="21"/>
              </w:rPr>
            </w:pPr>
            <w:r>
              <w:rPr>
                <w:color w:val="auto"/>
                <w:sz w:val="21"/>
                <w:szCs w:val="21"/>
              </w:rPr>
              <w:t>条款名称</w:t>
            </w:r>
          </w:p>
        </w:tc>
        <w:tc>
          <w:tcPr>
            <w:tcW w:w="7250" w:type="dxa"/>
            <w:noWrap w:val="0"/>
            <w:vAlign w:val="center"/>
          </w:tcPr>
          <w:p>
            <w:pPr>
              <w:jc w:val="center"/>
              <w:rPr>
                <w:color w:val="auto"/>
                <w:sz w:val="21"/>
                <w:szCs w:val="21"/>
              </w:rPr>
            </w:pPr>
            <w:r>
              <w:rPr>
                <w:color w:val="auto"/>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39" w:type="dxa"/>
            <w:noWrap w:val="0"/>
            <w:vAlign w:val="center"/>
          </w:tcPr>
          <w:p>
            <w:pPr>
              <w:jc w:val="center"/>
              <w:rPr>
                <w:color w:val="auto"/>
                <w:sz w:val="21"/>
                <w:szCs w:val="21"/>
              </w:rPr>
            </w:pPr>
            <w:r>
              <w:rPr>
                <w:color w:val="auto"/>
                <w:sz w:val="21"/>
                <w:szCs w:val="21"/>
              </w:rPr>
              <w:t>1</w:t>
            </w:r>
          </w:p>
        </w:tc>
        <w:tc>
          <w:tcPr>
            <w:tcW w:w="1254" w:type="dxa"/>
            <w:noWrap w:val="0"/>
            <w:vAlign w:val="center"/>
          </w:tcPr>
          <w:p>
            <w:pPr>
              <w:jc w:val="center"/>
              <w:rPr>
                <w:color w:val="auto"/>
                <w:sz w:val="21"/>
                <w:szCs w:val="21"/>
              </w:rPr>
            </w:pPr>
            <w:r>
              <w:rPr>
                <w:color w:val="auto"/>
                <w:sz w:val="21"/>
                <w:szCs w:val="21"/>
              </w:rPr>
              <w:t>评标办法</w:t>
            </w:r>
          </w:p>
        </w:tc>
        <w:tc>
          <w:tcPr>
            <w:tcW w:w="7250" w:type="dxa"/>
            <w:noWrap w:val="0"/>
            <w:vAlign w:val="center"/>
          </w:tcPr>
          <w:p>
            <w:pPr>
              <w:spacing w:line="288" w:lineRule="auto"/>
              <w:ind w:firstLine="404" w:firstLineChars="200"/>
              <w:jc w:val="left"/>
              <w:rPr>
                <w:color w:val="auto"/>
                <w:spacing w:val="-4"/>
                <w:sz w:val="21"/>
                <w:szCs w:val="21"/>
              </w:rPr>
            </w:pPr>
            <w:r>
              <w:rPr>
                <w:color w:val="auto"/>
                <w:spacing w:val="-4"/>
                <w:sz w:val="21"/>
                <w:szCs w:val="21"/>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pPr>
              <w:spacing w:line="288" w:lineRule="auto"/>
              <w:ind w:left="273" w:leftChars="97" w:hanging="1"/>
              <w:jc w:val="left"/>
              <w:rPr>
                <w:color w:val="auto"/>
                <w:spacing w:val="-4"/>
                <w:sz w:val="21"/>
                <w:szCs w:val="21"/>
              </w:rPr>
            </w:pPr>
            <w:r>
              <w:rPr>
                <w:color w:val="auto"/>
                <w:spacing w:val="-4"/>
                <w:sz w:val="21"/>
                <w:szCs w:val="21"/>
              </w:rPr>
              <w:t>（1）评标价低的投标人优先；</w:t>
            </w:r>
          </w:p>
          <w:p>
            <w:pPr>
              <w:spacing w:line="288" w:lineRule="auto"/>
              <w:ind w:left="273" w:leftChars="97" w:hanging="1"/>
              <w:jc w:val="left"/>
              <w:rPr>
                <w:color w:val="auto"/>
                <w:spacing w:val="-4"/>
                <w:sz w:val="21"/>
                <w:szCs w:val="21"/>
              </w:rPr>
            </w:pPr>
            <w:r>
              <w:rPr>
                <w:color w:val="auto"/>
                <w:spacing w:val="-4"/>
                <w:sz w:val="21"/>
                <w:szCs w:val="21"/>
              </w:rPr>
              <w:t>（2）审计实施方案得分较高的投标人优先；</w:t>
            </w:r>
          </w:p>
          <w:p>
            <w:pPr>
              <w:spacing w:line="288" w:lineRule="auto"/>
              <w:ind w:firstLine="272"/>
              <w:jc w:val="left"/>
              <w:rPr>
                <w:color w:val="auto"/>
                <w:spacing w:val="-4"/>
                <w:sz w:val="21"/>
                <w:szCs w:val="21"/>
              </w:rPr>
            </w:pPr>
            <w:r>
              <w:rPr>
                <w:color w:val="auto"/>
                <w:spacing w:val="-4"/>
                <w:sz w:val="21"/>
                <w:szCs w:val="21"/>
              </w:rPr>
              <w:t>（3）投标人近5年内满足资格审查条件（业绩最低条件）要求的业绩金额累计较高的优先。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39" w:type="dxa"/>
            <w:noWrap w:val="0"/>
            <w:vAlign w:val="center"/>
          </w:tcPr>
          <w:p>
            <w:pPr>
              <w:jc w:val="center"/>
              <w:rPr>
                <w:color w:val="auto"/>
                <w:sz w:val="21"/>
                <w:szCs w:val="21"/>
              </w:rPr>
            </w:pPr>
            <w:r>
              <w:rPr>
                <w:color w:val="auto"/>
                <w:sz w:val="21"/>
                <w:szCs w:val="21"/>
              </w:rPr>
              <w:t>2.1.1</w:t>
            </w:r>
          </w:p>
          <w:p>
            <w:pPr>
              <w:jc w:val="center"/>
              <w:rPr>
                <w:color w:val="auto"/>
                <w:sz w:val="21"/>
                <w:szCs w:val="21"/>
              </w:rPr>
            </w:pPr>
            <w:r>
              <w:rPr>
                <w:color w:val="auto"/>
                <w:sz w:val="21"/>
                <w:szCs w:val="21"/>
              </w:rPr>
              <w:t>2.1.3</w:t>
            </w:r>
          </w:p>
        </w:tc>
        <w:tc>
          <w:tcPr>
            <w:tcW w:w="1254" w:type="dxa"/>
            <w:noWrap w:val="0"/>
            <w:vAlign w:val="center"/>
          </w:tcPr>
          <w:p>
            <w:pPr>
              <w:jc w:val="center"/>
              <w:rPr>
                <w:color w:val="auto"/>
                <w:sz w:val="21"/>
                <w:szCs w:val="21"/>
              </w:rPr>
            </w:pPr>
            <w:r>
              <w:rPr>
                <w:color w:val="auto"/>
                <w:sz w:val="21"/>
                <w:szCs w:val="21"/>
              </w:rPr>
              <w:t>形式评审与响应性评审标准</w:t>
            </w:r>
          </w:p>
        </w:tc>
        <w:tc>
          <w:tcPr>
            <w:tcW w:w="7250" w:type="dxa"/>
            <w:noWrap w:val="0"/>
            <w:vAlign w:val="top"/>
          </w:tcPr>
          <w:p>
            <w:pPr>
              <w:tabs>
                <w:tab w:val="left" w:pos="3060"/>
              </w:tabs>
              <w:spacing w:line="320" w:lineRule="exact"/>
              <w:rPr>
                <w:b/>
                <w:color w:val="auto"/>
                <w:sz w:val="21"/>
                <w:szCs w:val="21"/>
              </w:rPr>
            </w:pPr>
            <w:r>
              <w:rPr>
                <w:b/>
                <w:color w:val="auto"/>
                <w:sz w:val="21"/>
                <w:szCs w:val="21"/>
              </w:rPr>
              <w:t>第一个信封（商务及技术文件）评审标准：</w:t>
            </w:r>
          </w:p>
          <w:p>
            <w:pPr>
              <w:tabs>
                <w:tab w:val="left" w:pos="3060"/>
              </w:tabs>
              <w:spacing w:line="320" w:lineRule="exact"/>
              <w:ind w:firstLine="210" w:firstLineChars="100"/>
              <w:rPr>
                <w:bCs/>
                <w:color w:val="auto"/>
                <w:sz w:val="21"/>
                <w:szCs w:val="21"/>
              </w:rPr>
            </w:pPr>
            <w:r>
              <w:rPr>
                <w:bCs/>
                <w:color w:val="auto"/>
                <w:sz w:val="21"/>
                <w:szCs w:val="21"/>
              </w:rPr>
              <w:t>（1）投标文件按照招标文件规定的格式、内容填写，字迹清晰可辨：</w:t>
            </w:r>
          </w:p>
          <w:p>
            <w:pPr>
              <w:tabs>
                <w:tab w:val="left" w:pos="3060"/>
              </w:tabs>
              <w:spacing w:line="320" w:lineRule="exact"/>
              <w:ind w:firstLine="210" w:firstLineChars="100"/>
              <w:rPr>
                <w:bCs/>
                <w:color w:val="auto"/>
                <w:sz w:val="21"/>
                <w:szCs w:val="21"/>
              </w:rPr>
            </w:pPr>
            <w:r>
              <w:rPr>
                <w:bCs/>
                <w:color w:val="auto"/>
                <w:sz w:val="21"/>
                <w:szCs w:val="21"/>
              </w:rPr>
              <w:t>a.投标函按招标文件规定填报了补遗书编号（如有）、</w:t>
            </w:r>
            <w:r>
              <w:rPr>
                <w:color w:val="auto"/>
                <w:sz w:val="21"/>
                <w:szCs w:val="21"/>
              </w:rPr>
              <w:t>项目负责人</w:t>
            </w:r>
            <w:r>
              <w:rPr>
                <w:bCs/>
                <w:color w:val="auto"/>
                <w:sz w:val="21"/>
                <w:szCs w:val="21"/>
              </w:rPr>
              <w:t>，未对项目名称、质量要求、安全目标、服务期限进行修改；</w:t>
            </w:r>
          </w:p>
          <w:p>
            <w:pPr>
              <w:tabs>
                <w:tab w:val="left" w:pos="3060"/>
              </w:tabs>
              <w:spacing w:line="320" w:lineRule="exact"/>
              <w:ind w:firstLine="210" w:firstLineChars="100"/>
              <w:rPr>
                <w:bCs/>
                <w:color w:val="auto"/>
                <w:sz w:val="21"/>
                <w:szCs w:val="21"/>
              </w:rPr>
            </w:pPr>
            <w:r>
              <w:rPr>
                <w:bCs/>
                <w:color w:val="auto"/>
                <w:sz w:val="21"/>
                <w:szCs w:val="21"/>
              </w:rPr>
              <w:t>b.投标文件组成齐全完整，内容均按规定填写。</w:t>
            </w:r>
          </w:p>
          <w:p>
            <w:pPr>
              <w:tabs>
                <w:tab w:val="left" w:pos="3060"/>
              </w:tabs>
              <w:spacing w:line="320" w:lineRule="exact"/>
              <w:ind w:firstLine="210" w:firstLineChars="100"/>
              <w:rPr>
                <w:bCs/>
                <w:color w:val="auto"/>
                <w:sz w:val="21"/>
                <w:szCs w:val="21"/>
              </w:rPr>
            </w:pPr>
            <w:r>
              <w:rPr>
                <w:bCs/>
                <w:color w:val="auto"/>
                <w:sz w:val="21"/>
                <w:szCs w:val="21"/>
              </w:rPr>
              <w:t>（2）投标文件上法定代表人或其授权代理人的签字、投标人的单位章盖章齐全，符合招标文件规定。</w:t>
            </w:r>
          </w:p>
          <w:p>
            <w:pPr>
              <w:tabs>
                <w:tab w:val="left" w:pos="3060"/>
              </w:tabs>
              <w:spacing w:line="320" w:lineRule="exact"/>
              <w:ind w:firstLine="210" w:firstLineChars="100"/>
              <w:rPr>
                <w:color w:val="auto"/>
                <w:sz w:val="21"/>
                <w:szCs w:val="21"/>
              </w:rPr>
            </w:pPr>
            <w:r>
              <w:rPr>
                <w:color w:val="auto"/>
                <w:sz w:val="21"/>
                <w:szCs w:val="21"/>
              </w:rPr>
              <w:t>（3）投标人按照招标文件的规定提供了投标保证金，并符合投标人须知前附表3.4.1项的相关规定。</w:t>
            </w:r>
          </w:p>
          <w:p>
            <w:pPr>
              <w:tabs>
                <w:tab w:val="left" w:pos="3060"/>
              </w:tabs>
              <w:spacing w:line="320" w:lineRule="exact"/>
              <w:ind w:firstLine="210" w:firstLineChars="100"/>
              <w:rPr>
                <w:color w:val="auto"/>
                <w:sz w:val="21"/>
                <w:szCs w:val="21"/>
              </w:rPr>
            </w:pPr>
            <w:r>
              <w:rPr>
                <w:color w:val="auto"/>
                <w:sz w:val="21"/>
                <w:szCs w:val="21"/>
              </w:rPr>
              <w:t>（4）投标人法定代表人授权委托代理人签署投标文件的，须提交授权委托书，并符合下列要求：</w:t>
            </w:r>
          </w:p>
          <w:p>
            <w:pPr>
              <w:tabs>
                <w:tab w:val="left" w:pos="3060"/>
              </w:tabs>
              <w:spacing w:line="320" w:lineRule="exact"/>
              <w:ind w:firstLine="210" w:firstLineChars="100"/>
              <w:rPr>
                <w:color w:val="auto"/>
                <w:sz w:val="21"/>
                <w:szCs w:val="21"/>
              </w:rPr>
            </w:pPr>
            <w:r>
              <w:rPr>
                <w:color w:val="auto"/>
                <w:sz w:val="21"/>
                <w:szCs w:val="21"/>
              </w:rPr>
              <w:t>a.法定代表人和委托代理人均在授权书上签名；</w:t>
            </w:r>
          </w:p>
          <w:p>
            <w:pPr>
              <w:tabs>
                <w:tab w:val="left" w:pos="3060"/>
              </w:tabs>
              <w:spacing w:line="320" w:lineRule="exact"/>
              <w:ind w:firstLine="210" w:firstLineChars="100"/>
              <w:rPr>
                <w:color w:val="auto"/>
                <w:sz w:val="21"/>
                <w:szCs w:val="21"/>
              </w:rPr>
            </w:pPr>
            <w:r>
              <w:rPr>
                <w:color w:val="auto"/>
                <w:sz w:val="21"/>
                <w:szCs w:val="21"/>
              </w:rPr>
              <w:t>b.投标函签署的日期与授权委托书出具的日期同日或在其之后，并与投标截止时间同日或在其之前；</w:t>
            </w:r>
          </w:p>
          <w:p>
            <w:pPr>
              <w:tabs>
                <w:tab w:val="left" w:pos="3060"/>
              </w:tabs>
              <w:spacing w:line="320" w:lineRule="exact"/>
              <w:ind w:firstLine="210" w:firstLineChars="100"/>
              <w:rPr>
                <w:color w:val="auto"/>
                <w:sz w:val="21"/>
                <w:szCs w:val="21"/>
              </w:rPr>
            </w:pPr>
            <w:r>
              <w:rPr>
                <w:color w:val="auto"/>
                <w:sz w:val="21"/>
                <w:szCs w:val="21"/>
              </w:rPr>
              <w:t>c.授权委托书只能授权给一名委托代理人。</w:t>
            </w:r>
          </w:p>
          <w:p>
            <w:pPr>
              <w:tabs>
                <w:tab w:val="left" w:pos="3060"/>
              </w:tabs>
              <w:spacing w:line="320" w:lineRule="exact"/>
              <w:ind w:firstLine="210" w:firstLineChars="100"/>
              <w:rPr>
                <w:color w:val="auto"/>
                <w:sz w:val="21"/>
                <w:szCs w:val="21"/>
              </w:rPr>
            </w:pPr>
            <w:r>
              <w:rPr>
                <w:color w:val="auto"/>
                <w:sz w:val="21"/>
                <w:szCs w:val="21"/>
              </w:rPr>
              <w:t>（5）投标人法定代表人亲自签署投标文件的，提供了法定代表人身份证明，并符合招标文件的规定。</w:t>
            </w:r>
          </w:p>
          <w:p>
            <w:pPr>
              <w:tabs>
                <w:tab w:val="left" w:pos="3060"/>
              </w:tabs>
              <w:spacing w:line="320" w:lineRule="exact"/>
              <w:ind w:firstLine="210" w:firstLineChars="100"/>
              <w:rPr>
                <w:color w:val="auto"/>
                <w:sz w:val="21"/>
                <w:szCs w:val="21"/>
              </w:rPr>
            </w:pPr>
            <w:r>
              <w:rPr>
                <w:color w:val="auto"/>
                <w:sz w:val="21"/>
                <w:szCs w:val="21"/>
              </w:rPr>
              <w:t>（6）投标人</w:t>
            </w:r>
            <w:r>
              <w:rPr>
                <w:rFonts w:hint="eastAsia"/>
                <w:color w:val="auto"/>
                <w:sz w:val="21"/>
                <w:szCs w:val="21"/>
              </w:rPr>
              <w:t>未</w:t>
            </w:r>
            <w:r>
              <w:rPr>
                <w:color w:val="auto"/>
                <w:sz w:val="21"/>
                <w:szCs w:val="21"/>
              </w:rPr>
              <w:t>以联合体形式投标。</w:t>
            </w:r>
          </w:p>
          <w:p>
            <w:pPr>
              <w:tabs>
                <w:tab w:val="left" w:pos="3060"/>
              </w:tabs>
              <w:spacing w:line="320" w:lineRule="exact"/>
              <w:ind w:firstLine="210" w:firstLineChars="100"/>
              <w:rPr>
                <w:color w:val="auto"/>
                <w:sz w:val="21"/>
                <w:szCs w:val="21"/>
              </w:rPr>
            </w:pPr>
            <w:r>
              <w:rPr>
                <w:color w:val="auto"/>
                <w:sz w:val="21"/>
                <w:szCs w:val="21"/>
              </w:rPr>
              <w:t>（7）投标人无分包计划。</w:t>
            </w:r>
          </w:p>
          <w:p>
            <w:pPr>
              <w:tabs>
                <w:tab w:val="left" w:pos="3060"/>
              </w:tabs>
              <w:spacing w:line="320" w:lineRule="exact"/>
              <w:ind w:firstLine="210" w:firstLineChars="100"/>
              <w:rPr>
                <w:color w:val="auto"/>
                <w:sz w:val="21"/>
                <w:szCs w:val="21"/>
              </w:rPr>
            </w:pPr>
            <w:r>
              <w:rPr>
                <w:color w:val="auto"/>
                <w:sz w:val="21"/>
                <w:szCs w:val="21"/>
              </w:rPr>
              <w:t>（8）同一投标人未提交两个以上不同的投标文件。</w:t>
            </w:r>
          </w:p>
          <w:p>
            <w:pPr>
              <w:tabs>
                <w:tab w:val="left" w:pos="3060"/>
              </w:tabs>
              <w:spacing w:line="320" w:lineRule="exact"/>
              <w:ind w:firstLine="210" w:firstLineChars="100"/>
              <w:rPr>
                <w:color w:val="auto"/>
                <w:sz w:val="21"/>
                <w:szCs w:val="21"/>
              </w:rPr>
            </w:pPr>
            <w:r>
              <w:rPr>
                <w:color w:val="auto"/>
                <w:sz w:val="21"/>
                <w:szCs w:val="21"/>
              </w:rPr>
              <w:t>（9）投标文件第一信封中未出现有关投标报价的内容。</w:t>
            </w:r>
          </w:p>
          <w:p>
            <w:pPr>
              <w:tabs>
                <w:tab w:val="left" w:pos="3060"/>
              </w:tabs>
              <w:spacing w:line="320" w:lineRule="exact"/>
              <w:ind w:firstLine="210" w:firstLineChars="100"/>
              <w:rPr>
                <w:color w:val="auto"/>
                <w:sz w:val="21"/>
                <w:szCs w:val="21"/>
              </w:rPr>
            </w:pPr>
            <w:r>
              <w:rPr>
                <w:color w:val="auto"/>
                <w:sz w:val="21"/>
                <w:szCs w:val="21"/>
              </w:rPr>
              <w:t>（10）投标文件载明的招标项目完成期限未超过招标文件规定。</w:t>
            </w:r>
          </w:p>
          <w:p>
            <w:pPr>
              <w:tabs>
                <w:tab w:val="left" w:pos="3060"/>
              </w:tabs>
              <w:spacing w:line="320" w:lineRule="exact"/>
              <w:ind w:firstLine="210" w:firstLineChars="100"/>
              <w:rPr>
                <w:color w:val="auto"/>
                <w:sz w:val="21"/>
                <w:szCs w:val="21"/>
              </w:rPr>
            </w:pPr>
            <w:r>
              <w:rPr>
                <w:color w:val="auto"/>
                <w:sz w:val="21"/>
                <w:szCs w:val="21"/>
              </w:rPr>
              <w:t>（11）投标文件对招标文件的实质性要求和条件作出响应。</w:t>
            </w:r>
          </w:p>
          <w:p>
            <w:pPr>
              <w:tabs>
                <w:tab w:val="left" w:pos="3060"/>
              </w:tabs>
              <w:spacing w:line="320" w:lineRule="exact"/>
              <w:ind w:firstLine="210" w:firstLineChars="100"/>
              <w:rPr>
                <w:color w:val="auto"/>
                <w:sz w:val="21"/>
                <w:szCs w:val="21"/>
              </w:rPr>
            </w:pPr>
            <w:r>
              <w:rPr>
                <w:color w:val="auto"/>
                <w:sz w:val="21"/>
                <w:szCs w:val="21"/>
              </w:rPr>
              <w:t>（12）权利义务符合招标文件规定：</w:t>
            </w:r>
          </w:p>
          <w:p>
            <w:pPr>
              <w:tabs>
                <w:tab w:val="left" w:pos="3060"/>
              </w:tabs>
              <w:spacing w:line="320" w:lineRule="exact"/>
              <w:ind w:firstLine="210" w:firstLineChars="100"/>
              <w:rPr>
                <w:color w:val="auto"/>
                <w:sz w:val="21"/>
                <w:szCs w:val="21"/>
              </w:rPr>
            </w:pPr>
            <w:r>
              <w:rPr>
                <w:color w:val="auto"/>
                <w:sz w:val="21"/>
                <w:szCs w:val="21"/>
              </w:rPr>
              <w:t>a.投标人应接受招标文件规定的风险划分原则，未提出新的风险划分办法；</w:t>
            </w:r>
          </w:p>
          <w:p>
            <w:pPr>
              <w:tabs>
                <w:tab w:val="left" w:pos="3060"/>
              </w:tabs>
              <w:spacing w:line="320" w:lineRule="exact"/>
              <w:ind w:firstLine="210" w:firstLineChars="100"/>
              <w:rPr>
                <w:color w:val="auto"/>
                <w:sz w:val="21"/>
                <w:szCs w:val="21"/>
              </w:rPr>
            </w:pPr>
            <w:r>
              <w:rPr>
                <w:color w:val="auto"/>
                <w:sz w:val="21"/>
                <w:szCs w:val="21"/>
              </w:rPr>
              <w:t>b.投标人未增加发包人的责任范围，或减少投标人义务；</w:t>
            </w:r>
          </w:p>
          <w:p>
            <w:pPr>
              <w:tabs>
                <w:tab w:val="left" w:pos="3060"/>
              </w:tabs>
              <w:spacing w:line="320" w:lineRule="exact"/>
              <w:ind w:firstLine="210" w:firstLineChars="100"/>
              <w:rPr>
                <w:color w:val="auto"/>
                <w:sz w:val="21"/>
                <w:szCs w:val="21"/>
              </w:rPr>
            </w:pPr>
            <w:r>
              <w:rPr>
                <w:color w:val="auto"/>
                <w:sz w:val="21"/>
                <w:szCs w:val="21"/>
              </w:rPr>
              <w:t>c.投标人未提出不同的支付办法；</w:t>
            </w:r>
          </w:p>
          <w:p>
            <w:pPr>
              <w:tabs>
                <w:tab w:val="left" w:pos="3060"/>
              </w:tabs>
              <w:spacing w:line="320" w:lineRule="exact"/>
              <w:ind w:firstLine="210" w:firstLineChars="100"/>
              <w:rPr>
                <w:color w:val="auto"/>
                <w:sz w:val="21"/>
                <w:szCs w:val="21"/>
              </w:rPr>
            </w:pPr>
            <w:r>
              <w:rPr>
                <w:color w:val="auto"/>
                <w:sz w:val="21"/>
                <w:szCs w:val="21"/>
              </w:rPr>
              <w:t>d.投标人对合同纠纷、事故处理办法未提出异议；</w:t>
            </w:r>
          </w:p>
          <w:p>
            <w:pPr>
              <w:tabs>
                <w:tab w:val="left" w:pos="3060"/>
              </w:tabs>
              <w:spacing w:line="320" w:lineRule="exact"/>
              <w:ind w:firstLine="210" w:firstLineChars="100"/>
              <w:rPr>
                <w:color w:val="auto"/>
                <w:sz w:val="21"/>
                <w:szCs w:val="21"/>
              </w:rPr>
            </w:pPr>
            <w:r>
              <w:rPr>
                <w:color w:val="auto"/>
                <w:sz w:val="21"/>
                <w:szCs w:val="21"/>
              </w:rPr>
              <w:t>e.投标人在投标活动中无欺诈行为；</w:t>
            </w:r>
          </w:p>
          <w:p>
            <w:pPr>
              <w:tabs>
                <w:tab w:val="left" w:pos="3060"/>
              </w:tabs>
              <w:spacing w:line="320" w:lineRule="exact"/>
              <w:ind w:firstLine="210" w:firstLineChars="100"/>
              <w:rPr>
                <w:color w:val="auto"/>
                <w:sz w:val="21"/>
                <w:szCs w:val="21"/>
              </w:rPr>
            </w:pPr>
            <w:r>
              <w:rPr>
                <w:color w:val="auto"/>
                <w:sz w:val="21"/>
                <w:szCs w:val="21"/>
              </w:rPr>
              <w:t>f.投标人未对合同条款有重要保留。</w:t>
            </w:r>
          </w:p>
          <w:p>
            <w:pPr>
              <w:pStyle w:val="2"/>
              <w:rPr>
                <w:color w:val="auto"/>
                <w:lang w:val="en-US" w:eastAsia="zh-CN"/>
              </w:rPr>
            </w:pPr>
            <w:r>
              <w:rPr>
                <w:rFonts w:hint="eastAsia"/>
                <w:color w:val="auto"/>
                <w:sz w:val="21"/>
                <w:szCs w:val="21"/>
                <w:lang w:val="en-US" w:eastAsia="zh-CN"/>
              </w:rPr>
              <w:t xml:space="preserve">  （13）提交的投标文件内容与所投标段一致。</w:t>
            </w:r>
          </w:p>
          <w:p>
            <w:pPr>
              <w:tabs>
                <w:tab w:val="left" w:pos="3060"/>
              </w:tabs>
              <w:spacing w:line="320" w:lineRule="exact"/>
              <w:rPr>
                <w:b/>
                <w:color w:val="auto"/>
                <w:sz w:val="21"/>
                <w:szCs w:val="21"/>
              </w:rPr>
            </w:pPr>
            <w:r>
              <w:rPr>
                <w:b/>
                <w:color w:val="auto"/>
                <w:sz w:val="21"/>
                <w:szCs w:val="21"/>
              </w:rPr>
              <w:t>第二个信封（报价文件）评审标准：</w:t>
            </w:r>
          </w:p>
          <w:p>
            <w:pPr>
              <w:tabs>
                <w:tab w:val="left" w:pos="3060"/>
              </w:tabs>
              <w:spacing w:line="320" w:lineRule="exact"/>
              <w:ind w:firstLine="205" w:firstLineChars="98"/>
              <w:rPr>
                <w:bCs/>
                <w:color w:val="auto"/>
                <w:sz w:val="21"/>
                <w:szCs w:val="21"/>
              </w:rPr>
            </w:pPr>
            <w:r>
              <w:rPr>
                <w:bCs/>
                <w:color w:val="auto"/>
                <w:sz w:val="21"/>
                <w:szCs w:val="21"/>
              </w:rPr>
              <w:t>（1）投标文件按照招标文件规定的格式、内容填写，字迹清晰可辨，内容齐全完整。</w:t>
            </w:r>
          </w:p>
          <w:p>
            <w:pPr>
              <w:tabs>
                <w:tab w:val="left" w:pos="3060"/>
              </w:tabs>
              <w:spacing w:line="320" w:lineRule="exact"/>
              <w:ind w:firstLine="205" w:firstLineChars="98"/>
              <w:rPr>
                <w:bCs/>
                <w:color w:val="auto"/>
                <w:sz w:val="21"/>
                <w:szCs w:val="21"/>
              </w:rPr>
            </w:pPr>
            <w:r>
              <w:rPr>
                <w:bCs/>
                <w:color w:val="auto"/>
                <w:sz w:val="21"/>
                <w:szCs w:val="21"/>
              </w:rPr>
              <w:t>a.投标函按招标文件规定填报了补遗书编号（如有）、投标价（包括大写金额和小写金额），未对项目名称进行修改；</w:t>
            </w:r>
          </w:p>
          <w:p>
            <w:pPr>
              <w:tabs>
                <w:tab w:val="left" w:pos="3060"/>
              </w:tabs>
              <w:spacing w:line="320" w:lineRule="exact"/>
              <w:ind w:firstLine="205" w:firstLineChars="98"/>
              <w:rPr>
                <w:bCs/>
                <w:color w:val="auto"/>
                <w:sz w:val="21"/>
                <w:szCs w:val="21"/>
              </w:rPr>
            </w:pPr>
            <w:r>
              <w:rPr>
                <w:bCs/>
                <w:color w:val="auto"/>
                <w:sz w:val="21"/>
                <w:szCs w:val="21"/>
              </w:rPr>
              <w:t>b．投标文件组成齐全完整，内容均按规定填写。</w:t>
            </w:r>
          </w:p>
          <w:p>
            <w:pPr>
              <w:tabs>
                <w:tab w:val="left" w:pos="3060"/>
              </w:tabs>
              <w:spacing w:line="320" w:lineRule="exact"/>
              <w:ind w:firstLine="205" w:firstLineChars="98"/>
              <w:rPr>
                <w:bCs/>
                <w:color w:val="auto"/>
                <w:sz w:val="21"/>
                <w:szCs w:val="21"/>
              </w:rPr>
            </w:pPr>
            <w:r>
              <w:rPr>
                <w:bCs/>
                <w:color w:val="auto"/>
                <w:sz w:val="21"/>
                <w:szCs w:val="21"/>
              </w:rPr>
              <w:t>（2）投标文件上法定代表人或其授权代理人的签字、投标人的单位章盖章齐全，符合招标文件规定。</w:t>
            </w:r>
          </w:p>
          <w:p>
            <w:pPr>
              <w:tabs>
                <w:tab w:val="left" w:pos="3060"/>
              </w:tabs>
              <w:spacing w:line="320" w:lineRule="exact"/>
              <w:ind w:firstLine="205" w:firstLineChars="98"/>
              <w:rPr>
                <w:bCs/>
                <w:color w:val="auto"/>
                <w:sz w:val="21"/>
                <w:szCs w:val="21"/>
              </w:rPr>
            </w:pPr>
            <w:r>
              <w:rPr>
                <w:bCs/>
                <w:color w:val="auto"/>
                <w:sz w:val="21"/>
                <w:szCs w:val="21"/>
              </w:rPr>
              <w:t>（3）投标报价未超过招标文件设定的最高投标限价</w:t>
            </w:r>
            <w:r>
              <w:rPr>
                <w:rFonts w:hint="eastAsia"/>
                <w:bCs/>
                <w:color w:val="auto"/>
                <w:sz w:val="21"/>
                <w:szCs w:val="21"/>
              </w:rPr>
              <w:t>，效益费用未修改</w:t>
            </w:r>
            <w:r>
              <w:rPr>
                <w:bCs/>
                <w:color w:val="auto"/>
                <w:sz w:val="21"/>
                <w:szCs w:val="21"/>
              </w:rPr>
              <w:t>。</w:t>
            </w:r>
          </w:p>
          <w:p>
            <w:pPr>
              <w:tabs>
                <w:tab w:val="left" w:pos="3060"/>
              </w:tabs>
              <w:spacing w:line="320" w:lineRule="exact"/>
              <w:ind w:firstLine="205" w:firstLineChars="98"/>
              <w:rPr>
                <w:bCs/>
                <w:color w:val="auto"/>
                <w:sz w:val="21"/>
                <w:szCs w:val="21"/>
              </w:rPr>
            </w:pPr>
            <w:r>
              <w:rPr>
                <w:bCs/>
                <w:color w:val="auto"/>
                <w:sz w:val="21"/>
                <w:szCs w:val="21"/>
              </w:rPr>
              <w:t>（4）投标报价的大写金额能够确定具体数值。</w:t>
            </w:r>
          </w:p>
          <w:p>
            <w:pPr>
              <w:tabs>
                <w:tab w:val="left" w:pos="3060"/>
              </w:tabs>
              <w:spacing w:line="320" w:lineRule="exact"/>
              <w:ind w:firstLine="205" w:firstLineChars="98"/>
              <w:rPr>
                <w:color w:val="auto"/>
                <w:sz w:val="21"/>
                <w:szCs w:val="21"/>
              </w:rPr>
            </w:pPr>
            <w:r>
              <w:rPr>
                <w:bCs/>
                <w:color w:val="auto"/>
                <w:sz w:val="21"/>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noWrap w:val="0"/>
            <w:vAlign w:val="center"/>
          </w:tcPr>
          <w:p>
            <w:pPr>
              <w:jc w:val="center"/>
              <w:rPr>
                <w:color w:val="auto"/>
                <w:sz w:val="21"/>
                <w:szCs w:val="21"/>
              </w:rPr>
            </w:pPr>
            <w:r>
              <w:rPr>
                <w:color w:val="auto"/>
                <w:sz w:val="21"/>
                <w:szCs w:val="21"/>
              </w:rPr>
              <w:t>2.1.2</w:t>
            </w:r>
          </w:p>
        </w:tc>
        <w:tc>
          <w:tcPr>
            <w:tcW w:w="1254" w:type="dxa"/>
            <w:noWrap w:val="0"/>
            <w:vAlign w:val="center"/>
          </w:tcPr>
          <w:p>
            <w:pPr>
              <w:jc w:val="center"/>
              <w:rPr>
                <w:color w:val="auto"/>
                <w:sz w:val="21"/>
                <w:szCs w:val="21"/>
              </w:rPr>
            </w:pPr>
            <w:r>
              <w:rPr>
                <w:color w:val="auto"/>
                <w:sz w:val="21"/>
                <w:szCs w:val="21"/>
              </w:rPr>
              <w:t>资格评审标准</w:t>
            </w:r>
          </w:p>
        </w:tc>
        <w:tc>
          <w:tcPr>
            <w:tcW w:w="7250" w:type="dxa"/>
            <w:noWrap w:val="0"/>
            <w:vAlign w:val="top"/>
          </w:tcPr>
          <w:p>
            <w:pPr>
              <w:tabs>
                <w:tab w:val="left" w:pos="3060"/>
              </w:tabs>
              <w:spacing w:line="320" w:lineRule="exact"/>
              <w:rPr>
                <w:color w:val="auto"/>
                <w:sz w:val="21"/>
                <w:szCs w:val="21"/>
              </w:rPr>
            </w:pPr>
            <w:r>
              <w:rPr>
                <w:color w:val="auto"/>
                <w:sz w:val="21"/>
                <w:szCs w:val="21"/>
              </w:rPr>
              <w:t>（1）投标人具备有效的营业执照副本和组织机构代码证副本（按照“三证合一”或“五证合一”登记制度进行登记的，可仅提供营业执照副本）、资质证书和基本账户开户许可证（或基本存款账户信息）；</w:t>
            </w:r>
          </w:p>
          <w:p>
            <w:pPr>
              <w:tabs>
                <w:tab w:val="left" w:pos="3060"/>
              </w:tabs>
              <w:spacing w:line="320" w:lineRule="exact"/>
              <w:rPr>
                <w:color w:val="auto"/>
                <w:sz w:val="21"/>
                <w:szCs w:val="21"/>
              </w:rPr>
            </w:pPr>
            <w:r>
              <w:rPr>
                <w:color w:val="auto"/>
                <w:sz w:val="21"/>
                <w:szCs w:val="21"/>
              </w:rPr>
              <w:t>（2）投标人的资质等级符合招标文件规定；</w:t>
            </w:r>
          </w:p>
          <w:p>
            <w:pPr>
              <w:tabs>
                <w:tab w:val="left" w:pos="3060"/>
              </w:tabs>
              <w:spacing w:line="320" w:lineRule="exact"/>
              <w:rPr>
                <w:color w:val="auto"/>
                <w:sz w:val="21"/>
                <w:szCs w:val="21"/>
              </w:rPr>
            </w:pPr>
            <w:r>
              <w:rPr>
                <w:color w:val="auto"/>
                <w:sz w:val="21"/>
                <w:szCs w:val="21"/>
              </w:rPr>
              <w:t>（3）投标人的类似项目业绩符合招标文件规定；</w:t>
            </w:r>
          </w:p>
          <w:p>
            <w:pPr>
              <w:tabs>
                <w:tab w:val="left" w:pos="3060"/>
              </w:tabs>
              <w:spacing w:line="320" w:lineRule="exact"/>
              <w:rPr>
                <w:color w:val="auto"/>
                <w:sz w:val="21"/>
                <w:szCs w:val="21"/>
              </w:rPr>
            </w:pPr>
            <w:r>
              <w:rPr>
                <w:color w:val="auto"/>
                <w:sz w:val="21"/>
                <w:szCs w:val="21"/>
              </w:rPr>
              <w:t>（4）投标人的信誉符合招标文件规定；</w:t>
            </w:r>
          </w:p>
          <w:p>
            <w:pPr>
              <w:tabs>
                <w:tab w:val="left" w:pos="3060"/>
              </w:tabs>
              <w:spacing w:line="320" w:lineRule="exact"/>
              <w:rPr>
                <w:color w:val="auto"/>
                <w:sz w:val="21"/>
                <w:szCs w:val="21"/>
              </w:rPr>
            </w:pPr>
            <w:r>
              <w:rPr>
                <w:color w:val="auto"/>
                <w:sz w:val="21"/>
                <w:szCs w:val="21"/>
              </w:rPr>
              <w:t>（5）投标人的主要人员资格符合招标文件规定；</w:t>
            </w:r>
          </w:p>
          <w:p>
            <w:pPr>
              <w:tabs>
                <w:tab w:val="left" w:pos="3060"/>
              </w:tabs>
              <w:spacing w:line="320" w:lineRule="exact"/>
              <w:rPr>
                <w:color w:val="auto"/>
                <w:sz w:val="21"/>
                <w:szCs w:val="21"/>
              </w:rPr>
            </w:pPr>
            <w:r>
              <w:rPr>
                <w:color w:val="auto"/>
                <w:sz w:val="21"/>
                <w:szCs w:val="21"/>
              </w:rPr>
              <w:t>（6）投标人不存在第二章“投标人须知”第1.4.3项或第1.4.4项规定的任何一种情形。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noWrap w:val="0"/>
            <w:vAlign w:val="center"/>
          </w:tcPr>
          <w:p>
            <w:pPr>
              <w:jc w:val="center"/>
              <w:rPr>
                <w:color w:val="auto"/>
                <w:sz w:val="21"/>
                <w:szCs w:val="21"/>
              </w:rPr>
            </w:pPr>
            <w:r>
              <w:rPr>
                <w:color w:val="auto"/>
                <w:sz w:val="21"/>
                <w:szCs w:val="21"/>
              </w:rPr>
              <w:t>2.2.1</w:t>
            </w:r>
          </w:p>
        </w:tc>
        <w:tc>
          <w:tcPr>
            <w:tcW w:w="1254" w:type="dxa"/>
            <w:noWrap w:val="0"/>
            <w:vAlign w:val="center"/>
          </w:tcPr>
          <w:p>
            <w:pPr>
              <w:jc w:val="center"/>
              <w:rPr>
                <w:color w:val="auto"/>
                <w:sz w:val="21"/>
                <w:szCs w:val="21"/>
              </w:rPr>
            </w:pPr>
            <w:r>
              <w:rPr>
                <w:color w:val="auto"/>
                <w:sz w:val="21"/>
                <w:szCs w:val="21"/>
              </w:rPr>
              <w:t>分值</w:t>
            </w:r>
          </w:p>
          <w:p>
            <w:pPr>
              <w:jc w:val="center"/>
              <w:rPr>
                <w:color w:val="auto"/>
                <w:sz w:val="21"/>
                <w:szCs w:val="21"/>
              </w:rPr>
            </w:pPr>
            <w:r>
              <w:rPr>
                <w:color w:val="auto"/>
                <w:sz w:val="21"/>
                <w:szCs w:val="21"/>
              </w:rPr>
              <w:t>构成</w:t>
            </w:r>
          </w:p>
        </w:tc>
        <w:tc>
          <w:tcPr>
            <w:tcW w:w="7250" w:type="dxa"/>
            <w:noWrap w:val="0"/>
            <w:vAlign w:val="center"/>
          </w:tcPr>
          <w:p>
            <w:pPr>
              <w:autoSpaceDE w:val="0"/>
              <w:autoSpaceDN w:val="0"/>
              <w:adjustRightInd w:val="0"/>
              <w:ind w:left="107"/>
              <w:jc w:val="left"/>
              <w:rPr>
                <w:b/>
                <w:color w:val="auto"/>
                <w:kern w:val="0"/>
                <w:sz w:val="21"/>
                <w:szCs w:val="21"/>
              </w:rPr>
            </w:pPr>
            <w:r>
              <w:rPr>
                <w:b/>
                <w:color w:val="auto"/>
                <w:kern w:val="0"/>
                <w:sz w:val="21"/>
                <w:szCs w:val="21"/>
              </w:rPr>
              <w:t>第一信封（商务及技术文件）评分分值构成：</w:t>
            </w:r>
          </w:p>
          <w:p>
            <w:pPr>
              <w:autoSpaceDE w:val="0"/>
              <w:autoSpaceDN w:val="0"/>
              <w:adjustRightInd w:val="0"/>
              <w:ind w:left="107"/>
              <w:jc w:val="left"/>
              <w:rPr>
                <w:color w:val="auto"/>
                <w:kern w:val="0"/>
                <w:sz w:val="21"/>
                <w:szCs w:val="21"/>
              </w:rPr>
            </w:pPr>
            <w:r>
              <w:rPr>
                <w:color w:val="auto"/>
                <w:kern w:val="0"/>
                <w:sz w:val="21"/>
                <w:szCs w:val="21"/>
              </w:rPr>
              <w:t>审计实施方案：</w:t>
            </w:r>
            <w:r>
              <w:rPr>
                <w:rFonts w:hint="eastAsia"/>
                <w:color w:val="auto"/>
                <w:kern w:val="0"/>
                <w:sz w:val="21"/>
                <w:szCs w:val="21"/>
              </w:rPr>
              <w:t>30</w:t>
            </w:r>
            <w:r>
              <w:rPr>
                <w:color w:val="auto"/>
                <w:kern w:val="0"/>
                <w:sz w:val="21"/>
                <w:szCs w:val="21"/>
              </w:rPr>
              <w:t>分</w:t>
            </w:r>
            <w:r>
              <w:rPr>
                <w:rFonts w:hint="eastAsia"/>
                <w:color w:val="auto"/>
                <w:kern w:val="0"/>
                <w:sz w:val="21"/>
                <w:szCs w:val="21"/>
              </w:rPr>
              <w:t xml:space="preserve">  </w:t>
            </w:r>
          </w:p>
          <w:p>
            <w:pPr>
              <w:autoSpaceDE w:val="0"/>
              <w:autoSpaceDN w:val="0"/>
              <w:adjustRightInd w:val="0"/>
              <w:ind w:left="107"/>
              <w:jc w:val="left"/>
              <w:rPr>
                <w:color w:val="auto"/>
                <w:kern w:val="0"/>
                <w:sz w:val="21"/>
                <w:szCs w:val="21"/>
              </w:rPr>
            </w:pPr>
            <w:r>
              <w:rPr>
                <w:color w:val="auto"/>
                <w:kern w:val="0"/>
                <w:sz w:val="21"/>
                <w:szCs w:val="21"/>
              </w:rPr>
              <w:t>主要人员：    20分</w:t>
            </w:r>
            <w:r>
              <w:rPr>
                <w:rFonts w:hint="eastAsia"/>
                <w:color w:val="auto"/>
                <w:kern w:val="0"/>
                <w:sz w:val="21"/>
                <w:szCs w:val="21"/>
              </w:rPr>
              <w:t xml:space="preserve"> </w:t>
            </w:r>
          </w:p>
          <w:p>
            <w:pPr>
              <w:autoSpaceDE w:val="0"/>
              <w:autoSpaceDN w:val="0"/>
              <w:adjustRightInd w:val="0"/>
              <w:ind w:left="107"/>
              <w:jc w:val="left"/>
              <w:rPr>
                <w:color w:val="auto"/>
                <w:kern w:val="0"/>
                <w:sz w:val="21"/>
                <w:szCs w:val="21"/>
              </w:rPr>
            </w:pPr>
            <w:r>
              <w:rPr>
                <w:color w:val="auto"/>
                <w:kern w:val="0"/>
                <w:sz w:val="21"/>
                <w:szCs w:val="21"/>
              </w:rPr>
              <w:t>业    绩：    2</w:t>
            </w:r>
            <w:r>
              <w:rPr>
                <w:rFonts w:hint="eastAsia"/>
                <w:color w:val="auto"/>
                <w:kern w:val="0"/>
                <w:sz w:val="21"/>
                <w:szCs w:val="21"/>
              </w:rPr>
              <w:t>0</w:t>
            </w:r>
            <w:r>
              <w:rPr>
                <w:color w:val="auto"/>
                <w:kern w:val="0"/>
                <w:sz w:val="21"/>
                <w:szCs w:val="21"/>
              </w:rPr>
              <w:t>分</w:t>
            </w:r>
            <w:r>
              <w:rPr>
                <w:rFonts w:hint="eastAsia"/>
                <w:color w:val="auto"/>
                <w:kern w:val="0"/>
                <w:sz w:val="21"/>
                <w:szCs w:val="21"/>
              </w:rPr>
              <w:t xml:space="preserve"> </w:t>
            </w:r>
          </w:p>
          <w:p>
            <w:pPr>
              <w:autoSpaceDE w:val="0"/>
              <w:autoSpaceDN w:val="0"/>
              <w:adjustRightInd w:val="0"/>
              <w:ind w:left="107"/>
              <w:jc w:val="left"/>
              <w:rPr>
                <w:b/>
                <w:color w:val="auto"/>
                <w:kern w:val="0"/>
                <w:sz w:val="21"/>
                <w:szCs w:val="21"/>
              </w:rPr>
            </w:pPr>
            <w:r>
              <w:rPr>
                <w:b/>
                <w:color w:val="auto"/>
                <w:kern w:val="0"/>
                <w:sz w:val="21"/>
                <w:szCs w:val="21"/>
              </w:rPr>
              <w:t>第二信封（报价文件）评分分值构成：</w:t>
            </w:r>
          </w:p>
          <w:p>
            <w:pPr>
              <w:autoSpaceDE w:val="0"/>
              <w:autoSpaceDN w:val="0"/>
              <w:adjustRightInd w:val="0"/>
              <w:ind w:left="107"/>
              <w:jc w:val="left"/>
              <w:rPr>
                <w:color w:val="auto"/>
                <w:sz w:val="21"/>
                <w:szCs w:val="21"/>
              </w:rPr>
            </w:pPr>
            <w:r>
              <w:rPr>
                <w:color w:val="auto"/>
                <w:sz w:val="21"/>
                <w:szCs w:val="21"/>
              </w:rPr>
              <w:t xml:space="preserve">评 标 价：    </w:t>
            </w:r>
            <w:r>
              <w:rPr>
                <w:rFonts w:hint="eastAsia"/>
                <w:color w:val="auto"/>
                <w:sz w:val="21"/>
                <w:szCs w:val="21"/>
              </w:rPr>
              <w:t>30</w:t>
            </w:r>
            <w:r>
              <w:rPr>
                <w:color w:val="auto"/>
                <w:sz w:val="21"/>
                <w:szCs w:val="21"/>
              </w:rPr>
              <w:t>分</w:t>
            </w:r>
            <w:r>
              <w:rPr>
                <w:rFonts w:hint="eastAsia"/>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39" w:type="dxa"/>
            <w:noWrap w:val="0"/>
            <w:vAlign w:val="center"/>
          </w:tcPr>
          <w:p>
            <w:pPr>
              <w:ind w:right="113"/>
              <w:jc w:val="center"/>
              <w:rPr>
                <w:color w:val="auto"/>
                <w:sz w:val="21"/>
                <w:szCs w:val="21"/>
              </w:rPr>
            </w:pPr>
            <w:r>
              <w:rPr>
                <w:color w:val="auto"/>
                <w:sz w:val="21"/>
                <w:szCs w:val="21"/>
              </w:rPr>
              <w:t>2.2.2</w:t>
            </w:r>
          </w:p>
        </w:tc>
        <w:tc>
          <w:tcPr>
            <w:tcW w:w="1254" w:type="dxa"/>
            <w:noWrap w:val="0"/>
            <w:vAlign w:val="center"/>
          </w:tcPr>
          <w:p>
            <w:pPr>
              <w:ind w:left="2"/>
              <w:jc w:val="center"/>
              <w:rPr>
                <w:color w:val="auto"/>
                <w:sz w:val="21"/>
                <w:szCs w:val="21"/>
              </w:rPr>
            </w:pPr>
            <w:r>
              <w:rPr>
                <w:color w:val="auto"/>
                <w:sz w:val="21"/>
                <w:szCs w:val="21"/>
              </w:rPr>
              <w:t>评标基准价计算方法</w:t>
            </w:r>
          </w:p>
        </w:tc>
        <w:tc>
          <w:tcPr>
            <w:tcW w:w="7250" w:type="dxa"/>
            <w:noWrap w:val="0"/>
            <w:vAlign w:val="center"/>
          </w:tcPr>
          <w:p>
            <w:pPr>
              <w:spacing w:line="340" w:lineRule="exact"/>
              <w:ind w:right="113"/>
              <w:rPr>
                <w:color w:val="auto"/>
                <w:sz w:val="21"/>
                <w:szCs w:val="21"/>
              </w:rPr>
            </w:pPr>
            <w:r>
              <w:rPr>
                <w:color w:val="auto"/>
                <w:sz w:val="21"/>
                <w:szCs w:val="21"/>
              </w:rPr>
              <w:t>评标基准价的计算：</w:t>
            </w:r>
          </w:p>
          <w:p>
            <w:pPr>
              <w:spacing w:line="340" w:lineRule="exact"/>
              <w:ind w:left="113" w:right="113" w:firstLine="210" w:firstLineChars="100"/>
              <w:rPr>
                <w:color w:val="auto"/>
                <w:sz w:val="21"/>
                <w:szCs w:val="21"/>
              </w:rPr>
            </w:pPr>
            <w:r>
              <w:rPr>
                <w:color w:val="auto"/>
                <w:sz w:val="21"/>
                <w:szCs w:val="21"/>
              </w:rPr>
              <w:t>（1）评标价的确定：</w:t>
            </w:r>
          </w:p>
          <w:p>
            <w:pPr>
              <w:spacing w:line="340" w:lineRule="exact"/>
              <w:ind w:left="113" w:right="113" w:firstLine="210" w:firstLineChars="100"/>
              <w:rPr>
                <w:color w:val="auto"/>
                <w:sz w:val="21"/>
                <w:szCs w:val="21"/>
              </w:rPr>
            </w:pPr>
            <w:r>
              <w:rPr>
                <w:color w:val="auto"/>
                <w:sz w:val="21"/>
                <w:szCs w:val="21"/>
              </w:rPr>
              <w:t>评标价=投标函文字报价</w:t>
            </w:r>
          </w:p>
          <w:p>
            <w:pPr>
              <w:spacing w:line="340" w:lineRule="exact"/>
              <w:ind w:left="113" w:right="113" w:firstLine="210" w:firstLineChars="100"/>
              <w:rPr>
                <w:color w:val="auto"/>
                <w:sz w:val="21"/>
                <w:szCs w:val="21"/>
              </w:rPr>
            </w:pPr>
            <w:r>
              <w:rPr>
                <w:color w:val="auto"/>
                <w:sz w:val="21"/>
                <w:szCs w:val="21"/>
              </w:rPr>
              <w:t>（2）评标基准价的确定：</w:t>
            </w:r>
          </w:p>
          <w:p>
            <w:pPr>
              <w:spacing w:line="340" w:lineRule="exact"/>
              <w:ind w:left="113" w:right="113" w:firstLine="210" w:firstLineChars="100"/>
              <w:rPr>
                <w:color w:val="auto"/>
                <w:sz w:val="21"/>
                <w:szCs w:val="21"/>
              </w:rPr>
            </w:pPr>
            <w:r>
              <w:rPr>
                <w:color w:val="auto"/>
                <w:sz w:val="21"/>
                <w:szCs w:val="21"/>
              </w:rPr>
              <w:t>除按第二章“投标人须知”第5.2.4项规定开标现场被宣布为不进入评标基准价计算的投标报价之外，将评标价去掉n1个最高评标价和n2个最低评标价后的平均值直接作为评标基准价。</w:t>
            </w:r>
          </w:p>
          <w:p>
            <w:pPr>
              <w:spacing w:line="340" w:lineRule="exact"/>
              <w:ind w:right="113" w:firstLine="426" w:firstLineChars="203"/>
              <w:rPr>
                <w:color w:val="auto"/>
                <w:sz w:val="21"/>
                <w:szCs w:val="21"/>
              </w:rPr>
            </w:pPr>
            <w:r>
              <w:rPr>
                <w:color w:val="auto"/>
                <w:sz w:val="21"/>
                <w:szCs w:val="21"/>
              </w:rPr>
              <w:t>注：如果参与评标价平均值计算的投标人数量≥6家时，计算评标价平均值时去掉最高值和最低值（n1=1，n2=1）。</w:t>
            </w:r>
          </w:p>
          <w:p>
            <w:pPr>
              <w:spacing w:line="340" w:lineRule="exact"/>
              <w:ind w:right="113" w:firstLine="426" w:firstLineChars="203"/>
              <w:rPr>
                <w:color w:val="auto"/>
                <w:sz w:val="21"/>
                <w:szCs w:val="21"/>
              </w:rPr>
            </w:pPr>
            <w:r>
              <w:rPr>
                <w:color w:val="auto"/>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spacing w:line="340" w:lineRule="exact"/>
              <w:ind w:right="113" w:firstLine="426" w:firstLineChars="203"/>
              <w:rPr>
                <w:color w:val="auto"/>
              </w:rPr>
            </w:pPr>
            <w:r>
              <w:rPr>
                <w:color w:val="auto"/>
                <w:sz w:val="21"/>
                <w:szCs w:val="21"/>
              </w:rPr>
              <w:t>评标基准价保留两位小数。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39" w:type="dxa"/>
            <w:noWrap w:val="0"/>
            <w:vAlign w:val="center"/>
          </w:tcPr>
          <w:p>
            <w:pPr>
              <w:ind w:right="113"/>
              <w:jc w:val="center"/>
              <w:rPr>
                <w:color w:val="auto"/>
                <w:sz w:val="21"/>
                <w:szCs w:val="21"/>
              </w:rPr>
            </w:pPr>
            <w:r>
              <w:rPr>
                <w:color w:val="auto"/>
                <w:sz w:val="21"/>
                <w:szCs w:val="21"/>
              </w:rPr>
              <w:t>2.2.3</w:t>
            </w:r>
          </w:p>
        </w:tc>
        <w:tc>
          <w:tcPr>
            <w:tcW w:w="1254" w:type="dxa"/>
            <w:noWrap w:val="0"/>
            <w:vAlign w:val="center"/>
          </w:tcPr>
          <w:p>
            <w:pPr>
              <w:ind w:left="-42" w:leftChars="-15" w:right="-77"/>
              <w:rPr>
                <w:color w:val="auto"/>
                <w:sz w:val="21"/>
                <w:szCs w:val="21"/>
              </w:rPr>
            </w:pPr>
            <w:r>
              <w:rPr>
                <w:color w:val="auto"/>
                <w:sz w:val="21"/>
                <w:szCs w:val="21"/>
              </w:rPr>
              <w:t>评标价的偏差率计算公式</w:t>
            </w:r>
          </w:p>
        </w:tc>
        <w:tc>
          <w:tcPr>
            <w:tcW w:w="7250" w:type="dxa"/>
            <w:noWrap w:val="0"/>
            <w:vAlign w:val="center"/>
          </w:tcPr>
          <w:p>
            <w:pPr>
              <w:spacing w:line="340" w:lineRule="exact"/>
              <w:ind w:right="113" w:firstLine="426" w:firstLineChars="203"/>
              <w:rPr>
                <w:color w:val="auto"/>
                <w:sz w:val="21"/>
                <w:szCs w:val="21"/>
              </w:rPr>
            </w:pPr>
            <w:r>
              <w:rPr>
                <w:color w:val="auto"/>
                <w:sz w:val="21"/>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39" w:type="dxa"/>
            <w:noWrap w:val="0"/>
            <w:vAlign w:val="center"/>
          </w:tcPr>
          <w:p>
            <w:pPr>
              <w:ind w:right="113"/>
              <w:jc w:val="center"/>
              <w:rPr>
                <w:color w:val="auto"/>
                <w:sz w:val="21"/>
                <w:szCs w:val="21"/>
              </w:rPr>
            </w:pPr>
            <w:r>
              <w:rPr>
                <w:color w:val="auto"/>
                <w:sz w:val="21"/>
                <w:szCs w:val="21"/>
              </w:rPr>
              <w:t>3.6.1</w:t>
            </w:r>
          </w:p>
        </w:tc>
        <w:tc>
          <w:tcPr>
            <w:tcW w:w="1254" w:type="dxa"/>
            <w:noWrap w:val="0"/>
            <w:vAlign w:val="center"/>
          </w:tcPr>
          <w:p>
            <w:pPr>
              <w:ind w:left="-42" w:leftChars="-15" w:right="-77"/>
              <w:rPr>
                <w:color w:val="auto"/>
                <w:sz w:val="21"/>
                <w:szCs w:val="21"/>
              </w:rPr>
            </w:pPr>
            <w:r>
              <w:rPr>
                <w:color w:val="auto"/>
                <w:sz w:val="21"/>
                <w:szCs w:val="21"/>
              </w:rPr>
              <w:t>投标文件相关信息核查</w:t>
            </w:r>
          </w:p>
        </w:tc>
        <w:tc>
          <w:tcPr>
            <w:tcW w:w="7250" w:type="dxa"/>
            <w:noWrap w:val="0"/>
            <w:vAlign w:val="center"/>
          </w:tcPr>
          <w:p>
            <w:pPr>
              <w:adjustRightInd w:val="0"/>
              <w:snapToGrid w:val="0"/>
              <w:spacing w:line="300" w:lineRule="exact"/>
              <w:rPr>
                <w:color w:val="auto"/>
                <w:sz w:val="21"/>
                <w:szCs w:val="21"/>
              </w:rPr>
            </w:pPr>
            <w:r>
              <w:rPr>
                <w:color w:val="auto"/>
                <w:sz w:val="21"/>
                <w:szCs w:val="21"/>
              </w:rPr>
              <w:t>本款修改为：</w:t>
            </w:r>
          </w:p>
          <w:p>
            <w:pPr>
              <w:ind w:firstLine="420" w:firstLineChars="200"/>
              <w:rPr>
                <w:color w:val="auto"/>
                <w:sz w:val="21"/>
                <w:szCs w:val="21"/>
              </w:rPr>
            </w:pPr>
            <w:r>
              <w:rPr>
                <w:color w:val="auto"/>
                <w:sz w:val="21"/>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p>
            <w:pPr>
              <w:ind w:firstLine="420" w:firstLineChars="200"/>
              <w:rPr>
                <w:color w:val="auto"/>
                <w:sz w:val="21"/>
                <w:szCs w:val="21"/>
              </w:rPr>
            </w:pPr>
            <w:r>
              <w:rPr>
                <w:color w:val="auto"/>
                <w:sz w:val="21"/>
                <w:szCs w:val="21"/>
              </w:rPr>
              <w:t>评标委员会评标时应对投标人的信用情况在“国家企业信用信息公示系统”和“信用中国”网站对投标人的信用情况进行查询，若投标人存在“国家企业信用信息公示系统”被列入严重违法失信企业名单（不含分公司）或在“信用中国”网站“被列入失信被执行人名单、经营异常名录、税收违法黑名单（或重大税收违法失信主体）、政府采购严重违法失信行为记录名单”情形的（均不含分公司），评标委员会应否决其投标。</w:t>
            </w:r>
          </w:p>
          <w:p>
            <w:pPr>
              <w:ind w:firstLine="420" w:firstLineChars="200"/>
              <w:rPr>
                <w:color w:val="auto"/>
                <w:sz w:val="21"/>
                <w:szCs w:val="21"/>
              </w:rPr>
            </w:pPr>
            <w:r>
              <w:rPr>
                <w:color w:val="auto"/>
                <w:sz w:val="21"/>
                <w:szCs w:val="21"/>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pStyle w:val="2"/>
              <w:ind w:firstLine="420" w:firstLineChars="200"/>
              <w:rPr>
                <w:color w:val="auto"/>
                <w:sz w:val="21"/>
                <w:szCs w:val="21"/>
                <w:lang w:val="en-US" w:eastAsia="zh-CN"/>
              </w:rPr>
            </w:pPr>
            <w:r>
              <w:rPr>
                <w:color w:val="auto"/>
                <w:sz w:val="21"/>
                <w:szCs w:val="21"/>
                <w:lang w:val="en-US" w:eastAsia="zh-CN"/>
              </w:rPr>
              <w:t>如投标人未提供招标文件要求的相关截图或与评标委员会查询结果不符的，评标委员会应否决其投标。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39" w:type="dxa"/>
            <w:noWrap w:val="0"/>
            <w:vAlign w:val="center"/>
          </w:tcPr>
          <w:p>
            <w:pPr>
              <w:ind w:right="113"/>
              <w:jc w:val="center"/>
              <w:rPr>
                <w:color w:val="auto"/>
                <w:sz w:val="21"/>
                <w:szCs w:val="21"/>
              </w:rPr>
            </w:pPr>
            <w:r>
              <w:rPr>
                <w:color w:val="auto"/>
                <w:sz w:val="21"/>
                <w:szCs w:val="21"/>
              </w:rPr>
              <w:t>3.9.3</w:t>
            </w:r>
          </w:p>
        </w:tc>
        <w:tc>
          <w:tcPr>
            <w:tcW w:w="1254" w:type="dxa"/>
            <w:noWrap w:val="0"/>
            <w:vAlign w:val="center"/>
          </w:tcPr>
          <w:p>
            <w:pPr>
              <w:ind w:left="-42" w:leftChars="-15" w:right="-77"/>
              <w:jc w:val="center"/>
              <w:rPr>
                <w:color w:val="auto"/>
                <w:sz w:val="21"/>
                <w:szCs w:val="21"/>
              </w:rPr>
            </w:pPr>
            <w:r>
              <w:rPr>
                <w:color w:val="auto"/>
                <w:sz w:val="21"/>
                <w:szCs w:val="21"/>
              </w:rPr>
              <w:t>评标</w:t>
            </w:r>
          </w:p>
          <w:p>
            <w:pPr>
              <w:ind w:left="-42" w:leftChars="-15" w:right="-77"/>
              <w:jc w:val="center"/>
              <w:rPr>
                <w:color w:val="auto"/>
                <w:sz w:val="21"/>
                <w:szCs w:val="21"/>
              </w:rPr>
            </w:pPr>
            <w:r>
              <w:rPr>
                <w:color w:val="auto"/>
                <w:sz w:val="21"/>
                <w:szCs w:val="21"/>
              </w:rPr>
              <w:t>结果</w:t>
            </w:r>
          </w:p>
        </w:tc>
        <w:tc>
          <w:tcPr>
            <w:tcW w:w="7250" w:type="dxa"/>
            <w:noWrap w:val="0"/>
            <w:vAlign w:val="center"/>
          </w:tcPr>
          <w:p>
            <w:pPr>
              <w:spacing w:line="340" w:lineRule="exact"/>
              <w:ind w:right="113" w:firstLine="426" w:firstLineChars="203"/>
              <w:rPr>
                <w:color w:val="auto"/>
                <w:sz w:val="21"/>
                <w:szCs w:val="21"/>
              </w:rPr>
            </w:pPr>
            <w:r>
              <w:rPr>
                <w:color w:val="auto"/>
                <w:sz w:val="21"/>
                <w:szCs w:val="21"/>
              </w:rPr>
              <w:t>本款补充：</w:t>
            </w:r>
          </w:p>
          <w:p>
            <w:pPr>
              <w:spacing w:line="340" w:lineRule="exact"/>
              <w:ind w:right="113" w:firstLine="426" w:firstLineChars="203"/>
              <w:rPr>
                <w:color w:val="auto"/>
                <w:sz w:val="21"/>
                <w:szCs w:val="21"/>
              </w:rPr>
            </w:pPr>
            <w:r>
              <w:rPr>
                <w:color w:val="auto"/>
                <w:sz w:val="21"/>
                <w:szCs w:val="21"/>
              </w:rPr>
              <w:t>通过第一信封商务文件和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按照评标办法前附表“1.评标办法”的规定推荐中标候选人。</w:t>
            </w:r>
          </w:p>
        </w:tc>
      </w:tr>
    </w:tbl>
    <w:p>
      <w:pPr>
        <w:jc w:val="right"/>
        <w:rPr>
          <w:color w:val="auto"/>
          <w:szCs w:val="21"/>
        </w:rPr>
      </w:pPr>
      <w:r>
        <w:rPr>
          <w:color w:val="auto"/>
          <w:sz w:val="24"/>
        </w:rPr>
        <w:br w:type="page"/>
      </w:r>
      <w:r>
        <w:rPr>
          <w:color w:val="auto"/>
          <w:sz w:val="24"/>
        </w:rPr>
        <w:t>续上表</w:t>
      </w:r>
    </w:p>
    <w:tbl>
      <w:tblPr>
        <w:tblStyle w:val="7"/>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评分因素与权重分值</w:t>
            </w:r>
          </w:p>
        </w:tc>
        <w:tc>
          <w:tcPr>
            <w:tcW w:w="5845" w:type="dxa"/>
            <w:vMerge w:val="restart"/>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pPr>
              <w:pStyle w:val="5"/>
              <w:spacing w:line="160" w:lineRule="atLeast"/>
              <w:ind w:left="-53" w:leftChars="-19" w:right="-42" w:rightChars="-15" w:firstLine="1"/>
              <w:jc w:val="center"/>
              <w:rPr>
                <w:rFonts w:ascii="Times New Roman" w:hAnsi="Times New Roman"/>
                <w:color w:val="auto"/>
                <w:szCs w:val="21"/>
                <w:lang w:val="en-US" w:eastAsia="zh-CN"/>
              </w:rPr>
            </w:pPr>
            <w:r>
              <w:rPr>
                <w:rFonts w:ascii="Times New Roman" w:hAnsi="Times New Roman"/>
                <w:color w:val="auto"/>
                <w:szCs w:val="21"/>
                <w:lang w:val="en-US" w:eastAsia="zh-CN"/>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5"/>
              <w:spacing w:line="160" w:lineRule="atLeast"/>
              <w:jc w:val="center"/>
              <w:rPr>
                <w:rFonts w:ascii="Times New Roman" w:hAnsi="Times New Roman"/>
                <w:color w:val="auto"/>
                <w:szCs w:val="21"/>
                <w:lang w:val="en-US" w:eastAsia="zh-CN"/>
              </w:rPr>
            </w:pPr>
            <w:r>
              <w:rPr>
                <w:rStyle w:val="23"/>
                <w:rFonts w:ascii="Times New Roman" w:hAnsi="Times New Roman" w:cs="Times New Roman"/>
                <w:color w:val="auto"/>
              </w:rPr>
              <w:t>各评分因素细分项</w:t>
            </w:r>
          </w:p>
        </w:tc>
        <w:tc>
          <w:tcPr>
            <w:tcW w:w="567" w:type="dxa"/>
            <w:tcBorders>
              <w:left w:val="single" w:color="auto" w:sz="4" w:space="0"/>
            </w:tcBorders>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分值</w:t>
            </w:r>
          </w:p>
        </w:tc>
        <w:tc>
          <w:tcPr>
            <w:tcW w:w="5845" w:type="dxa"/>
            <w:vMerge w:val="continue"/>
            <w:noWrap w:val="0"/>
            <w:vAlign w:val="center"/>
          </w:tcPr>
          <w:p>
            <w:pPr>
              <w:pStyle w:val="5"/>
              <w:spacing w:line="160" w:lineRule="atLeast"/>
              <w:jc w:val="center"/>
              <w:rPr>
                <w:rFonts w:ascii="Times New Roman" w:hAnsi="Times New Roman"/>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restart"/>
            <w:tcBorders>
              <w:top w:val="single" w:color="auto" w:sz="4" w:space="0"/>
            </w:tcBorders>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2.2.4（1）</w:t>
            </w:r>
          </w:p>
        </w:tc>
        <w:tc>
          <w:tcPr>
            <w:tcW w:w="741" w:type="dxa"/>
            <w:vMerge w:val="restart"/>
            <w:tcBorders>
              <w:top w:val="single" w:color="auto" w:sz="4" w:space="0"/>
            </w:tcBorders>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审计实施方案</w:t>
            </w:r>
          </w:p>
        </w:tc>
        <w:tc>
          <w:tcPr>
            <w:tcW w:w="624" w:type="dxa"/>
            <w:vMerge w:val="restart"/>
            <w:tcBorders>
              <w:top w:val="single" w:color="auto" w:sz="4" w:space="0"/>
            </w:tcBorders>
            <w:noWrap w:val="0"/>
            <w:vAlign w:val="center"/>
          </w:tcPr>
          <w:p>
            <w:pPr>
              <w:pStyle w:val="5"/>
              <w:spacing w:line="160" w:lineRule="atLeast"/>
              <w:jc w:val="center"/>
              <w:rPr>
                <w:rFonts w:ascii="Times New Roman" w:hAnsi="Times New Roman"/>
                <w:color w:val="auto"/>
                <w:szCs w:val="21"/>
                <w:lang w:val="en-US" w:eastAsia="zh-CN"/>
              </w:rPr>
            </w:pPr>
            <w:r>
              <w:rPr>
                <w:rFonts w:hint="eastAsia" w:ascii="Times New Roman" w:hAnsi="Times New Roman"/>
                <w:color w:val="auto"/>
                <w:szCs w:val="21"/>
                <w:lang w:val="en-US" w:eastAsia="zh-CN"/>
              </w:rPr>
              <w:t>30</w:t>
            </w:r>
            <w:r>
              <w:rPr>
                <w:rFonts w:ascii="Times New Roman" w:hAnsi="Times New Roman"/>
                <w:color w:val="auto"/>
                <w:szCs w:val="21"/>
                <w:lang w:val="en-US" w:eastAsia="zh-CN"/>
              </w:rPr>
              <w:t>分</w:t>
            </w:r>
          </w:p>
        </w:tc>
        <w:tc>
          <w:tcPr>
            <w:tcW w:w="1134" w:type="dxa"/>
            <w:vMerge w:val="restart"/>
            <w:tcBorders>
              <w:top w:val="single" w:color="auto" w:sz="4" w:space="0"/>
            </w:tcBorders>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审计范围、内容、步骤和程序</w:t>
            </w:r>
          </w:p>
        </w:tc>
        <w:tc>
          <w:tcPr>
            <w:tcW w:w="567" w:type="dxa"/>
            <w:vMerge w:val="restart"/>
            <w:noWrap w:val="0"/>
            <w:vAlign w:val="center"/>
          </w:tcPr>
          <w:p>
            <w:pPr>
              <w:pStyle w:val="5"/>
              <w:spacing w:line="160" w:lineRule="atLeast"/>
              <w:ind w:leftChars="-48" w:right="-42" w:rightChars="-15" w:hanging="134" w:hangingChars="64"/>
              <w:jc w:val="center"/>
              <w:rPr>
                <w:rFonts w:ascii="Times New Roman" w:hAnsi="Times New Roman"/>
                <w:color w:val="auto"/>
                <w:szCs w:val="21"/>
                <w:lang w:val="en-US" w:eastAsia="zh-CN"/>
              </w:rPr>
            </w:pPr>
            <w:r>
              <w:rPr>
                <w:rFonts w:ascii="Times New Roman" w:hAnsi="Times New Roman"/>
                <w:color w:val="auto"/>
                <w:szCs w:val="21"/>
                <w:lang w:val="en-US" w:eastAsia="zh-CN"/>
              </w:rPr>
              <w:t>1</w:t>
            </w:r>
            <w:r>
              <w:rPr>
                <w:rFonts w:hint="eastAsia" w:ascii="Times New Roman" w:hAnsi="Times New Roman"/>
                <w:color w:val="auto"/>
                <w:szCs w:val="21"/>
                <w:lang w:val="en-US" w:eastAsia="zh-CN"/>
              </w:rPr>
              <w:t>0</w:t>
            </w:r>
          </w:p>
          <w:p>
            <w:pPr>
              <w:pStyle w:val="5"/>
              <w:spacing w:line="160" w:lineRule="atLeast"/>
              <w:ind w:leftChars="-48" w:right="-42" w:rightChars="-15" w:hanging="134" w:hangingChars="64"/>
              <w:jc w:val="center"/>
              <w:rPr>
                <w:rFonts w:ascii="Times New Roman" w:hAnsi="Times New Roman"/>
                <w:color w:val="auto"/>
                <w:szCs w:val="21"/>
                <w:lang w:val="en-US" w:eastAsia="zh-CN"/>
              </w:rPr>
            </w:pPr>
            <w:r>
              <w:rPr>
                <w:rFonts w:ascii="Times New Roman" w:hAnsi="Times New Roman"/>
                <w:color w:val="auto"/>
                <w:szCs w:val="21"/>
                <w:lang w:val="en-US" w:eastAsia="zh-CN"/>
              </w:rPr>
              <w:t>分</w:t>
            </w:r>
          </w:p>
        </w:tc>
        <w:tc>
          <w:tcPr>
            <w:tcW w:w="5845" w:type="dxa"/>
            <w:noWrap w:val="0"/>
            <w:vAlign w:val="center"/>
          </w:tcPr>
          <w:p>
            <w:pPr>
              <w:pStyle w:val="5"/>
              <w:jc w:val="left"/>
              <w:rPr>
                <w:rFonts w:ascii="Times New Roman" w:hAnsi="Times New Roman"/>
                <w:color w:val="auto"/>
                <w:szCs w:val="21"/>
                <w:lang w:val="en-US" w:eastAsia="zh-CN"/>
              </w:rPr>
            </w:pPr>
            <w:r>
              <w:rPr>
                <w:rFonts w:ascii="Times New Roman" w:hAnsi="Times New Roman"/>
                <w:color w:val="auto"/>
                <w:szCs w:val="21"/>
                <w:lang w:val="en-US" w:eastAsia="zh-CN"/>
              </w:rPr>
              <w:t>描述</w:t>
            </w:r>
            <w:r>
              <w:rPr>
                <w:rFonts w:hint="eastAsia" w:ascii="Times New Roman" w:hAnsi="Times New Roman"/>
                <w:color w:val="auto"/>
                <w:szCs w:val="21"/>
                <w:lang w:val="en-US" w:eastAsia="zh-CN"/>
              </w:rPr>
              <w:t>一般</w:t>
            </w:r>
            <w:r>
              <w:rPr>
                <w:rFonts w:ascii="Times New Roman" w:hAnsi="Times New Roman"/>
                <w:color w:val="auto"/>
                <w:szCs w:val="21"/>
                <w:lang w:val="en-US" w:eastAsia="zh-CN"/>
              </w:rPr>
              <w:t>，步骤、程序、可行性一般，得</w:t>
            </w:r>
            <w:r>
              <w:rPr>
                <w:rFonts w:hint="eastAsia" w:ascii="Times New Roman" w:hAnsi="Times New Roman"/>
                <w:color w:val="auto"/>
                <w:szCs w:val="21"/>
                <w:lang w:val="en-US" w:eastAsia="zh-CN"/>
              </w:rPr>
              <w:t>6</w:t>
            </w:r>
            <w:r>
              <w:rPr>
                <w:rFonts w:ascii="Times New Roman" w:hAnsi="Times New Roman"/>
                <w:color w:val="auto"/>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741"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624"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1134"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567" w:type="dxa"/>
            <w:vMerge w:val="continue"/>
            <w:noWrap w:val="0"/>
            <w:vAlign w:val="center"/>
          </w:tcPr>
          <w:p>
            <w:pPr>
              <w:pStyle w:val="5"/>
              <w:spacing w:line="160" w:lineRule="atLeast"/>
              <w:ind w:leftChars="-48" w:right="-42" w:rightChars="-15" w:hanging="134" w:hangingChars="64"/>
              <w:jc w:val="center"/>
              <w:rPr>
                <w:rFonts w:ascii="Times New Roman" w:hAnsi="Times New Roman"/>
                <w:color w:val="auto"/>
                <w:szCs w:val="21"/>
                <w:lang w:val="en-US" w:eastAsia="zh-CN"/>
              </w:rPr>
            </w:pPr>
          </w:p>
        </w:tc>
        <w:tc>
          <w:tcPr>
            <w:tcW w:w="5845" w:type="dxa"/>
            <w:noWrap w:val="0"/>
            <w:vAlign w:val="center"/>
          </w:tcPr>
          <w:p>
            <w:pPr>
              <w:pStyle w:val="5"/>
              <w:jc w:val="left"/>
              <w:rPr>
                <w:rFonts w:ascii="Times New Roman" w:hAnsi="Times New Roman"/>
                <w:color w:val="auto"/>
                <w:spacing w:val="-4"/>
                <w:szCs w:val="21"/>
                <w:lang w:val="en-US" w:eastAsia="zh-CN"/>
              </w:rPr>
            </w:pPr>
            <w:r>
              <w:rPr>
                <w:rFonts w:ascii="Times New Roman" w:hAnsi="Times New Roman"/>
                <w:color w:val="auto"/>
                <w:szCs w:val="21"/>
                <w:lang w:val="en-US" w:eastAsia="zh-CN"/>
              </w:rPr>
              <w:t>描述较准确、步骤和程序较全面、具备一定可行性</w:t>
            </w:r>
            <w:r>
              <w:rPr>
                <w:rFonts w:ascii="Times New Roman" w:hAnsi="Times New Roman"/>
                <w:color w:val="auto"/>
                <w:spacing w:val="-4"/>
                <w:szCs w:val="21"/>
                <w:lang w:val="en-US" w:eastAsia="zh-CN"/>
              </w:rPr>
              <w:t>，得</w:t>
            </w:r>
            <w:r>
              <w:rPr>
                <w:rFonts w:ascii="Times New Roman" w:hAnsi="Times New Roman"/>
                <w:color w:val="auto"/>
                <w:szCs w:val="21"/>
                <w:lang w:val="en-US" w:eastAsia="zh-CN"/>
              </w:rPr>
              <w:t>6－8</w:t>
            </w:r>
            <w:r>
              <w:rPr>
                <w:rFonts w:ascii="Times New Roman" w:hAnsi="Times New Roman"/>
                <w:color w:val="auto"/>
                <w:spacing w:val="-4"/>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741"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624"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1134"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567" w:type="dxa"/>
            <w:vMerge w:val="continue"/>
            <w:noWrap w:val="0"/>
            <w:vAlign w:val="center"/>
          </w:tcPr>
          <w:p>
            <w:pPr>
              <w:pStyle w:val="5"/>
              <w:spacing w:line="160" w:lineRule="atLeast"/>
              <w:ind w:leftChars="-48" w:right="-42" w:rightChars="-15" w:hanging="134" w:hangingChars="64"/>
              <w:jc w:val="center"/>
              <w:rPr>
                <w:rFonts w:ascii="Times New Roman" w:hAnsi="Times New Roman"/>
                <w:color w:val="auto"/>
                <w:szCs w:val="21"/>
                <w:lang w:val="en-US" w:eastAsia="zh-CN"/>
              </w:rPr>
            </w:pPr>
          </w:p>
        </w:tc>
        <w:tc>
          <w:tcPr>
            <w:tcW w:w="5845" w:type="dxa"/>
            <w:noWrap w:val="0"/>
            <w:vAlign w:val="center"/>
          </w:tcPr>
          <w:p>
            <w:pPr>
              <w:pStyle w:val="5"/>
              <w:jc w:val="left"/>
              <w:rPr>
                <w:rFonts w:ascii="Times New Roman" w:hAnsi="Times New Roman"/>
                <w:color w:val="auto"/>
                <w:szCs w:val="21"/>
                <w:lang w:val="en-US" w:eastAsia="zh-CN"/>
              </w:rPr>
            </w:pPr>
            <w:r>
              <w:rPr>
                <w:rFonts w:ascii="Times New Roman" w:hAnsi="Times New Roman"/>
                <w:color w:val="auto"/>
                <w:szCs w:val="21"/>
                <w:lang w:val="en-US" w:eastAsia="zh-CN"/>
              </w:rPr>
              <w:t>描述准确、步骤和程序全面、具体、可行，得8－10分。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741"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624"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1134" w:type="dxa"/>
            <w:vMerge w:val="restart"/>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重点及难点分析</w:t>
            </w:r>
          </w:p>
        </w:tc>
        <w:tc>
          <w:tcPr>
            <w:tcW w:w="567" w:type="dxa"/>
            <w:vMerge w:val="restart"/>
            <w:noWrap w:val="0"/>
            <w:vAlign w:val="center"/>
          </w:tcPr>
          <w:p>
            <w:pPr>
              <w:pStyle w:val="5"/>
              <w:spacing w:line="160" w:lineRule="atLeast"/>
              <w:ind w:leftChars="-48" w:right="-42" w:rightChars="-15" w:hanging="134" w:hangingChars="64"/>
              <w:jc w:val="center"/>
              <w:rPr>
                <w:rFonts w:ascii="Times New Roman" w:hAnsi="Times New Roman"/>
                <w:color w:val="auto"/>
                <w:szCs w:val="21"/>
                <w:lang w:val="en-US" w:eastAsia="zh-CN"/>
              </w:rPr>
            </w:pPr>
            <w:r>
              <w:rPr>
                <w:rFonts w:hint="eastAsia" w:ascii="Times New Roman" w:hAnsi="Times New Roman"/>
                <w:color w:val="auto"/>
                <w:szCs w:val="21"/>
                <w:lang w:val="en-US" w:eastAsia="zh-CN"/>
              </w:rPr>
              <w:t>5</w:t>
            </w:r>
            <w:r>
              <w:rPr>
                <w:rFonts w:ascii="Times New Roman" w:hAnsi="Times New Roman"/>
                <w:color w:val="auto"/>
                <w:szCs w:val="21"/>
                <w:lang w:val="en-US" w:eastAsia="zh-CN"/>
              </w:rPr>
              <w:t>分</w:t>
            </w:r>
          </w:p>
        </w:tc>
        <w:tc>
          <w:tcPr>
            <w:tcW w:w="5845" w:type="dxa"/>
            <w:noWrap w:val="0"/>
            <w:vAlign w:val="center"/>
          </w:tcPr>
          <w:p>
            <w:pPr>
              <w:pStyle w:val="5"/>
              <w:jc w:val="left"/>
              <w:rPr>
                <w:rFonts w:ascii="Times New Roman" w:hAnsi="Times New Roman"/>
                <w:color w:val="auto"/>
                <w:szCs w:val="21"/>
                <w:lang w:val="en-US" w:eastAsia="zh-CN"/>
              </w:rPr>
            </w:pPr>
            <w:r>
              <w:rPr>
                <w:rFonts w:ascii="Times New Roman" w:hAnsi="Times New Roman"/>
                <w:color w:val="auto"/>
                <w:szCs w:val="21"/>
                <w:lang w:val="en-US" w:eastAsia="zh-CN"/>
              </w:rPr>
              <w:t>一般，得</w:t>
            </w:r>
            <w:r>
              <w:rPr>
                <w:rFonts w:hint="eastAsia" w:ascii="Times New Roman" w:hAnsi="Times New Roman"/>
                <w:color w:val="auto"/>
                <w:szCs w:val="21"/>
                <w:lang w:val="en-US" w:eastAsia="zh-CN"/>
              </w:rPr>
              <w:t>3</w:t>
            </w:r>
            <w:r>
              <w:rPr>
                <w:rFonts w:ascii="Times New Roman" w:hAnsi="Times New Roman"/>
                <w:color w:val="auto"/>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741"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624"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1134"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567"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5845" w:type="dxa"/>
            <w:noWrap w:val="0"/>
            <w:vAlign w:val="center"/>
          </w:tcPr>
          <w:p>
            <w:pPr>
              <w:pStyle w:val="5"/>
              <w:jc w:val="left"/>
              <w:rPr>
                <w:rFonts w:ascii="Times New Roman" w:hAnsi="Times New Roman"/>
                <w:color w:val="auto"/>
                <w:szCs w:val="21"/>
                <w:lang w:val="en-US" w:eastAsia="zh-CN"/>
              </w:rPr>
            </w:pPr>
            <w:r>
              <w:rPr>
                <w:rFonts w:ascii="Times New Roman" w:hAnsi="Times New Roman"/>
                <w:color w:val="auto"/>
                <w:szCs w:val="21"/>
                <w:lang w:val="en-US" w:eastAsia="zh-CN"/>
              </w:rPr>
              <w:t>分析较全面、措施较得力</w:t>
            </w:r>
            <w:r>
              <w:rPr>
                <w:rFonts w:hint="eastAsia" w:ascii="Times New Roman" w:hAnsi="Times New Roman"/>
                <w:color w:val="auto"/>
                <w:szCs w:val="21"/>
                <w:lang w:val="en-US" w:eastAsia="zh-CN"/>
              </w:rPr>
              <w:t>，得3－4</w:t>
            </w:r>
            <w:r>
              <w:rPr>
                <w:rFonts w:ascii="Times New Roman" w:hAnsi="Times New Roman"/>
                <w:color w:val="auto"/>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741"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624"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1134"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567"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5845" w:type="dxa"/>
            <w:noWrap w:val="0"/>
            <w:vAlign w:val="center"/>
          </w:tcPr>
          <w:p>
            <w:pPr>
              <w:pStyle w:val="5"/>
              <w:jc w:val="left"/>
              <w:rPr>
                <w:rFonts w:ascii="Times New Roman" w:hAnsi="Times New Roman"/>
                <w:color w:val="auto"/>
                <w:szCs w:val="21"/>
                <w:lang w:val="en-US" w:eastAsia="zh-CN"/>
              </w:rPr>
            </w:pPr>
            <w:r>
              <w:rPr>
                <w:rFonts w:ascii="Times New Roman" w:hAnsi="Times New Roman"/>
                <w:color w:val="auto"/>
                <w:szCs w:val="21"/>
                <w:lang w:val="en-US" w:eastAsia="zh-CN"/>
              </w:rPr>
              <w:t>分析透彻、措施具体得力，得4－5分。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741"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624"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1134" w:type="dxa"/>
            <w:vMerge w:val="restart"/>
            <w:noWrap w:val="0"/>
            <w:vAlign w:val="center"/>
          </w:tcPr>
          <w:p>
            <w:pPr>
              <w:pStyle w:val="5"/>
              <w:spacing w:line="160" w:lineRule="atLeast"/>
              <w:ind w:right="-78" w:rightChars="-28"/>
              <w:jc w:val="center"/>
              <w:rPr>
                <w:rFonts w:ascii="Times New Roman" w:hAnsi="Times New Roman"/>
                <w:color w:val="auto"/>
                <w:szCs w:val="21"/>
                <w:lang w:val="en-US" w:eastAsia="zh-CN"/>
              </w:rPr>
            </w:pPr>
            <w:r>
              <w:rPr>
                <w:rFonts w:ascii="Times New Roman" w:hAnsi="Times New Roman"/>
                <w:color w:val="auto"/>
                <w:szCs w:val="21"/>
                <w:lang w:val="en-US" w:eastAsia="zh-CN"/>
              </w:rPr>
              <w:t>审计工作质量控制方法及措施</w:t>
            </w:r>
          </w:p>
        </w:tc>
        <w:tc>
          <w:tcPr>
            <w:tcW w:w="567" w:type="dxa"/>
            <w:vMerge w:val="restart"/>
            <w:noWrap w:val="0"/>
            <w:vAlign w:val="center"/>
          </w:tcPr>
          <w:p>
            <w:pPr>
              <w:pStyle w:val="5"/>
              <w:spacing w:line="160" w:lineRule="atLeast"/>
              <w:jc w:val="center"/>
              <w:rPr>
                <w:rFonts w:ascii="Times New Roman" w:hAnsi="Times New Roman"/>
                <w:color w:val="auto"/>
                <w:szCs w:val="21"/>
                <w:lang w:val="en-US" w:eastAsia="zh-CN"/>
              </w:rPr>
            </w:pPr>
            <w:r>
              <w:rPr>
                <w:rFonts w:hint="eastAsia" w:ascii="Times New Roman" w:hAnsi="Times New Roman"/>
                <w:color w:val="auto"/>
                <w:szCs w:val="21"/>
                <w:lang w:val="en-US" w:eastAsia="zh-CN"/>
              </w:rPr>
              <w:t>5</w:t>
            </w:r>
            <w:r>
              <w:rPr>
                <w:rFonts w:ascii="Times New Roman" w:hAnsi="Times New Roman"/>
                <w:color w:val="auto"/>
                <w:szCs w:val="21"/>
                <w:lang w:val="en-US" w:eastAsia="zh-CN"/>
              </w:rPr>
              <w:t>分</w:t>
            </w:r>
          </w:p>
        </w:tc>
        <w:tc>
          <w:tcPr>
            <w:tcW w:w="5845" w:type="dxa"/>
            <w:noWrap w:val="0"/>
            <w:vAlign w:val="center"/>
          </w:tcPr>
          <w:p>
            <w:pPr>
              <w:pStyle w:val="5"/>
              <w:spacing w:line="300" w:lineRule="exact"/>
              <w:jc w:val="left"/>
              <w:rPr>
                <w:rFonts w:ascii="Times New Roman" w:hAnsi="Times New Roman"/>
                <w:color w:val="auto"/>
                <w:szCs w:val="21"/>
                <w:lang w:val="en-US" w:eastAsia="zh-CN"/>
              </w:rPr>
            </w:pPr>
            <w:r>
              <w:rPr>
                <w:rFonts w:ascii="Times New Roman" w:hAnsi="Times New Roman"/>
                <w:color w:val="auto"/>
                <w:szCs w:val="21"/>
                <w:lang w:val="en-US" w:eastAsia="zh-CN"/>
              </w:rPr>
              <w:t>拟采取的控制方法及措施符合法律法规要求，针对性、可操作性一般，得</w:t>
            </w:r>
            <w:r>
              <w:rPr>
                <w:rFonts w:hint="eastAsia" w:ascii="Times New Roman" w:hAnsi="Times New Roman"/>
                <w:color w:val="auto"/>
                <w:szCs w:val="21"/>
                <w:lang w:val="en-US" w:eastAsia="zh-CN"/>
              </w:rPr>
              <w:t>3</w:t>
            </w:r>
            <w:r>
              <w:rPr>
                <w:rFonts w:ascii="Times New Roman" w:hAnsi="Times New Roman"/>
                <w:color w:val="auto"/>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741"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624"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1134"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567"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5845" w:type="dxa"/>
            <w:noWrap w:val="0"/>
            <w:vAlign w:val="center"/>
          </w:tcPr>
          <w:p>
            <w:pPr>
              <w:pStyle w:val="5"/>
              <w:spacing w:line="300" w:lineRule="exact"/>
              <w:jc w:val="left"/>
              <w:rPr>
                <w:rFonts w:ascii="Times New Roman" w:hAnsi="Times New Roman"/>
                <w:color w:val="auto"/>
                <w:szCs w:val="21"/>
                <w:lang w:val="en-US" w:eastAsia="zh-CN"/>
              </w:rPr>
            </w:pPr>
            <w:r>
              <w:rPr>
                <w:rFonts w:ascii="Times New Roman" w:hAnsi="Times New Roman"/>
                <w:color w:val="auto"/>
                <w:szCs w:val="21"/>
                <w:lang w:val="en-US" w:eastAsia="zh-CN"/>
              </w:rPr>
              <w:t>拟采取的控制方法及措施符合法律法规要求，针对性、可操作性较强，得3－4分；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741"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624"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1134"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567"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5845" w:type="dxa"/>
            <w:noWrap w:val="0"/>
            <w:vAlign w:val="center"/>
          </w:tcPr>
          <w:p>
            <w:pPr>
              <w:pStyle w:val="5"/>
              <w:spacing w:line="300" w:lineRule="exact"/>
              <w:jc w:val="left"/>
              <w:rPr>
                <w:rFonts w:ascii="Times New Roman" w:hAnsi="Times New Roman"/>
                <w:color w:val="auto"/>
                <w:szCs w:val="21"/>
                <w:lang w:val="en-US" w:eastAsia="zh-CN"/>
              </w:rPr>
            </w:pPr>
            <w:r>
              <w:rPr>
                <w:rFonts w:ascii="Times New Roman" w:hAnsi="Times New Roman"/>
                <w:color w:val="auto"/>
                <w:szCs w:val="21"/>
                <w:lang w:val="en-US" w:eastAsia="zh-CN"/>
              </w:rPr>
              <w:t>拟采取的控制方法及措施符合法律法规要求，针对性、可操作性强，得4－5分。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741"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624"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1134" w:type="dxa"/>
            <w:vMerge w:val="restart"/>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审计工作进度安排</w:t>
            </w:r>
          </w:p>
        </w:tc>
        <w:tc>
          <w:tcPr>
            <w:tcW w:w="567" w:type="dxa"/>
            <w:vMerge w:val="restart"/>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5分</w:t>
            </w:r>
          </w:p>
        </w:tc>
        <w:tc>
          <w:tcPr>
            <w:tcW w:w="5845" w:type="dxa"/>
            <w:noWrap w:val="0"/>
            <w:vAlign w:val="center"/>
          </w:tcPr>
          <w:p>
            <w:pPr>
              <w:pStyle w:val="5"/>
              <w:spacing w:line="300" w:lineRule="exact"/>
              <w:jc w:val="left"/>
              <w:rPr>
                <w:rFonts w:ascii="Times New Roman" w:hAnsi="Times New Roman"/>
                <w:color w:val="auto"/>
                <w:szCs w:val="21"/>
                <w:lang w:val="en-US" w:eastAsia="zh-CN"/>
              </w:rPr>
            </w:pPr>
            <w:r>
              <w:rPr>
                <w:rFonts w:ascii="Times New Roman" w:hAnsi="Times New Roman"/>
                <w:color w:val="auto"/>
                <w:szCs w:val="21"/>
                <w:lang w:val="en-US" w:eastAsia="zh-CN"/>
              </w:rPr>
              <w:t>进度安排一般，基本满足项目要求，得3分；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741"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624"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1134"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567"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5845" w:type="dxa"/>
            <w:noWrap w:val="0"/>
            <w:vAlign w:val="center"/>
          </w:tcPr>
          <w:p>
            <w:pPr>
              <w:pStyle w:val="5"/>
              <w:spacing w:line="300" w:lineRule="exact"/>
              <w:jc w:val="left"/>
              <w:rPr>
                <w:rFonts w:ascii="Times New Roman" w:hAnsi="Times New Roman"/>
                <w:color w:val="auto"/>
                <w:szCs w:val="21"/>
                <w:lang w:val="en-US" w:eastAsia="zh-CN"/>
              </w:rPr>
            </w:pPr>
            <w:r>
              <w:rPr>
                <w:rFonts w:ascii="Times New Roman" w:hAnsi="Times New Roman"/>
                <w:color w:val="auto"/>
                <w:szCs w:val="21"/>
                <w:lang w:val="en-US" w:eastAsia="zh-CN"/>
              </w:rPr>
              <w:t>进度安排较合理，能较好满足项目要求，得3－4分；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741"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624"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1134"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567"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5845" w:type="dxa"/>
            <w:noWrap w:val="0"/>
            <w:vAlign w:val="center"/>
          </w:tcPr>
          <w:p>
            <w:pPr>
              <w:pStyle w:val="5"/>
              <w:spacing w:line="300" w:lineRule="exact"/>
              <w:jc w:val="left"/>
              <w:rPr>
                <w:rFonts w:ascii="Times New Roman" w:hAnsi="Times New Roman"/>
                <w:color w:val="auto"/>
                <w:szCs w:val="21"/>
                <w:lang w:val="en-US" w:eastAsia="zh-CN"/>
              </w:rPr>
            </w:pPr>
            <w:r>
              <w:rPr>
                <w:rFonts w:ascii="Times New Roman" w:hAnsi="Times New Roman"/>
                <w:color w:val="auto"/>
                <w:szCs w:val="21"/>
                <w:lang w:val="en-US" w:eastAsia="zh-CN"/>
              </w:rPr>
              <w:t>进度安排合理周密，完全满足项目要求，得4－5分。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741"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624"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1134" w:type="dxa"/>
            <w:vMerge w:val="restart"/>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后续服务的安排及保证措施</w:t>
            </w:r>
          </w:p>
        </w:tc>
        <w:tc>
          <w:tcPr>
            <w:tcW w:w="567" w:type="dxa"/>
            <w:vMerge w:val="restart"/>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5分</w:t>
            </w:r>
          </w:p>
        </w:tc>
        <w:tc>
          <w:tcPr>
            <w:tcW w:w="5845" w:type="dxa"/>
            <w:noWrap w:val="0"/>
            <w:vAlign w:val="center"/>
          </w:tcPr>
          <w:p>
            <w:pPr>
              <w:jc w:val="left"/>
              <w:rPr>
                <w:color w:val="auto"/>
                <w:kern w:val="2"/>
                <w:sz w:val="21"/>
                <w:szCs w:val="21"/>
              </w:rPr>
            </w:pPr>
            <w:r>
              <w:rPr>
                <w:color w:val="auto"/>
                <w:kern w:val="2"/>
                <w:sz w:val="21"/>
                <w:szCs w:val="21"/>
              </w:rPr>
              <w:t>投标人对于后续服务的承诺及保证措施安排一般，得3分；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741" w:type="dxa"/>
            <w:vMerge w:val="continue"/>
            <w:noWrap w:val="0"/>
            <w:vAlign w:val="top"/>
          </w:tcPr>
          <w:p>
            <w:pPr>
              <w:pStyle w:val="5"/>
              <w:spacing w:line="160" w:lineRule="atLeast"/>
              <w:rPr>
                <w:rFonts w:ascii="Times New Roman" w:hAnsi="Times New Roman"/>
                <w:color w:val="auto"/>
                <w:szCs w:val="21"/>
                <w:lang w:val="en-US" w:eastAsia="zh-CN"/>
              </w:rPr>
            </w:pPr>
          </w:p>
        </w:tc>
        <w:tc>
          <w:tcPr>
            <w:tcW w:w="624" w:type="dxa"/>
            <w:vMerge w:val="continue"/>
            <w:noWrap w:val="0"/>
            <w:vAlign w:val="top"/>
          </w:tcPr>
          <w:p>
            <w:pPr>
              <w:pStyle w:val="5"/>
              <w:spacing w:line="160" w:lineRule="atLeast"/>
              <w:rPr>
                <w:rFonts w:ascii="Times New Roman" w:hAnsi="Times New Roman"/>
                <w:color w:val="auto"/>
                <w:szCs w:val="21"/>
                <w:lang w:val="en-US" w:eastAsia="zh-CN"/>
              </w:rPr>
            </w:pPr>
          </w:p>
        </w:tc>
        <w:tc>
          <w:tcPr>
            <w:tcW w:w="1134"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567" w:type="dxa"/>
            <w:vMerge w:val="continue"/>
            <w:noWrap w:val="0"/>
            <w:vAlign w:val="center"/>
          </w:tcPr>
          <w:p>
            <w:pPr>
              <w:pStyle w:val="5"/>
              <w:spacing w:line="160" w:lineRule="atLeast"/>
              <w:jc w:val="center"/>
              <w:rPr>
                <w:rFonts w:ascii="Times New Roman" w:hAnsi="Times New Roman"/>
                <w:color w:val="auto"/>
                <w:szCs w:val="21"/>
                <w:lang w:val="en-US" w:eastAsia="zh-CN"/>
              </w:rPr>
            </w:pPr>
          </w:p>
        </w:tc>
        <w:tc>
          <w:tcPr>
            <w:tcW w:w="5845" w:type="dxa"/>
            <w:noWrap w:val="0"/>
            <w:vAlign w:val="center"/>
          </w:tcPr>
          <w:p>
            <w:pPr>
              <w:jc w:val="left"/>
              <w:rPr>
                <w:color w:val="auto"/>
                <w:kern w:val="2"/>
                <w:sz w:val="21"/>
                <w:szCs w:val="21"/>
              </w:rPr>
            </w:pPr>
            <w:r>
              <w:rPr>
                <w:color w:val="auto"/>
                <w:kern w:val="2"/>
                <w:sz w:val="21"/>
                <w:szCs w:val="21"/>
              </w:rPr>
              <w:t>投标人对于后续服务的承诺及保证措施安排较完善，得3－4分；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5"/>
              <w:spacing w:line="160" w:lineRule="atLeast"/>
              <w:jc w:val="center"/>
              <w:rPr>
                <w:rFonts w:ascii="Times New Roman" w:hAnsi="Times New Roman"/>
                <w:color w:val="auto"/>
                <w:szCs w:val="21"/>
                <w:lang w:val="en-US" w:eastAsia="zh-CN"/>
              </w:rPr>
            </w:pPr>
          </w:p>
        </w:tc>
        <w:tc>
          <w:tcPr>
            <w:tcW w:w="741" w:type="dxa"/>
            <w:vMerge w:val="continue"/>
            <w:noWrap w:val="0"/>
            <w:vAlign w:val="top"/>
          </w:tcPr>
          <w:p>
            <w:pPr>
              <w:pStyle w:val="5"/>
              <w:spacing w:line="160" w:lineRule="atLeast"/>
              <w:rPr>
                <w:rFonts w:ascii="Times New Roman" w:hAnsi="Times New Roman"/>
                <w:color w:val="auto"/>
                <w:szCs w:val="21"/>
                <w:lang w:val="en-US" w:eastAsia="zh-CN"/>
              </w:rPr>
            </w:pPr>
          </w:p>
        </w:tc>
        <w:tc>
          <w:tcPr>
            <w:tcW w:w="624" w:type="dxa"/>
            <w:vMerge w:val="continue"/>
            <w:noWrap w:val="0"/>
            <w:vAlign w:val="top"/>
          </w:tcPr>
          <w:p>
            <w:pPr>
              <w:pStyle w:val="5"/>
              <w:spacing w:line="160" w:lineRule="atLeast"/>
              <w:rPr>
                <w:rFonts w:ascii="Times New Roman" w:hAnsi="Times New Roman"/>
                <w:color w:val="auto"/>
                <w:szCs w:val="21"/>
                <w:lang w:val="en-US" w:eastAsia="zh-CN"/>
              </w:rPr>
            </w:pPr>
          </w:p>
        </w:tc>
        <w:tc>
          <w:tcPr>
            <w:tcW w:w="1134" w:type="dxa"/>
            <w:vMerge w:val="continue"/>
            <w:tcBorders>
              <w:bottom w:val="single" w:color="auto" w:sz="4" w:space="0"/>
            </w:tcBorders>
            <w:noWrap w:val="0"/>
            <w:vAlign w:val="center"/>
          </w:tcPr>
          <w:p>
            <w:pPr>
              <w:pStyle w:val="5"/>
              <w:spacing w:line="160" w:lineRule="atLeast"/>
              <w:jc w:val="center"/>
              <w:rPr>
                <w:rFonts w:ascii="Times New Roman" w:hAnsi="Times New Roman"/>
                <w:color w:val="auto"/>
                <w:szCs w:val="21"/>
                <w:lang w:val="en-US" w:eastAsia="zh-CN"/>
              </w:rPr>
            </w:pPr>
          </w:p>
        </w:tc>
        <w:tc>
          <w:tcPr>
            <w:tcW w:w="567" w:type="dxa"/>
            <w:vMerge w:val="continue"/>
            <w:tcBorders>
              <w:bottom w:val="single" w:color="auto" w:sz="4" w:space="0"/>
            </w:tcBorders>
            <w:noWrap w:val="0"/>
            <w:vAlign w:val="center"/>
          </w:tcPr>
          <w:p>
            <w:pPr>
              <w:pStyle w:val="5"/>
              <w:spacing w:line="160" w:lineRule="atLeast"/>
              <w:jc w:val="center"/>
              <w:rPr>
                <w:rFonts w:ascii="Times New Roman" w:hAnsi="Times New Roman"/>
                <w:color w:val="auto"/>
                <w:szCs w:val="21"/>
                <w:lang w:val="en-US" w:eastAsia="zh-CN"/>
              </w:rPr>
            </w:pPr>
          </w:p>
        </w:tc>
        <w:tc>
          <w:tcPr>
            <w:tcW w:w="5845" w:type="dxa"/>
            <w:tcBorders>
              <w:bottom w:val="single" w:color="auto" w:sz="4" w:space="0"/>
            </w:tcBorders>
            <w:noWrap w:val="0"/>
            <w:vAlign w:val="center"/>
          </w:tcPr>
          <w:p>
            <w:pPr>
              <w:jc w:val="left"/>
              <w:rPr>
                <w:color w:val="auto"/>
                <w:kern w:val="2"/>
                <w:sz w:val="21"/>
                <w:szCs w:val="21"/>
              </w:rPr>
            </w:pPr>
            <w:r>
              <w:rPr>
                <w:color w:val="auto"/>
                <w:kern w:val="2"/>
                <w:sz w:val="21"/>
                <w:szCs w:val="21"/>
              </w:rPr>
              <w:t>投标人对于后续服务的承诺及保证措施安排完善合理，得4－5分。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741" w:type="dxa"/>
            <w:tcBorders>
              <w:top w:val="nil"/>
            </w:tcBorders>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2.2.4（2）</w:t>
            </w:r>
          </w:p>
        </w:tc>
        <w:tc>
          <w:tcPr>
            <w:tcW w:w="741" w:type="dxa"/>
            <w:tcBorders>
              <w:top w:val="nil"/>
            </w:tcBorders>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主要人员</w:t>
            </w:r>
          </w:p>
        </w:tc>
        <w:tc>
          <w:tcPr>
            <w:tcW w:w="624" w:type="dxa"/>
            <w:tcBorders>
              <w:top w:val="nil"/>
            </w:tcBorders>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20分</w:t>
            </w:r>
          </w:p>
        </w:tc>
        <w:tc>
          <w:tcPr>
            <w:tcW w:w="1134" w:type="dxa"/>
            <w:tcBorders>
              <w:bottom w:val="single" w:color="auto" w:sz="4" w:space="0"/>
            </w:tcBorders>
            <w:noWrap w:val="0"/>
            <w:vAlign w:val="center"/>
          </w:tcPr>
          <w:p>
            <w:pPr>
              <w:rPr>
                <w:color w:val="auto"/>
                <w:kern w:val="2"/>
                <w:sz w:val="21"/>
                <w:szCs w:val="21"/>
              </w:rPr>
            </w:pPr>
            <w:r>
              <w:rPr>
                <w:color w:val="auto"/>
                <w:kern w:val="2"/>
                <w:sz w:val="21"/>
                <w:szCs w:val="21"/>
              </w:rPr>
              <w:t>项目负责人任职资格与业绩</w:t>
            </w:r>
          </w:p>
        </w:tc>
        <w:tc>
          <w:tcPr>
            <w:tcW w:w="567" w:type="dxa"/>
            <w:tcBorders>
              <w:bottom w:val="single" w:color="auto" w:sz="4" w:space="0"/>
            </w:tcBorders>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20分</w:t>
            </w:r>
          </w:p>
        </w:tc>
        <w:tc>
          <w:tcPr>
            <w:tcW w:w="5845" w:type="dxa"/>
            <w:tcBorders>
              <w:bottom w:val="single" w:color="auto" w:sz="4" w:space="0"/>
            </w:tcBorders>
            <w:noWrap w:val="0"/>
            <w:vAlign w:val="center"/>
          </w:tcPr>
          <w:p>
            <w:pPr>
              <w:jc w:val="left"/>
              <w:rPr>
                <w:color w:val="auto"/>
                <w:kern w:val="2"/>
                <w:sz w:val="21"/>
                <w:szCs w:val="21"/>
              </w:rPr>
            </w:pPr>
            <w:r>
              <w:rPr>
                <w:color w:val="auto"/>
                <w:kern w:val="2"/>
                <w:sz w:val="21"/>
                <w:szCs w:val="21"/>
              </w:rPr>
              <w:t>标段一：满足资格审查条件（造价审核主管）最低要求得12分；</w:t>
            </w:r>
          </w:p>
          <w:p>
            <w:pPr>
              <w:jc w:val="left"/>
              <w:rPr>
                <w:color w:val="auto"/>
                <w:kern w:val="2"/>
                <w:sz w:val="21"/>
                <w:szCs w:val="21"/>
              </w:rPr>
            </w:pPr>
            <w:r>
              <w:rPr>
                <w:color w:val="auto"/>
                <w:kern w:val="2"/>
                <w:sz w:val="21"/>
                <w:szCs w:val="21"/>
              </w:rPr>
              <w:t>每增加一个满足资格审查条件（造价审核主管）最低要求业绩，加4分，最多加8分。</w:t>
            </w:r>
          </w:p>
          <w:p>
            <w:pPr>
              <w:pStyle w:val="2"/>
              <w:rPr>
                <w:color w:val="auto"/>
                <w:lang w:val="en-US" w:eastAsia="zh-CN"/>
              </w:rPr>
            </w:pPr>
          </w:p>
          <w:p>
            <w:pPr>
              <w:jc w:val="left"/>
              <w:rPr>
                <w:color w:val="auto"/>
                <w:kern w:val="2"/>
                <w:sz w:val="21"/>
                <w:szCs w:val="21"/>
              </w:rPr>
            </w:pPr>
            <w:r>
              <w:rPr>
                <w:color w:val="auto"/>
                <w:kern w:val="2"/>
                <w:sz w:val="21"/>
                <w:szCs w:val="21"/>
              </w:rPr>
              <w:t>标段二：满足资格审查条件（财务审核主管）最低要求得12分；</w:t>
            </w:r>
          </w:p>
          <w:p>
            <w:pPr>
              <w:pStyle w:val="2"/>
              <w:rPr>
                <w:color w:val="auto"/>
                <w:lang w:val="en-US" w:eastAsia="zh-CN"/>
              </w:rPr>
            </w:pPr>
            <w:r>
              <w:rPr>
                <w:color w:val="auto"/>
                <w:sz w:val="21"/>
                <w:szCs w:val="21"/>
                <w:lang w:val="en-US" w:eastAsia="zh-CN"/>
              </w:rPr>
              <w:t>每增加一个满足资格审查条件（财务审核主管）最低要求）业绩，加4分，最多加8分。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2.2.4（3）</w:t>
            </w:r>
          </w:p>
        </w:tc>
        <w:tc>
          <w:tcPr>
            <w:tcW w:w="741" w:type="dxa"/>
            <w:tcBorders>
              <w:top w:val="nil"/>
            </w:tcBorders>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评标价</w:t>
            </w:r>
          </w:p>
        </w:tc>
        <w:tc>
          <w:tcPr>
            <w:tcW w:w="624" w:type="dxa"/>
            <w:tcBorders>
              <w:top w:val="nil"/>
              <w:bottom w:val="single" w:color="auto" w:sz="4" w:space="0"/>
            </w:tcBorders>
            <w:noWrap w:val="0"/>
            <w:vAlign w:val="center"/>
          </w:tcPr>
          <w:p>
            <w:pPr>
              <w:pStyle w:val="5"/>
              <w:spacing w:line="160" w:lineRule="atLeast"/>
              <w:jc w:val="center"/>
              <w:rPr>
                <w:rFonts w:ascii="Times New Roman" w:hAnsi="Times New Roman"/>
                <w:color w:val="auto"/>
                <w:szCs w:val="21"/>
                <w:lang w:val="en-US" w:eastAsia="zh-CN"/>
              </w:rPr>
            </w:pPr>
            <w:r>
              <w:rPr>
                <w:rFonts w:hint="eastAsia" w:ascii="Times New Roman" w:hAnsi="Times New Roman"/>
                <w:color w:val="auto"/>
                <w:szCs w:val="21"/>
                <w:lang w:val="en-US" w:eastAsia="zh-CN"/>
              </w:rPr>
              <w:t>3</w:t>
            </w:r>
            <w:r>
              <w:rPr>
                <w:rFonts w:ascii="Times New Roman" w:hAnsi="Times New Roman"/>
                <w:color w:val="auto"/>
                <w:szCs w:val="21"/>
                <w:lang w:val="en-US" w:eastAsia="zh-CN"/>
              </w:rPr>
              <w:t>0分</w:t>
            </w:r>
          </w:p>
        </w:tc>
        <w:tc>
          <w:tcPr>
            <w:tcW w:w="7546" w:type="dxa"/>
            <w:gridSpan w:val="3"/>
            <w:tcBorders>
              <w:bottom w:val="single" w:color="auto" w:sz="4" w:space="0"/>
            </w:tcBorders>
            <w:noWrap w:val="0"/>
            <w:vAlign w:val="center"/>
          </w:tcPr>
          <w:p>
            <w:pPr>
              <w:rPr>
                <w:color w:val="auto"/>
                <w:kern w:val="2"/>
                <w:sz w:val="21"/>
                <w:szCs w:val="21"/>
              </w:rPr>
            </w:pPr>
            <w:r>
              <w:rPr>
                <w:color w:val="auto"/>
                <w:kern w:val="2"/>
                <w:sz w:val="21"/>
                <w:szCs w:val="21"/>
              </w:rPr>
              <w:t>评标价得分计算公式示例：</w:t>
            </w:r>
          </w:p>
          <w:p>
            <w:pPr>
              <w:rPr>
                <w:color w:val="auto"/>
                <w:kern w:val="2"/>
                <w:sz w:val="21"/>
                <w:szCs w:val="21"/>
              </w:rPr>
            </w:pPr>
            <w:r>
              <w:rPr>
                <w:color w:val="auto"/>
                <w:kern w:val="2"/>
                <w:sz w:val="21"/>
                <w:szCs w:val="21"/>
              </w:rPr>
              <w:t>（1）如果投标人的评标价＞评标基准价，则评标价得分=F-（投标人评标价-评标基准价）/评标基准价×100×E1；</w:t>
            </w:r>
          </w:p>
          <w:p>
            <w:pPr>
              <w:rPr>
                <w:color w:val="auto"/>
                <w:kern w:val="2"/>
                <w:sz w:val="21"/>
                <w:szCs w:val="21"/>
              </w:rPr>
            </w:pPr>
            <w:r>
              <w:rPr>
                <w:color w:val="auto"/>
                <w:kern w:val="2"/>
                <w:sz w:val="21"/>
                <w:szCs w:val="21"/>
              </w:rPr>
              <w:t>（2）如果投标人的评标价≤评标基准价，则评标价得分=F+（投标人评标价-评标基准价）/评标基准价×100×E2。</w:t>
            </w:r>
          </w:p>
          <w:p>
            <w:pPr>
              <w:jc w:val="left"/>
              <w:rPr>
                <w:color w:val="auto"/>
                <w:sz w:val="21"/>
                <w:szCs w:val="21"/>
              </w:rPr>
            </w:pPr>
            <w:r>
              <w:rPr>
                <w:color w:val="auto"/>
                <w:sz w:val="21"/>
                <w:szCs w:val="21"/>
              </w:rPr>
              <w:t>其中，F=</w:t>
            </w:r>
            <w:r>
              <w:rPr>
                <w:rFonts w:hint="eastAsia"/>
                <w:color w:val="auto"/>
                <w:sz w:val="21"/>
                <w:szCs w:val="21"/>
              </w:rPr>
              <w:t>3</w:t>
            </w:r>
            <w:r>
              <w:rPr>
                <w:color w:val="auto"/>
                <w:sz w:val="21"/>
                <w:szCs w:val="21"/>
              </w:rPr>
              <w:t>0；E1=0.</w:t>
            </w:r>
            <w:r>
              <w:rPr>
                <w:rFonts w:hint="eastAsia"/>
                <w:color w:val="auto"/>
                <w:sz w:val="21"/>
                <w:szCs w:val="21"/>
              </w:rPr>
              <w:t>4</w:t>
            </w:r>
            <w:r>
              <w:rPr>
                <w:color w:val="auto"/>
                <w:sz w:val="21"/>
                <w:szCs w:val="21"/>
              </w:rPr>
              <w:t>；E2=0.</w:t>
            </w:r>
            <w:r>
              <w:rPr>
                <w:rFonts w:hint="eastAsia"/>
                <w:color w:val="auto"/>
                <w:sz w:val="21"/>
                <w:szCs w:val="21"/>
              </w:rPr>
              <w:t>2</w:t>
            </w:r>
            <w:r>
              <w:rPr>
                <w:color w:val="auto"/>
                <w:sz w:val="21"/>
                <w:szCs w:val="21"/>
              </w:rPr>
              <w:t>；评标价最低得分为0分。</w:t>
            </w:r>
          </w:p>
          <w:p>
            <w:pPr>
              <w:jc w:val="left"/>
              <w:rPr>
                <w:color w:val="auto"/>
                <w:kern w:val="2"/>
                <w:sz w:val="21"/>
                <w:szCs w:val="21"/>
              </w:rPr>
            </w:pPr>
            <w:r>
              <w:rPr>
                <w:color w:val="auto"/>
                <w:kern w:val="2"/>
                <w:sz w:val="21"/>
                <w:szCs w:val="21"/>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2.2.4（4）</w:t>
            </w:r>
          </w:p>
        </w:tc>
        <w:tc>
          <w:tcPr>
            <w:tcW w:w="741" w:type="dxa"/>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其他因素</w:t>
            </w:r>
          </w:p>
        </w:tc>
        <w:tc>
          <w:tcPr>
            <w:tcW w:w="624" w:type="dxa"/>
            <w:tcBorders>
              <w:top w:val="single" w:color="auto" w:sz="4" w:space="0"/>
            </w:tcBorders>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2</w:t>
            </w:r>
            <w:r>
              <w:rPr>
                <w:rFonts w:hint="eastAsia" w:ascii="Times New Roman" w:hAnsi="Times New Roman"/>
                <w:color w:val="auto"/>
                <w:szCs w:val="21"/>
                <w:lang w:val="en-US" w:eastAsia="zh-CN"/>
              </w:rPr>
              <w:t>0</w:t>
            </w:r>
            <w:r>
              <w:rPr>
                <w:rFonts w:ascii="Times New Roman" w:hAnsi="Times New Roman"/>
                <w:color w:val="auto"/>
                <w:szCs w:val="21"/>
                <w:lang w:val="en-US" w:eastAsia="zh-CN"/>
              </w:rPr>
              <w:t>分</w:t>
            </w:r>
          </w:p>
        </w:tc>
        <w:tc>
          <w:tcPr>
            <w:tcW w:w="1134" w:type="dxa"/>
            <w:tcBorders>
              <w:top w:val="single" w:color="auto" w:sz="4" w:space="0"/>
            </w:tcBorders>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业绩</w:t>
            </w:r>
          </w:p>
        </w:tc>
        <w:tc>
          <w:tcPr>
            <w:tcW w:w="567" w:type="dxa"/>
            <w:tcBorders>
              <w:top w:val="single" w:color="auto" w:sz="4" w:space="0"/>
            </w:tcBorders>
            <w:noWrap w:val="0"/>
            <w:vAlign w:val="center"/>
          </w:tcPr>
          <w:p>
            <w:pPr>
              <w:pStyle w:val="5"/>
              <w:spacing w:line="160" w:lineRule="atLeast"/>
              <w:jc w:val="center"/>
              <w:rPr>
                <w:rFonts w:ascii="Times New Roman" w:hAnsi="Times New Roman"/>
                <w:color w:val="auto"/>
                <w:szCs w:val="21"/>
                <w:lang w:val="en-US" w:eastAsia="zh-CN"/>
              </w:rPr>
            </w:pPr>
            <w:r>
              <w:rPr>
                <w:rFonts w:ascii="Times New Roman" w:hAnsi="Times New Roman"/>
                <w:color w:val="auto"/>
                <w:szCs w:val="21"/>
                <w:lang w:val="en-US" w:eastAsia="zh-CN"/>
              </w:rPr>
              <w:t>2</w:t>
            </w:r>
            <w:r>
              <w:rPr>
                <w:rFonts w:hint="eastAsia" w:ascii="Times New Roman" w:hAnsi="Times New Roman"/>
                <w:color w:val="auto"/>
                <w:szCs w:val="21"/>
                <w:lang w:val="en-US" w:eastAsia="zh-CN"/>
              </w:rPr>
              <w:t>0</w:t>
            </w:r>
            <w:r>
              <w:rPr>
                <w:rFonts w:ascii="Times New Roman" w:hAnsi="Times New Roman"/>
                <w:color w:val="auto"/>
                <w:szCs w:val="21"/>
                <w:lang w:val="en-US" w:eastAsia="zh-CN"/>
              </w:rPr>
              <w:t>分</w:t>
            </w:r>
          </w:p>
        </w:tc>
        <w:tc>
          <w:tcPr>
            <w:tcW w:w="5845" w:type="dxa"/>
            <w:tcBorders>
              <w:top w:val="single" w:color="auto" w:sz="4" w:space="0"/>
            </w:tcBorders>
            <w:noWrap w:val="0"/>
            <w:vAlign w:val="center"/>
          </w:tcPr>
          <w:p>
            <w:pPr>
              <w:rPr>
                <w:color w:val="auto"/>
                <w:kern w:val="2"/>
                <w:sz w:val="21"/>
                <w:szCs w:val="21"/>
              </w:rPr>
            </w:pPr>
            <w:r>
              <w:rPr>
                <w:color w:val="auto"/>
                <w:kern w:val="2"/>
                <w:sz w:val="21"/>
                <w:szCs w:val="21"/>
              </w:rPr>
              <w:t>满足资格审查条件（业绩最低要求）得1</w:t>
            </w:r>
            <w:r>
              <w:rPr>
                <w:rFonts w:hint="eastAsia"/>
                <w:color w:val="auto"/>
                <w:kern w:val="2"/>
                <w:sz w:val="21"/>
                <w:szCs w:val="21"/>
              </w:rPr>
              <w:t>0</w:t>
            </w:r>
            <w:r>
              <w:rPr>
                <w:color w:val="auto"/>
                <w:kern w:val="2"/>
                <w:sz w:val="21"/>
                <w:szCs w:val="21"/>
              </w:rPr>
              <w:t>分；</w:t>
            </w:r>
          </w:p>
          <w:p>
            <w:pPr>
              <w:rPr>
                <w:color w:val="auto"/>
                <w:sz w:val="21"/>
                <w:szCs w:val="21"/>
              </w:rPr>
            </w:pPr>
            <w:r>
              <w:rPr>
                <w:color w:val="auto"/>
                <w:kern w:val="2"/>
                <w:sz w:val="21"/>
                <w:szCs w:val="21"/>
              </w:rPr>
              <w:t>每增加一个满足资格审查条件（业绩最低要求）的业绩，加5分，最多加10分。</w:t>
            </w:r>
          </w:p>
        </w:tc>
      </w:tr>
    </w:tbl>
    <w:p>
      <w:pPr>
        <w:pStyle w:val="5"/>
        <w:rPr>
          <w:rFonts w:ascii="Times New Roman" w:hAnsi="Times New Roman"/>
          <w:color w:val="auto"/>
          <w:szCs w:val="21"/>
        </w:rPr>
      </w:pPr>
    </w:p>
    <w:p>
      <w:pPr>
        <w:ind w:firstLine="400" w:firstLineChars="200"/>
        <w:rPr>
          <w:color w:val="auto"/>
          <w:kern w:val="0"/>
          <w:sz w:val="20"/>
          <w:lang w:val="zh-CN"/>
        </w:rPr>
      </w:pPr>
      <w:r>
        <w:rPr>
          <w:color w:val="auto"/>
          <w:kern w:val="0"/>
          <w:sz w:val="20"/>
          <w:lang w:val="zh-CN"/>
        </w:rPr>
        <w:t>注：1、第2.2.4（1）项各评委打分保留1位小数，投标人该项得分以各评委打分平均值计算所得，保留两位小数，第三位小数四舍五入。</w:t>
      </w:r>
    </w:p>
    <w:p>
      <w:r>
        <w:rPr>
          <w:color w:val="auto"/>
          <w:kern w:val="0"/>
          <w:sz w:val="20"/>
          <w:lang w:val="zh-CN"/>
        </w:rPr>
        <w:t>2、第2.2.4（1）项评标委员会成员对某一项评分因素的评分低于权重分值 60%的，应在评标报告中作出说明。评审因素缺项则该项得0分。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 w:name="KSO_WPS_MARK_KEY" w:val="7df64661-1134-40be-96a6-c7209ed4350b"/>
  </w:docVars>
  <w:rsids>
    <w:rsidRoot w:val="00000000"/>
    <w:rsid w:val="005E3AB8"/>
    <w:rsid w:val="5A3A3A95"/>
    <w:rsid w:val="69254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8"/>
      <w:sz w:val="28"/>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kern w:val="2"/>
      <w:szCs w:val="24"/>
    </w:rPr>
  </w:style>
  <w:style w:type="paragraph" w:styleId="5">
    <w:name w:val="Plain Text"/>
    <w:basedOn w:val="1"/>
    <w:qFormat/>
    <w:uiPriority w:val="0"/>
    <w:rPr>
      <w:rFonts w:ascii="宋体" w:hAnsi="Courier New"/>
      <w:kern w:val="2"/>
      <w:sz w:val="21"/>
    </w:rPr>
  </w:style>
  <w:style w:type="paragraph" w:styleId="6">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9">
    <w:name w:val="样式22"/>
    <w:basedOn w:val="10"/>
    <w:qFormat/>
    <w:uiPriority w:val="0"/>
    <w:pPr>
      <w:ind w:left="0" w:firstLine="200" w:firstLineChars="200"/>
    </w:pPr>
  </w:style>
  <w:style w:type="paragraph" w:customStyle="1" w:styleId="10">
    <w:name w:val="样式21"/>
    <w:basedOn w:val="4"/>
    <w:qFormat/>
    <w:uiPriority w:val="0"/>
    <w:pPr>
      <w:spacing w:before="0" w:after="0" w:line="360" w:lineRule="auto"/>
      <w:ind w:left="200" w:hanging="200" w:hangingChars="200"/>
    </w:pPr>
    <w:rPr>
      <w:sz w:val="24"/>
    </w:rPr>
  </w:style>
  <w:style w:type="paragraph" w:customStyle="1" w:styleId="11">
    <w:name w:val="样式23"/>
    <w:basedOn w:val="12"/>
    <w:qFormat/>
    <w:uiPriority w:val="0"/>
    <w:rPr>
      <w:sz w:val="24"/>
    </w:rPr>
  </w:style>
  <w:style w:type="paragraph" w:customStyle="1" w:styleId="12">
    <w:name w:val="样式17"/>
    <w:basedOn w:val="13"/>
    <w:qFormat/>
    <w:uiPriority w:val="0"/>
    <w:pPr>
      <w:ind w:firstLine="200" w:firstLineChars="200"/>
    </w:pPr>
  </w:style>
  <w:style w:type="paragraph" w:customStyle="1" w:styleId="13">
    <w:name w:val="样式16"/>
    <w:basedOn w:val="4"/>
    <w:qFormat/>
    <w:uiPriority w:val="0"/>
    <w:pPr>
      <w:spacing w:before="0" w:after="0" w:line="360" w:lineRule="auto"/>
    </w:pPr>
    <w:rPr>
      <w:sz w:val="28"/>
    </w:rPr>
  </w:style>
  <w:style w:type="paragraph" w:customStyle="1" w:styleId="14">
    <w:name w:val="样式 首行缩进:  1 厘米 行距: 固定值 25 磅"/>
    <w:basedOn w:val="1"/>
    <w:uiPriority w:val="0"/>
    <w:pPr>
      <w:adjustRightInd w:val="0"/>
      <w:spacing w:line="440" w:lineRule="exact"/>
      <w:ind w:firstLine="480" w:firstLineChars="200"/>
      <w:textAlignment w:val="baseline"/>
    </w:pPr>
    <w:rPr>
      <w:rFonts w:ascii="宋体" w:hAnsi="宋体" w:cs="Arial"/>
      <w:kern w:val="2"/>
      <w:sz w:val="24"/>
      <w:szCs w:val="28"/>
    </w:rPr>
  </w:style>
  <w:style w:type="paragraph" w:customStyle="1" w:styleId="15">
    <w:name w:val="样式26"/>
    <w:basedOn w:val="16"/>
    <w:qFormat/>
    <w:uiPriority w:val="0"/>
    <w:pPr>
      <w:ind w:firstLine="562"/>
    </w:pPr>
    <w:rPr>
      <w:sz w:val="24"/>
    </w:rPr>
  </w:style>
  <w:style w:type="paragraph" w:customStyle="1" w:styleId="16">
    <w:name w:val="样式24"/>
    <w:basedOn w:val="4"/>
    <w:qFormat/>
    <w:uiPriority w:val="0"/>
    <w:pPr>
      <w:spacing w:before="0" w:after="0" w:line="360" w:lineRule="auto"/>
      <w:ind w:firstLine="200" w:firstLineChars="200"/>
    </w:pPr>
    <w:rPr>
      <w:sz w:val="28"/>
    </w:rPr>
  </w:style>
  <w:style w:type="paragraph" w:customStyle="1" w:styleId="17">
    <w:name w:val="样式25"/>
    <w:basedOn w:val="18"/>
    <w:qFormat/>
    <w:uiPriority w:val="0"/>
    <w:rPr>
      <w:sz w:val="24"/>
    </w:rPr>
  </w:style>
  <w:style w:type="paragraph" w:customStyle="1" w:styleId="18">
    <w:name w:val="样式20"/>
    <w:basedOn w:val="4"/>
    <w:qFormat/>
    <w:uiPriority w:val="0"/>
    <w:pPr>
      <w:spacing w:before="0" w:after="0" w:line="360" w:lineRule="auto"/>
      <w:ind w:firstLine="200" w:firstLineChars="200"/>
    </w:pPr>
  </w:style>
  <w:style w:type="paragraph" w:customStyle="1" w:styleId="19">
    <w:name w:val="样式27"/>
    <w:basedOn w:val="4"/>
    <w:qFormat/>
    <w:uiPriority w:val="0"/>
    <w:pPr>
      <w:spacing w:before="0" w:after="0" w:line="360" w:lineRule="auto"/>
      <w:ind w:firstLine="200" w:firstLineChars="200"/>
    </w:pPr>
    <w:rPr>
      <w:sz w:val="24"/>
    </w:rPr>
  </w:style>
  <w:style w:type="paragraph" w:customStyle="1" w:styleId="20">
    <w:name w:val="样式124"/>
    <w:basedOn w:val="4"/>
    <w:qFormat/>
    <w:uiPriority w:val="0"/>
    <w:pPr>
      <w:spacing w:before="0" w:after="0" w:line="360" w:lineRule="auto"/>
      <w:ind w:firstLine="200" w:firstLineChars="200"/>
    </w:pPr>
    <w:rPr>
      <w:sz w:val="24"/>
    </w:rPr>
  </w:style>
  <w:style w:type="paragraph" w:customStyle="1" w:styleId="21">
    <w:name w:val="样式30"/>
    <w:basedOn w:val="4"/>
    <w:autoRedefine/>
    <w:qFormat/>
    <w:uiPriority w:val="0"/>
    <w:pPr>
      <w:spacing w:before="0" w:after="0" w:line="360" w:lineRule="auto"/>
      <w:ind w:firstLine="200" w:firstLineChars="200"/>
    </w:pPr>
    <w:rPr>
      <w:sz w:val="24"/>
    </w:rPr>
  </w:style>
  <w:style w:type="paragraph" w:customStyle="1" w:styleId="22">
    <w:name w:val="样式54"/>
    <w:basedOn w:val="3"/>
    <w:autoRedefine/>
    <w:qFormat/>
    <w:uiPriority w:val="0"/>
    <w:pPr>
      <w:spacing w:before="0" w:after="0" w:line="360" w:lineRule="auto"/>
      <w:jc w:val="center"/>
    </w:pPr>
  </w:style>
  <w:style w:type="character" w:customStyle="1" w:styleId="23">
    <w:name w:val="正文文本 (2) + 10.5 pt"/>
    <w:autoRedefine/>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2024-07-10T12:23:00Z</dcterms:created>
  <dc:creator>宿子轩</dc:creator>
  <cp:lastModifiedBy>李娜</cp:lastModifiedBy>
  <dcterms:modified xsi:type="dcterms:W3CDTF">2024-07-11T00:32:38Z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884218D278DE4D5287E94F55C00752BF_12</vt:lpwstr>
  </property>
</Properties>
</file>