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line="240" w:lineRule="auto"/>
      </w:pPr>
      <w:bookmarkStart w:id="0" w:name="OLE_LINK1"/>
      <w:bookmarkStart w:id="17" w:name="_GoBack"/>
      <w:bookmarkEnd w:id="17"/>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7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2"/>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00" w:type="pct"/>
            <w:vAlign w:val="center"/>
          </w:tcPr>
          <w:p>
            <w:pPr>
              <w:snapToGrid w:val="0"/>
              <w:spacing w:line="320" w:lineRule="exact"/>
              <w:jc w:val="center"/>
              <w:rPr>
                <w:rFonts w:ascii="宋体" w:hAnsi="宋体"/>
                <w:szCs w:val="21"/>
              </w:rPr>
            </w:pPr>
            <w:r>
              <w:rPr>
                <w:rFonts w:hint="eastAsia" w:ascii="宋体" w:hAnsi="宋体"/>
                <w:szCs w:val="21"/>
              </w:rPr>
              <w:t>营业执照</w:t>
            </w:r>
          </w:p>
        </w:tc>
        <w:tc>
          <w:tcPr>
            <w:tcW w:w="4200" w:type="pct"/>
            <w:vAlign w:val="center"/>
          </w:tcPr>
          <w:p>
            <w:pPr>
              <w:snapToGrid w:val="0"/>
              <w:spacing w:line="320" w:lineRule="exact"/>
              <w:rPr>
                <w:rFonts w:ascii="宋体" w:hAnsi="宋体"/>
                <w:szCs w:val="21"/>
              </w:rPr>
            </w:pPr>
            <w:r>
              <w:rPr>
                <w:rFonts w:hint="eastAsia" w:ascii="宋体" w:hAnsi="宋体"/>
                <w:kern w:val="0"/>
                <w:szCs w:val="21"/>
              </w:rPr>
              <w:t>具有独立法人资格，具有有效的企业营业执照或事业单位法人证书。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00" w:type="pct"/>
            <w:vAlign w:val="center"/>
          </w:tcPr>
          <w:p>
            <w:pPr>
              <w:snapToGrid w:val="0"/>
              <w:spacing w:line="320" w:lineRule="exact"/>
              <w:jc w:val="center"/>
              <w:rPr>
                <w:rFonts w:ascii="宋体" w:hAnsi="宋体"/>
                <w:szCs w:val="21"/>
              </w:rPr>
            </w:pPr>
            <w:r>
              <w:rPr>
                <w:rFonts w:hint="eastAsia" w:ascii="宋体" w:hAnsi="宋体"/>
                <w:szCs w:val="21"/>
              </w:rPr>
              <w:t>资质条件</w:t>
            </w:r>
          </w:p>
        </w:tc>
        <w:tc>
          <w:tcPr>
            <w:tcW w:w="4200" w:type="pct"/>
            <w:vAlign w:val="center"/>
          </w:tcPr>
          <w:p>
            <w:pPr>
              <w:snapToGrid w:val="0"/>
              <w:spacing w:line="360" w:lineRule="exact"/>
              <w:rPr>
                <w:rFonts w:ascii="宋体" w:hAnsi="宋体"/>
                <w:szCs w:val="21"/>
              </w:rPr>
            </w:pPr>
            <w:r>
              <w:rPr>
                <w:rFonts w:hint="eastAsia" w:ascii="宋体" w:hAnsi="宋体"/>
                <w:szCs w:val="21"/>
              </w:rPr>
              <w:t>投标人具备交通运输主管部门颁发的公路工程甲级质量检测机构资质（或公路工程综合甲级工程试验检测机构资质）。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000" w:type="pct"/>
            <w:gridSpan w:val="2"/>
            <w:vAlign w:val="center"/>
          </w:tcPr>
          <w:p>
            <w:pPr>
              <w:snapToGrid w:val="0"/>
              <w:spacing w:line="320" w:lineRule="exact"/>
              <w:rPr>
                <w:rFonts w:ascii="宋体" w:hAnsi="宋体"/>
                <w:szCs w:val="21"/>
              </w:rPr>
            </w:pPr>
            <w:r>
              <w:rPr>
                <w:rFonts w:hint="eastAsia" w:ascii="宋体" w:hAnsi="宋体"/>
                <w:szCs w:val="21"/>
              </w:rPr>
              <w:t>以联合体形式投标的，联合体所有成员数量不得超过</w:t>
            </w:r>
            <w:r>
              <w:rPr>
                <w:rFonts w:ascii="宋体" w:hAnsi="宋体"/>
                <w:szCs w:val="21"/>
              </w:rPr>
              <w:t>2</w:t>
            </w:r>
            <w:r>
              <w:rPr>
                <w:rFonts w:hint="eastAsia" w:ascii="宋体" w:hAnsi="宋体"/>
                <w:szCs w:val="21"/>
              </w:rPr>
              <w:t>家，联合体应满足本项规定的资格条件。</w:t>
            </w:r>
          </w:p>
        </w:tc>
      </w:tr>
    </w:tbl>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6"/>
        <w:tblW w:w="913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135"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9135"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近5年(2019年6月1日至投标截止时间，以合同签订时间为准），至少完成过单车道累计里程不少于3000km（含）的高速公路技术状况定期检测项目和累计长度不少于5000延米（含）的高速公路桥梁定期检测项目和1座高速公路长隧道或特长隧道定期检测项目（含土建）业绩。</w:t>
            </w:r>
          </w:p>
          <w:p>
            <w:pPr>
              <w:snapToGrid w:val="0"/>
              <w:spacing w:line="360" w:lineRule="exact"/>
              <w:ind w:firstLine="420" w:firstLineChars="200"/>
              <w:rPr>
                <w:rFonts w:ascii="宋体" w:hAnsi="宋体"/>
                <w:kern w:val="0"/>
                <w:szCs w:val="21"/>
              </w:rPr>
            </w:pPr>
            <w:r>
              <w:rPr>
                <w:rFonts w:hint="eastAsia" w:ascii="宋体" w:hAnsi="宋体"/>
                <w:kern w:val="0"/>
                <w:szCs w:val="21"/>
              </w:rPr>
              <w:t>以联合体形式投标的，联合体应满足本项规定的资格条件。</w:t>
            </w:r>
          </w:p>
          <w:p>
            <w:pPr>
              <w:snapToGrid w:val="0"/>
              <w:spacing w:line="360" w:lineRule="exact"/>
              <w:ind w:firstLine="420" w:firstLineChars="200"/>
              <w:rPr>
                <w:rFonts w:ascii="宋体" w:hAnsi="宋体"/>
                <w:kern w:val="0"/>
                <w:szCs w:val="21"/>
              </w:rPr>
            </w:pPr>
            <w:r>
              <w:rPr>
                <w:rFonts w:hint="eastAsia" w:ascii="宋体" w:hAnsi="宋体"/>
                <w:kern w:val="0"/>
                <w:szCs w:val="21"/>
              </w:rPr>
              <w:t>注：同一业绩中同时包含路面检测、桥梁检测或隧道检测内容的可重复计算（下同）。</w:t>
            </w:r>
          </w:p>
        </w:tc>
      </w:tr>
    </w:tbl>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6"/>
        <w:tblW w:w="913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135"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135"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投标人在过去1年中（2023年6月1日至投标截止时间）不曾在高速公路检测合同中违约被驱逐或因投标人自身的原因而使合同被解除。</w:t>
            </w:r>
          </w:p>
          <w:p>
            <w:pPr>
              <w:snapToGrid w:val="0"/>
              <w:spacing w:line="360" w:lineRule="exact"/>
              <w:ind w:firstLine="420" w:firstLineChars="200"/>
            </w:pPr>
            <w:r>
              <w:rPr>
                <w:rFonts w:hint="eastAsia" w:ascii="宋体" w:hAnsi="宋体"/>
                <w:kern w:val="0"/>
                <w:szCs w:val="21"/>
              </w:rPr>
              <w:t>以联合体形式投标的，联合体各成员均应满足本项规定的资格条件。</w:t>
            </w:r>
          </w:p>
        </w:tc>
      </w:tr>
    </w:tbl>
    <w:p>
      <w:pPr>
        <w:jc w:val="center"/>
        <w:rPr>
          <w:rFonts w:ascii="宋体" w:hAnsi="宋体"/>
          <w:b/>
          <w:sz w:val="24"/>
          <w:szCs w:val="24"/>
        </w:rPr>
      </w:pPr>
    </w:p>
    <w:p>
      <w:pPr>
        <w:widowControl/>
        <w:jc w:val="left"/>
        <w:rPr>
          <w:rFonts w:ascii="宋体" w:hAnsi="宋体"/>
          <w:b/>
          <w:sz w:val="24"/>
          <w:szCs w:val="24"/>
        </w:rPr>
      </w:pPr>
      <w:r>
        <w:rPr>
          <w:rFonts w:ascii="宋体" w:hAnsi="宋体"/>
          <w:b/>
          <w:sz w:val="24"/>
          <w:szCs w:val="24"/>
        </w:rPr>
        <w:br w:type="page"/>
      </w: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资格审查条件（项目负责人、技术负责人最低要求）</w:t>
      </w:r>
    </w:p>
    <w:p>
      <w:pPr>
        <w:jc w:val="center"/>
        <w:rPr>
          <w:rFonts w:ascii="宋体" w:hAnsi="宋体"/>
          <w:b/>
          <w:sz w:val="24"/>
          <w:szCs w:val="24"/>
        </w:rPr>
      </w:pPr>
    </w:p>
    <w:tbl>
      <w:tblPr>
        <w:tblStyle w:val="6"/>
        <w:tblW w:w="912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92"/>
        <w:gridCol w:w="737"/>
        <w:gridCol w:w="6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8" w:type="dxa"/>
            <w:gridSpan w:val="2"/>
            <w:vAlign w:val="center"/>
          </w:tcPr>
          <w:p>
            <w:pPr>
              <w:jc w:val="center"/>
              <w:rPr>
                <w:rFonts w:ascii="宋体" w:hAnsi="宋体"/>
                <w:szCs w:val="21"/>
              </w:rPr>
            </w:pPr>
            <w:r>
              <w:rPr>
                <w:rFonts w:hint="eastAsia" w:ascii="宋体" w:hAnsi="宋体"/>
                <w:szCs w:val="21"/>
              </w:rPr>
              <w:t>人员</w:t>
            </w:r>
          </w:p>
        </w:tc>
        <w:tc>
          <w:tcPr>
            <w:tcW w:w="737" w:type="dxa"/>
            <w:vAlign w:val="center"/>
          </w:tcPr>
          <w:p>
            <w:pPr>
              <w:jc w:val="center"/>
              <w:rPr>
                <w:rFonts w:ascii="宋体" w:hAnsi="宋体"/>
                <w:szCs w:val="21"/>
              </w:rPr>
            </w:pPr>
            <w:r>
              <w:rPr>
                <w:rFonts w:hint="eastAsia" w:ascii="宋体" w:hAnsi="宋体"/>
                <w:szCs w:val="21"/>
              </w:rPr>
              <w:t>数量</w:t>
            </w:r>
          </w:p>
        </w:tc>
        <w:tc>
          <w:tcPr>
            <w:tcW w:w="6648"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trPr>
        <w:tc>
          <w:tcPr>
            <w:tcW w:w="1738" w:type="dxa"/>
            <w:gridSpan w:val="2"/>
            <w:vAlign w:val="center"/>
          </w:tcPr>
          <w:p>
            <w:pPr>
              <w:jc w:val="center"/>
              <w:rPr>
                <w:rFonts w:ascii="宋体" w:hAnsi="宋体"/>
                <w:szCs w:val="21"/>
              </w:rPr>
            </w:pPr>
            <w:r>
              <w:rPr>
                <w:rFonts w:hint="eastAsia" w:ascii="宋体" w:hAnsi="宋体"/>
                <w:szCs w:val="21"/>
              </w:rPr>
              <w:t>项目负责人</w:t>
            </w:r>
          </w:p>
        </w:tc>
        <w:tc>
          <w:tcPr>
            <w:tcW w:w="737" w:type="dxa"/>
            <w:vAlign w:val="center"/>
          </w:tcPr>
          <w:p>
            <w:pPr>
              <w:jc w:val="center"/>
              <w:rPr>
                <w:rFonts w:ascii="宋体" w:hAnsi="宋体"/>
                <w:szCs w:val="21"/>
              </w:rPr>
            </w:pPr>
            <w:r>
              <w:rPr>
                <w:rFonts w:hint="eastAsia" w:ascii="宋体" w:hAnsi="宋体"/>
                <w:szCs w:val="21"/>
              </w:rPr>
              <w:t>1</w:t>
            </w:r>
          </w:p>
        </w:tc>
        <w:tc>
          <w:tcPr>
            <w:tcW w:w="6648"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高级工程师；</w:t>
            </w:r>
          </w:p>
          <w:p>
            <w:pPr>
              <w:snapToGrid w:val="0"/>
              <w:spacing w:line="360" w:lineRule="exact"/>
              <w:ind w:firstLine="420" w:firstLineChars="200"/>
              <w:rPr>
                <w:rFonts w:ascii="宋体" w:hAnsi="宋体"/>
                <w:kern w:val="0"/>
                <w:szCs w:val="21"/>
              </w:rPr>
            </w:pPr>
            <w:r>
              <w:rPr>
                <w:rFonts w:hint="eastAsia" w:ascii="宋体" w:hAnsi="宋体"/>
                <w:kern w:val="0"/>
                <w:szCs w:val="21"/>
              </w:rPr>
              <w:t>具有交通运输部工程质量监督局颁发的试验检测工程师资格证书，或交通运输部职业资格中心颁发的公路水运工程试验检测师资格证书，且在“公路水运工程质量检测管理信息系统（https://www.ttiis.cn）”中进行登记；</w:t>
            </w:r>
          </w:p>
          <w:p>
            <w:pPr>
              <w:snapToGrid w:val="0"/>
              <w:spacing w:line="360" w:lineRule="exact"/>
              <w:ind w:firstLine="420" w:firstLineChars="200"/>
              <w:rPr>
                <w:rFonts w:ascii="宋体" w:hAnsi="宋体"/>
                <w:kern w:val="0"/>
                <w:szCs w:val="21"/>
              </w:rPr>
            </w:pPr>
            <w:r>
              <w:rPr>
                <w:rFonts w:hint="eastAsia" w:ascii="宋体" w:hAnsi="宋体"/>
                <w:kern w:val="0"/>
                <w:szCs w:val="21"/>
              </w:rPr>
              <w:t>近5年（2019年6月1日至投标截止时间，以合同签订时间为准）至少担任过1项高速公路技术状况定期检测项目的项目负责人。</w:t>
            </w:r>
          </w:p>
          <w:p>
            <w:pPr>
              <w:snapToGrid w:val="0"/>
              <w:spacing w:line="360" w:lineRule="exact"/>
              <w:ind w:firstLine="420" w:firstLineChars="200"/>
            </w:pPr>
            <w:r>
              <w:rPr>
                <w:rFonts w:hint="eastAsia" w:ascii="宋体" w:hAnsi="宋体"/>
                <w:kern w:val="0"/>
                <w:szCs w:val="21"/>
              </w:rPr>
              <w:t>以联合体形式投标的，项目负责人应由联合体牵头单位委派。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846" w:type="dxa"/>
            <w:vMerge w:val="restart"/>
            <w:vAlign w:val="center"/>
          </w:tcPr>
          <w:p>
            <w:pPr>
              <w:jc w:val="center"/>
              <w:rPr>
                <w:rFonts w:ascii="宋体" w:hAnsi="宋体"/>
                <w:szCs w:val="21"/>
              </w:rPr>
            </w:pPr>
            <w:r>
              <w:rPr>
                <w:rFonts w:hint="eastAsia" w:ascii="宋体" w:hAnsi="宋体"/>
                <w:szCs w:val="21"/>
              </w:rPr>
              <w:t>技术负责人</w:t>
            </w:r>
          </w:p>
        </w:tc>
        <w:tc>
          <w:tcPr>
            <w:tcW w:w="892" w:type="dxa"/>
            <w:vAlign w:val="center"/>
          </w:tcPr>
          <w:p>
            <w:pPr>
              <w:jc w:val="center"/>
              <w:rPr>
                <w:rFonts w:ascii="宋体" w:hAnsi="宋体"/>
                <w:szCs w:val="21"/>
              </w:rPr>
            </w:pPr>
            <w:r>
              <w:rPr>
                <w:rFonts w:hint="eastAsia" w:ascii="宋体" w:hAnsi="宋体"/>
                <w:kern w:val="0"/>
                <w:szCs w:val="21"/>
              </w:rPr>
              <w:t>检测技术负责人</w:t>
            </w:r>
          </w:p>
        </w:tc>
        <w:tc>
          <w:tcPr>
            <w:tcW w:w="737" w:type="dxa"/>
            <w:vAlign w:val="center"/>
          </w:tcPr>
          <w:p>
            <w:pPr>
              <w:jc w:val="center"/>
              <w:rPr>
                <w:rFonts w:ascii="宋体" w:hAnsi="宋体"/>
                <w:szCs w:val="21"/>
              </w:rPr>
            </w:pPr>
            <w:r>
              <w:rPr>
                <w:rFonts w:hint="eastAsia" w:ascii="宋体" w:hAnsi="宋体"/>
                <w:szCs w:val="21"/>
              </w:rPr>
              <w:t>1</w:t>
            </w:r>
          </w:p>
        </w:tc>
        <w:tc>
          <w:tcPr>
            <w:tcW w:w="6648"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高级工程师；</w:t>
            </w:r>
          </w:p>
          <w:p>
            <w:pPr>
              <w:snapToGrid w:val="0"/>
              <w:spacing w:line="360" w:lineRule="exact"/>
              <w:ind w:firstLine="420" w:firstLineChars="200"/>
              <w:rPr>
                <w:rFonts w:ascii="宋体" w:hAnsi="宋体"/>
                <w:kern w:val="0"/>
                <w:szCs w:val="21"/>
              </w:rPr>
            </w:pPr>
            <w:r>
              <w:rPr>
                <w:rFonts w:hint="eastAsia" w:ascii="宋体" w:hAnsi="宋体"/>
                <w:kern w:val="0"/>
                <w:szCs w:val="21"/>
              </w:rPr>
              <w:t>具有交通运输部工程质量监督局颁发的试验检测工程师资格证书，或交通运输部职业资格中心颁发的公路水运工程试验检测师资格证书；且在“公路水运工程质量检测管理信息系统（https://www.ttiis.cn）”中进行登记。</w:t>
            </w:r>
          </w:p>
          <w:p>
            <w:pPr>
              <w:snapToGrid w:val="0"/>
              <w:spacing w:line="360" w:lineRule="exact"/>
              <w:ind w:firstLine="420" w:firstLineChars="200"/>
              <w:rPr>
                <w:rFonts w:ascii="宋体" w:hAnsi="宋体"/>
                <w:kern w:val="0"/>
                <w:szCs w:val="21"/>
              </w:rPr>
            </w:pPr>
            <w:r>
              <w:rPr>
                <w:rFonts w:hint="eastAsia" w:ascii="宋体" w:hAnsi="宋体"/>
                <w:kern w:val="0"/>
                <w:szCs w:val="21"/>
              </w:rPr>
              <w:t>近5年（2019年6月1日至投标截止时间，以合同签订时间为准），至少担任过1项高速公路技术状况定期检测项目（路面或桥梁或隧道）的技术负责人（或项目负责人）；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846" w:type="dxa"/>
            <w:vMerge w:val="continue"/>
            <w:vAlign w:val="center"/>
          </w:tcPr>
          <w:p>
            <w:pPr>
              <w:jc w:val="center"/>
              <w:rPr>
                <w:rFonts w:ascii="宋体" w:hAnsi="宋体"/>
                <w:szCs w:val="21"/>
              </w:rPr>
            </w:pPr>
          </w:p>
        </w:tc>
        <w:tc>
          <w:tcPr>
            <w:tcW w:w="892" w:type="dxa"/>
            <w:vAlign w:val="center"/>
          </w:tcPr>
          <w:p>
            <w:pPr>
              <w:jc w:val="center"/>
              <w:rPr>
                <w:rFonts w:ascii="宋体" w:hAnsi="宋体"/>
                <w:szCs w:val="21"/>
              </w:rPr>
            </w:pPr>
            <w:r>
              <w:rPr>
                <w:rFonts w:hint="eastAsia" w:ascii="宋体" w:hAnsi="宋体"/>
                <w:szCs w:val="21"/>
              </w:rPr>
              <w:t>路面数据处理及养护决策技术负责人</w:t>
            </w:r>
          </w:p>
        </w:tc>
        <w:tc>
          <w:tcPr>
            <w:tcW w:w="737" w:type="dxa"/>
            <w:vAlign w:val="center"/>
          </w:tcPr>
          <w:p>
            <w:pPr>
              <w:jc w:val="center"/>
              <w:rPr>
                <w:rFonts w:ascii="宋体" w:hAnsi="宋体"/>
                <w:szCs w:val="21"/>
              </w:rPr>
            </w:pPr>
            <w:r>
              <w:rPr>
                <w:rFonts w:hint="eastAsia" w:ascii="宋体" w:hAnsi="宋体"/>
                <w:szCs w:val="21"/>
              </w:rPr>
              <w:t>1</w:t>
            </w:r>
          </w:p>
        </w:tc>
        <w:tc>
          <w:tcPr>
            <w:tcW w:w="6648"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高级工程师；</w:t>
            </w:r>
          </w:p>
          <w:p>
            <w:pPr>
              <w:snapToGrid w:val="0"/>
              <w:spacing w:line="360" w:lineRule="exact"/>
              <w:ind w:firstLine="420" w:firstLineChars="200"/>
              <w:rPr>
                <w:rFonts w:ascii="宋体" w:hAnsi="宋体"/>
                <w:kern w:val="0"/>
                <w:szCs w:val="21"/>
              </w:rPr>
            </w:pPr>
            <w:r>
              <w:rPr>
                <w:rFonts w:hint="eastAsia" w:ascii="宋体" w:hAnsi="宋体"/>
                <w:kern w:val="0"/>
                <w:szCs w:val="21"/>
              </w:rPr>
              <w:t>近5年（2019年6月1日至投标截止时间，以合同签订时间为准），至少担任过1项高速公路定期检测项目（包含路面数据处理及养护决策分析）的技术负责人（或项目负责人）。</w:t>
            </w:r>
          </w:p>
        </w:tc>
      </w:tr>
    </w:tbl>
    <w:p>
      <w:pPr>
        <w:snapToGrid w:val="0"/>
        <w:spacing w:line="360" w:lineRule="auto"/>
        <w:ind w:firstLine="448" w:firstLineChars="200"/>
        <w:rPr>
          <w:rFonts w:ascii="黑体" w:eastAsia="黑体"/>
          <w:spacing w:val="-8"/>
          <w:sz w:val="24"/>
          <w:szCs w:val="24"/>
        </w:rPr>
      </w:pPr>
      <w:r>
        <w:rPr>
          <w:rFonts w:ascii="黑体" w:eastAsia="黑体"/>
          <w:spacing w:val="-8"/>
          <w:sz w:val="24"/>
          <w:szCs w:val="24"/>
        </w:rPr>
        <w:br w:type="page"/>
      </w:r>
      <w:bookmarkStart w:id="1" w:name="_Toc141780407"/>
      <w:bookmarkStart w:id="2" w:name="_Toc145426379"/>
      <w:bookmarkStart w:id="3" w:name="_Toc146031774"/>
      <w:bookmarkStart w:id="4" w:name="_Toc4046"/>
    </w:p>
    <w:p>
      <w:pPr>
        <w:pStyle w:val="2"/>
        <w:snapToGrid w:val="0"/>
        <w:spacing w:before="156" w:beforeLines="50" w:after="156" w:afterLines="50" w:line="240" w:lineRule="auto"/>
        <w:rPr>
          <w:rFonts w:ascii="宋体" w:hAnsi="宋体"/>
          <w:sz w:val="24"/>
          <w:szCs w:val="24"/>
        </w:rPr>
      </w:pPr>
      <w:bookmarkStart w:id="5" w:name="_Toc169637958"/>
      <w:r>
        <w:rPr>
          <w:rFonts w:hint="eastAsia" w:ascii="宋体" w:hAnsi="宋体"/>
          <w:sz w:val="24"/>
          <w:szCs w:val="24"/>
        </w:rPr>
        <w:t>附件2：评标办法</w:t>
      </w:r>
      <w:bookmarkEnd w:id="1"/>
      <w:bookmarkEnd w:id="2"/>
      <w:bookmarkEnd w:id="3"/>
      <w:bookmarkEnd w:id="4"/>
      <w:bookmarkEnd w:id="5"/>
    </w:p>
    <w:p>
      <w:pPr>
        <w:pStyle w:val="2"/>
        <w:snapToGrid w:val="0"/>
        <w:spacing w:before="120" w:after="120" w:line="240" w:lineRule="auto"/>
        <w:rPr>
          <w:sz w:val="24"/>
          <w:szCs w:val="24"/>
        </w:rPr>
      </w:pPr>
      <w:bookmarkStart w:id="6" w:name="_Toc141780408"/>
      <w:bookmarkStart w:id="7" w:name="_Toc145426380"/>
      <w:bookmarkStart w:id="8" w:name="_Toc66337244"/>
      <w:bookmarkStart w:id="9" w:name="_Toc138793770"/>
      <w:bookmarkStart w:id="10" w:name="_Toc66984522"/>
      <w:bookmarkStart w:id="11" w:name="_Toc65857110"/>
      <w:bookmarkStart w:id="12" w:name="_Toc146031775"/>
      <w:bookmarkStart w:id="13" w:name="_Toc10623"/>
      <w:bookmarkStart w:id="14" w:name="_Toc65820978"/>
      <w:bookmarkStart w:id="15" w:name="_Toc169637959"/>
      <w:r>
        <w:rPr>
          <w:rFonts w:hint="eastAsia"/>
          <w:sz w:val="24"/>
          <w:szCs w:val="24"/>
        </w:rPr>
        <w:t>评标办法前附表</w:t>
      </w:r>
      <w:bookmarkEnd w:id="0"/>
      <w:bookmarkEnd w:id="6"/>
      <w:bookmarkEnd w:id="7"/>
      <w:bookmarkEnd w:id="8"/>
      <w:bookmarkEnd w:id="9"/>
      <w:bookmarkEnd w:id="10"/>
      <w:bookmarkEnd w:id="11"/>
      <w:bookmarkEnd w:id="12"/>
      <w:bookmarkEnd w:id="13"/>
      <w:bookmarkEnd w:id="14"/>
      <w:bookmarkEnd w:id="15"/>
      <w:bookmarkStart w:id="16" w:name="_Hlk144505320"/>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102"/>
        <w:gridCol w:w="7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8" w:type="pct"/>
            <w:gridSpan w:val="2"/>
            <w:vAlign w:val="center"/>
          </w:tcPr>
          <w:p>
            <w:pPr>
              <w:jc w:val="center"/>
              <w:rPr>
                <w:rFonts w:ascii="宋体" w:hAnsi="宋体"/>
              </w:rPr>
            </w:pPr>
            <w:r>
              <w:rPr>
                <w:rFonts w:hint="eastAsia" w:ascii="宋体" w:hAnsi="宋体"/>
              </w:rPr>
              <w:t>条款号</w:t>
            </w:r>
          </w:p>
        </w:tc>
        <w:tc>
          <w:tcPr>
            <w:tcW w:w="3981" w:type="pct"/>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hint="eastAsia" w:ascii="宋体" w:hAnsi="宋体"/>
              </w:rPr>
              <w:t>1</w:t>
            </w:r>
          </w:p>
        </w:tc>
        <w:tc>
          <w:tcPr>
            <w:tcW w:w="589" w:type="pct"/>
            <w:vAlign w:val="center"/>
          </w:tcPr>
          <w:p>
            <w:pPr>
              <w:jc w:val="center"/>
              <w:rPr>
                <w:rFonts w:ascii="宋体" w:hAnsi="宋体"/>
              </w:rPr>
            </w:pPr>
            <w:r>
              <w:rPr>
                <w:rFonts w:hint="eastAsia" w:ascii="宋体" w:hAnsi="宋体"/>
              </w:rPr>
              <w:t>评标方法</w:t>
            </w:r>
          </w:p>
        </w:tc>
        <w:tc>
          <w:tcPr>
            <w:tcW w:w="3981" w:type="pct"/>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589" w:type="pct"/>
            <w:vAlign w:val="center"/>
          </w:tcPr>
          <w:p>
            <w:pPr>
              <w:jc w:val="center"/>
              <w:rPr>
                <w:rFonts w:ascii="宋体" w:hAnsi="宋体"/>
              </w:rPr>
            </w:pPr>
            <w:r>
              <w:rPr>
                <w:rFonts w:hint="eastAsia" w:ascii="宋体" w:hAnsi="宋体"/>
              </w:rPr>
              <w:t>形式评审与响应性评审标准</w:t>
            </w:r>
          </w:p>
        </w:tc>
        <w:tc>
          <w:tcPr>
            <w:tcW w:w="3981" w:type="pct"/>
          </w:tcPr>
          <w:p>
            <w:pPr>
              <w:tabs>
                <w:tab w:val="left" w:pos="3060"/>
              </w:tabs>
              <w:spacing w:line="320" w:lineRule="exact"/>
              <w:rPr>
                <w:rFonts w:ascii="宋体" w:hAnsi="宋体"/>
                <w:b/>
                <w:szCs w:val="21"/>
              </w:rPr>
            </w:pPr>
            <w:r>
              <w:rPr>
                <w:rFonts w:hint="eastAsia" w:ascii="宋体" w:hAnsi="宋体"/>
                <w:b/>
                <w:szCs w:val="21"/>
              </w:rPr>
              <w:t>第一个信封（商务文件）评审标准：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a．投标函按招标文件规定填报了招标人名称、项目名称、补遗书编号（如有）、项目负责人、技术负责人相关信息、质量要求、安全目标、服务期限等内容；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szCs w:val="21"/>
              </w:rPr>
            </w:pPr>
            <w:r>
              <w:rPr>
                <w:rFonts w:hint="eastAsia" w:ascii="宋体" w:hAnsi="宋体" w:cs="宋体"/>
                <w:szCs w:val="21"/>
              </w:rPr>
              <w:t>（3）投标人按照招标文件的规定提供了投标保证金，满足招标文件投标人须知前附表第3.4.1款。</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）投标人法定代表人授权委托代理人签署投标文件的，须提交授权委托书，授权委托书符合招标文件规定。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）投标人法定代表人亲自签署投标文件的，提供了法定代表人身份证明，法定代表人身份证明符合招标文件规定。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（6）投标人以联合体形式投标时，联合体满足招标文件投标人须知1.4.2款的要求。</w:t>
            </w:r>
          </w:p>
          <w:p>
            <w:pPr>
              <w:tabs>
                <w:tab w:val="left" w:pos="3060"/>
              </w:tabs>
              <w:spacing w:line="320" w:lineRule="exact"/>
              <w:ind w:firstLine="210" w:firstLineChars="100"/>
              <w:rPr>
                <w:rFonts w:ascii="宋体" w:hAnsi="宋体"/>
                <w:szCs w:val="21"/>
              </w:rPr>
            </w:pPr>
            <w:r>
              <w:rPr>
                <w:rFonts w:hint="eastAsia" w:ascii="宋体" w:hAnsi="宋体"/>
                <w:szCs w:val="21"/>
              </w:rPr>
              <w:t>（7）</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（8）投标人未提交两个以上不同的投标文件。</w:t>
            </w:r>
          </w:p>
          <w:p>
            <w:pPr>
              <w:tabs>
                <w:tab w:val="left" w:pos="3060"/>
              </w:tabs>
              <w:spacing w:line="320" w:lineRule="exact"/>
              <w:ind w:firstLine="210" w:firstLineChars="100"/>
              <w:rPr>
                <w:rFonts w:ascii="宋体" w:hAnsi="宋体"/>
                <w:szCs w:val="21"/>
              </w:rPr>
            </w:pPr>
            <w:r>
              <w:rPr>
                <w:rFonts w:hint="eastAsia" w:ascii="宋体" w:hAnsi="宋体"/>
                <w:szCs w:val="21"/>
              </w:rPr>
              <w:t>（9）投标文件中未出现有关投标报价的内容。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（10）投标文件载明的招标项目完成期限未超过招标文件规定的时限。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1）投标文件对招标文件的实质性要求和条件作出响应。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2）权利义务符合招标文件规定：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1" w:firstLineChars="100"/>
              <w:rPr>
                <w:rFonts w:ascii="宋体" w:hAnsi="宋体"/>
                <w:b/>
                <w:szCs w:val="21"/>
              </w:rPr>
            </w:pPr>
          </w:p>
          <w:p>
            <w:pPr>
              <w:tabs>
                <w:tab w:val="left" w:pos="3060"/>
              </w:tabs>
              <w:spacing w:line="320" w:lineRule="exact"/>
              <w:ind w:firstLine="211" w:firstLineChars="100"/>
              <w:rPr>
                <w:rFonts w:ascii="宋体" w:hAnsi="宋体"/>
                <w:szCs w:val="21"/>
              </w:rPr>
            </w:pPr>
            <w:r>
              <w:rPr>
                <w:rFonts w:hint="eastAsia" w:ascii="宋体" w:hAnsi="宋体"/>
                <w:b/>
                <w:szCs w:val="21"/>
              </w:rPr>
              <w:t>第一个信封（技术文件）评审标准：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（1）技术建议书（暗标）的编制符合招标文件第二章“投标人须知”第10.2款的规定。</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a．投标函按招标文件规定填报了招标人名称、项目名称、补遗书编号（如有）、投标报价（包括大写金额和小写金额）；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）投标报价及各分项报价均未超过招标文件设定的最高投标限价。</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）投标报价中报价的大写金额能够确定具体数值。</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）投标人未提交两个以上不同的投标报价。</w:t>
            </w:r>
          </w:p>
          <w:p>
            <w:pPr>
              <w:tabs>
                <w:tab w:val="left" w:pos="3060"/>
              </w:tabs>
              <w:spacing w:line="320" w:lineRule="exact"/>
              <w:ind w:firstLine="205" w:firstLineChars="98"/>
              <w:rPr>
                <w:rFonts w:ascii="宋体" w:hAnsi="宋体"/>
                <w:b/>
                <w:szCs w:val="21"/>
              </w:rPr>
            </w:pPr>
            <w:r>
              <w:rPr>
                <w:rFonts w:hint="eastAsia" w:ascii="宋体" w:hAnsi="宋体"/>
                <w:bCs/>
                <w:szCs w:val="21"/>
              </w:rPr>
              <w:t>（6）</w:t>
            </w:r>
            <w:r>
              <w:rPr>
                <w:rFonts w:hint="eastAsia" w:ascii="宋体" w:hAnsi="宋体"/>
                <w:szCs w:val="21"/>
              </w:rPr>
              <w:t>检测服务费用清单</w:t>
            </w:r>
            <w:r>
              <w:rPr>
                <w:rFonts w:hint="eastAsia" w:ascii="宋体" w:hAnsi="宋体"/>
                <w:bCs/>
                <w:szCs w:val="21"/>
              </w:rPr>
              <w:t>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425" w:type="pct"/>
            <w:vAlign w:val="center"/>
          </w:tcPr>
          <w:p>
            <w:pPr>
              <w:jc w:val="center"/>
              <w:rPr>
                <w:rFonts w:ascii="宋体" w:hAnsi="宋体"/>
              </w:rPr>
            </w:pPr>
            <w:r>
              <w:rPr>
                <w:rFonts w:ascii="宋体" w:hAnsi="宋体"/>
              </w:rPr>
              <w:t>2.1.2</w:t>
            </w:r>
          </w:p>
        </w:tc>
        <w:tc>
          <w:tcPr>
            <w:tcW w:w="589" w:type="pct"/>
            <w:vAlign w:val="center"/>
          </w:tcPr>
          <w:p>
            <w:pPr>
              <w:jc w:val="center"/>
              <w:rPr>
                <w:rFonts w:ascii="宋体" w:hAnsi="宋体"/>
              </w:rPr>
            </w:pPr>
            <w:r>
              <w:rPr>
                <w:rFonts w:hint="eastAsia" w:ascii="宋体" w:hAnsi="宋体"/>
              </w:rPr>
              <w:t>资格评审标准</w:t>
            </w:r>
          </w:p>
        </w:tc>
        <w:tc>
          <w:tcPr>
            <w:tcW w:w="3981" w:type="pct"/>
          </w:tcPr>
          <w:p>
            <w:pPr>
              <w:tabs>
                <w:tab w:val="left" w:pos="3060"/>
              </w:tabs>
              <w:spacing w:line="320" w:lineRule="exact"/>
              <w:ind w:firstLine="105" w:firstLineChars="50"/>
              <w:rPr>
                <w:rFonts w:ascii="宋体" w:hAnsi="宋体"/>
                <w:szCs w:val="21"/>
              </w:rPr>
            </w:pPr>
            <w:r>
              <w:rPr>
                <w:rFonts w:hint="eastAsia" w:ascii="宋体" w:hAnsi="宋体"/>
                <w:szCs w:val="21"/>
              </w:rPr>
              <w:t>（1）投标人具备有效的营业执照</w:t>
            </w:r>
            <w:r>
              <w:rPr>
                <w:rFonts w:hint="eastAsia" w:ascii="宋体" w:hAnsi="宋体"/>
                <w:bCs/>
              </w:rPr>
              <w:t>（或事业单位法人证书）</w:t>
            </w:r>
            <w:r>
              <w:rPr>
                <w:rFonts w:hint="eastAsia" w:ascii="宋体" w:hAnsi="宋体"/>
                <w:szCs w:val="21"/>
              </w:rPr>
              <w:t>、资质证书和基本账户开户许可证（或基本存款账户信息）；</w:t>
            </w:r>
          </w:p>
          <w:p>
            <w:pPr>
              <w:tabs>
                <w:tab w:val="left" w:pos="3060"/>
              </w:tabs>
              <w:spacing w:line="320" w:lineRule="exact"/>
              <w:ind w:firstLine="105" w:firstLineChars="50"/>
              <w:rPr>
                <w:rFonts w:ascii="宋体" w:hAnsi="宋体"/>
                <w:szCs w:val="21"/>
              </w:rPr>
            </w:pPr>
            <w:r>
              <w:rPr>
                <w:rFonts w:hint="eastAsia" w:ascii="宋体" w:hAnsi="宋体"/>
                <w:szCs w:val="21"/>
              </w:rPr>
              <w:t>（2）投标人的资质等级符合招标文件规定；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（4）投标人的信誉符合招标文件规定；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 xml:space="preserve">（5）投标人的项目负责人、技术负责人资格符合招标文件规定； </w:t>
            </w:r>
          </w:p>
          <w:p>
            <w:pPr>
              <w:tabs>
                <w:tab w:val="left" w:pos="3060"/>
              </w:tabs>
              <w:spacing w:line="320" w:lineRule="exact"/>
              <w:ind w:firstLine="105" w:firstLineChars="50"/>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20" w:lineRule="exact"/>
              <w:ind w:firstLine="105" w:firstLineChars="50"/>
              <w:rPr>
                <w:rFonts w:ascii="宋体" w:hAnsi="宋体"/>
                <w:szCs w:val="21"/>
              </w:rPr>
            </w:pPr>
            <w:r>
              <w:rPr>
                <w:rFonts w:hint="eastAsia" w:ascii="宋体" w:hAnsi="宋体"/>
                <w:szCs w:val="21"/>
              </w:rPr>
              <w:t>（7）投标人符合第二章“投标人须知”第1.4.5项规定。</w:t>
            </w:r>
          </w:p>
          <w:p>
            <w:pPr>
              <w:tabs>
                <w:tab w:val="left" w:pos="3060"/>
              </w:tabs>
              <w:spacing w:line="320" w:lineRule="exact"/>
              <w:ind w:firstLine="105" w:firstLineChars="50"/>
              <w:rPr>
                <w:rFonts w:ascii="宋体" w:hAnsi="宋体"/>
                <w:szCs w:val="21"/>
              </w:rPr>
            </w:pPr>
            <w:r>
              <w:rPr>
                <w:rFonts w:hint="eastAsia" w:ascii="宋体" w:hAnsi="宋体"/>
                <w:szCs w:val="21"/>
              </w:rPr>
              <w:t>（8）以联合体形式参与投标的，联合体各方均未再以自己名义单独或参加其他联合体的投标。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2.2.1</w:t>
            </w:r>
          </w:p>
        </w:tc>
        <w:tc>
          <w:tcPr>
            <w:tcW w:w="589" w:type="pct"/>
            <w:vAlign w:val="center"/>
          </w:tcPr>
          <w:p>
            <w:pPr>
              <w:jc w:val="center"/>
              <w:rPr>
                <w:rFonts w:ascii="宋体" w:hAnsi="宋体"/>
              </w:rPr>
            </w:pPr>
            <w:r>
              <w:rPr>
                <w:rFonts w:hint="eastAsia" w:ascii="宋体" w:hAnsi="宋体"/>
              </w:rPr>
              <w:t>分值构成（总分100分）</w:t>
            </w:r>
          </w:p>
        </w:tc>
        <w:tc>
          <w:tcPr>
            <w:tcW w:w="3981" w:type="pct"/>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技术建议书（暗标）：</w:t>
            </w:r>
            <w:r>
              <w:rPr>
                <w:rFonts w:hint="eastAsia" w:ascii="宋体" w:hAnsi="宋体"/>
                <w:b/>
                <w:u w:val="single"/>
              </w:rPr>
              <w:t>50</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20</w:t>
            </w:r>
            <w:r>
              <w:rPr>
                <w:rFonts w:hint="eastAsia" w:ascii="宋体" w:hAnsi="宋体"/>
                <w:b/>
              </w:rPr>
              <w:t>分（业绩20分）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2.2.2</w:t>
            </w:r>
          </w:p>
        </w:tc>
        <w:tc>
          <w:tcPr>
            <w:tcW w:w="589" w:type="pct"/>
            <w:vAlign w:val="center"/>
          </w:tcPr>
          <w:p>
            <w:pPr>
              <w:jc w:val="center"/>
              <w:rPr>
                <w:rFonts w:ascii="宋体" w:hAnsi="宋体"/>
              </w:rPr>
            </w:pPr>
            <w:r>
              <w:rPr>
                <w:rFonts w:hint="eastAsia" w:ascii="宋体" w:hAnsi="宋体"/>
              </w:rPr>
              <w:t>评标基准价计算方法</w:t>
            </w:r>
          </w:p>
        </w:tc>
        <w:tc>
          <w:tcPr>
            <w:tcW w:w="3981" w:type="pct"/>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05"/>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05"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05"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05"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05"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05" w:firstLine="426" w:firstLineChars="203"/>
              <w:rPr>
                <w:rFonts w:ascii="宋体" w:hAnsi="宋体"/>
                <w:szCs w:val="21"/>
              </w:rPr>
            </w:pPr>
            <w:r>
              <w:rPr>
                <w:rFonts w:hint="eastAsia" w:ascii="宋体" w:hAnsi="宋体"/>
                <w:szCs w:val="21"/>
              </w:rPr>
              <w:t>（3）评标基准价的确定：</w:t>
            </w:r>
          </w:p>
          <w:p>
            <w:pPr>
              <w:snapToGrid w:val="0"/>
              <w:spacing w:line="320" w:lineRule="exact"/>
              <w:ind w:right="-105"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2.2.3</w:t>
            </w:r>
          </w:p>
        </w:tc>
        <w:tc>
          <w:tcPr>
            <w:tcW w:w="589" w:type="pct"/>
            <w:vAlign w:val="center"/>
          </w:tcPr>
          <w:p>
            <w:pPr>
              <w:jc w:val="center"/>
              <w:rPr>
                <w:rFonts w:ascii="宋体" w:hAnsi="宋体"/>
              </w:rPr>
            </w:pPr>
            <w:r>
              <w:rPr>
                <w:rFonts w:hint="eastAsia" w:ascii="宋体" w:hAnsi="宋体"/>
              </w:rPr>
              <w:t>评标价的偏差率计算公式</w:t>
            </w:r>
          </w:p>
        </w:tc>
        <w:tc>
          <w:tcPr>
            <w:tcW w:w="3981" w:type="pct"/>
            <w:vAlign w:val="center"/>
          </w:tcPr>
          <w:p>
            <w:pPr>
              <w:jc w:val="left"/>
              <w:rPr>
                <w:rFonts w:ascii="宋体" w:hAnsi="宋体"/>
              </w:rPr>
            </w:pPr>
            <w:r>
              <w:rPr>
                <w:rFonts w:hint="eastAsia" w:ascii="宋体" w:hAnsi="宋体"/>
              </w:rPr>
              <w:t>偏差率=100%×（投标人评标价-评标基准价）／评标基准价</w:t>
            </w:r>
          </w:p>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szCs w:val="21"/>
              </w:rPr>
            </w:pPr>
            <w:r>
              <w:rPr>
                <w:rFonts w:hint="eastAsia" w:ascii="宋体" w:hAnsi="宋体"/>
              </w:rPr>
              <w:t>3</w:t>
            </w:r>
            <w:r>
              <w:rPr>
                <w:rFonts w:ascii="宋体" w:hAnsi="宋体"/>
              </w:rPr>
              <w:t>.6.1</w:t>
            </w:r>
          </w:p>
        </w:tc>
        <w:tc>
          <w:tcPr>
            <w:tcW w:w="589" w:type="pct"/>
            <w:vAlign w:val="center"/>
          </w:tcPr>
          <w:p>
            <w:pPr>
              <w:adjustRightInd w:val="0"/>
              <w:snapToGrid w:val="0"/>
              <w:spacing w:line="300" w:lineRule="exact"/>
              <w:jc w:val="center"/>
              <w:rPr>
                <w:rFonts w:ascii="宋体" w:hAnsi="宋体"/>
              </w:rPr>
            </w:pPr>
            <w:r>
              <w:rPr>
                <w:rFonts w:hint="eastAsia" w:ascii="宋体" w:hAnsi="宋体"/>
              </w:rPr>
              <w:t>信息查询</w:t>
            </w:r>
          </w:p>
        </w:tc>
        <w:tc>
          <w:tcPr>
            <w:tcW w:w="3981" w:type="pct"/>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（1）投标人名称和资质与“公路水运工程质量检测管理信息系统（https://www.ttiis.cn）”的复核结果一致；</w:t>
            </w:r>
          </w:p>
          <w:p>
            <w:pPr>
              <w:autoSpaceDE w:val="0"/>
              <w:autoSpaceDN w:val="0"/>
              <w:spacing w:line="273" w:lineRule="auto"/>
              <w:ind w:firstLine="420" w:firstLineChars="200"/>
              <w:rPr>
                <w:rFonts w:ascii="宋体" w:hAnsi="宋体"/>
              </w:rPr>
            </w:pPr>
            <w:r>
              <w:rPr>
                <w:rFonts w:hint="eastAsia" w:ascii="宋体" w:hAnsi="宋体"/>
              </w:rPr>
              <w:t>（2）投标人信用情况网页截图内容与在“国家企业信用信息公示系统”中严重违法失信企业名单或在“信用中国”网站中列入失信被执行人、经营异常名录、重大税收违法失信主体、政府采购严重违法失信行为记录名单、安全生产严重失信主体名单的复核结果一致。</w:t>
            </w:r>
          </w:p>
          <w:p>
            <w:pPr>
              <w:autoSpaceDE w:val="0"/>
              <w:autoSpaceDN w:val="0"/>
              <w:spacing w:line="273" w:lineRule="auto"/>
              <w:ind w:firstLine="420" w:firstLineChars="200"/>
              <w:rPr>
                <w:rFonts w:ascii="宋体" w:hAnsi="宋体"/>
              </w:rPr>
            </w:pPr>
            <w:r>
              <w:rPr>
                <w:rFonts w:hint="eastAsia" w:ascii="宋体" w:hAnsi="宋体"/>
              </w:rPr>
              <w:t>上述（1）、（2）项如投标人未提供相关网页截图或所附截图与复核结果不一致，评标委员会应否决其投标。</w:t>
            </w:r>
          </w:p>
          <w:p>
            <w:pPr>
              <w:autoSpaceDE w:val="0"/>
              <w:autoSpaceDN w:val="0"/>
              <w:spacing w:line="273" w:lineRule="auto"/>
              <w:ind w:firstLine="420" w:firstLineChars="200"/>
              <w:rPr>
                <w:rFonts w:ascii="宋体" w:hAnsi="宋体"/>
              </w:rPr>
            </w:pPr>
            <w:r>
              <w:rPr>
                <w:rFonts w:hint="eastAsia" w:ascii="宋体" w:hAnsi="宋体"/>
              </w:rPr>
              <w:t>（3）投标人所附项目负责人、技术负责人试验检测师（或试验检测工程师）的网页截图复印件与“公路水运工程质量检测管理信息系统（https://www.ttiis.cn）”核查的结果一致（适用于具有公路工程质量检测机构资质或试验检测机构资质的单位）。</w:t>
            </w:r>
          </w:p>
          <w:p>
            <w:pPr>
              <w:autoSpaceDE w:val="0"/>
              <w:autoSpaceDN w:val="0"/>
              <w:spacing w:line="273" w:lineRule="auto"/>
              <w:ind w:firstLine="420" w:firstLineChars="200"/>
              <w:rPr>
                <w:rFonts w:ascii="宋体" w:hAnsi="宋体"/>
              </w:rPr>
            </w:pPr>
            <w:r>
              <w:rPr>
                <w:rFonts w:hint="eastAsia" w:ascii="宋体" w:hAnsi="宋体"/>
              </w:rPr>
              <w:t>如投标人未提供相关网页截图或相关网页截图中的信息无法证实投标人满足招标文件规定的资格审查条件或网页截图与的核查结果不一致，则相关内容不予认定。</w:t>
            </w:r>
          </w:p>
          <w:p>
            <w:pPr>
              <w:autoSpaceDE w:val="0"/>
              <w:autoSpaceDN w:val="0"/>
              <w:spacing w:line="273" w:lineRule="auto"/>
              <w:ind w:firstLine="420" w:firstLineChars="200"/>
              <w:rPr>
                <w:rFonts w:ascii="宋体" w:hAnsi="宋体"/>
              </w:rPr>
            </w:pPr>
            <w:r>
              <w:rPr>
                <w:rFonts w:hint="eastAsia" w:ascii="宋体" w:hAnsi="宋体"/>
              </w:rPr>
              <w:t>（4）评标委员会在评标时按照投标人提供的验证方式对电子保函或电子保证保险进行验证。如投标人未提供电子保函或电子保证保险的验证方式，或根据提供的验证方式无法核实的，评标委员会应否决其投标。</w:t>
            </w:r>
          </w:p>
          <w:p>
            <w:pPr>
              <w:autoSpaceDE w:val="0"/>
              <w:autoSpaceDN w:val="0"/>
              <w:spacing w:line="273" w:lineRule="auto"/>
              <w:ind w:firstLine="420" w:firstLineChars="200"/>
              <w:rPr>
                <w:rFonts w:ascii="宋体" w:hAnsi="宋体"/>
              </w:rPr>
            </w:pPr>
            <w:r>
              <w:rPr>
                <w:rFonts w:hint="eastAsia" w:ascii="宋体" w:hAnsi="宋体"/>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vAlign w:val="center"/>
          </w:tcPr>
          <w:p>
            <w:pPr>
              <w:spacing w:line="340" w:lineRule="exact"/>
              <w:ind w:right="-105"/>
              <w:rPr>
                <w:rFonts w:ascii="宋体" w:hAnsi="宋体"/>
                <w:bCs/>
                <w:szCs w:val="21"/>
              </w:rPr>
            </w:pPr>
            <w:r>
              <w:rPr>
                <w:rFonts w:hint="eastAsia" w:ascii="宋体" w:hAnsi="宋体"/>
                <w:szCs w:val="21"/>
              </w:rPr>
              <w:t>需要补充的其他内容：</w:t>
            </w:r>
            <w:r>
              <w:rPr>
                <w:rFonts w:hint="eastAsia" w:ascii="宋体" w:hAnsi="宋体"/>
                <w:bCs/>
                <w:szCs w:val="21"/>
              </w:rPr>
              <w:t>无</w:t>
            </w:r>
          </w:p>
        </w:tc>
      </w:tr>
    </w:tbl>
    <w:p/>
    <w:p>
      <w:pPr>
        <w:jc w:val="right"/>
      </w:pPr>
      <w:r>
        <w:br w:type="page"/>
      </w:r>
      <w:r>
        <w:rPr>
          <w:rFonts w:hint="eastAsia"/>
        </w:rPr>
        <w:t>续上表</w:t>
      </w:r>
    </w:p>
    <w:tbl>
      <w:tblPr>
        <w:tblStyle w:val="6"/>
        <w:tblW w:w="9198"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1043"/>
        <w:gridCol w:w="1276"/>
        <w:gridCol w:w="709"/>
        <w:gridCol w:w="46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05"/>
              <w:jc w:val="center"/>
              <w:rPr>
                <w:rFonts w:ascii="宋体" w:hAnsi="宋体" w:cs="宋体"/>
                <w:b/>
                <w:kern w:val="0"/>
                <w:szCs w:val="21"/>
              </w:rPr>
            </w:pPr>
            <w:r>
              <w:rPr>
                <w:rFonts w:hint="eastAsia" w:ascii="宋体" w:hAnsi="宋体" w:cs="宋体"/>
                <w:b/>
                <w:kern w:val="0"/>
                <w:szCs w:val="21"/>
              </w:rPr>
              <w:t>条款号</w:t>
            </w:r>
          </w:p>
        </w:tc>
        <w:tc>
          <w:tcPr>
            <w:tcW w:w="3544" w:type="dxa"/>
            <w:gridSpan w:val="4"/>
            <w:tcBorders>
              <w:right w:val="single" w:color="auto" w:sz="4" w:space="0"/>
            </w:tcBorders>
            <w:vAlign w:val="center"/>
          </w:tcPr>
          <w:p>
            <w:pPr>
              <w:autoSpaceDE w:val="0"/>
              <w:autoSpaceDN w:val="0"/>
              <w:spacing w:line="440" w:lineRule="exact"/>
              <w:ind w:right="-105"/>
              <w:jc w:val="center"/>
              <w:rPr>
                <w:rFonts w:ascii="宋体" w:hAnsi="宋体" w:cs="宋体"/>
                <w:b/>
                <w:kern w:val="0"/>
                <w:szCs w:val="21"/>
              </w:rPr>
            </w:pPr>
            <w:r>
              <w:rPr>
                <w:rFonts w:hint="eastAsia" w:ascii="宋体" w:hAnsi="宋体" w:cs="宋体"/>
                <w:b/>
                <w:kern w:val="0"/>
                <w:szCs w:val="21"/>
              </w:rPr>
              <w:t>评审因素与权重分值</w:t>
            </w:r>
          </w:p>
        </w:tc>
        <w:tc>
          <w:tcPr>
            <w:tcW w:w="4677" w:type="dxa"/>
            <w:vMerge w:val="restart"/>
            <w:tcBorders>
              <w:left w:val="single" w:color="auto" w:sz="4" w:space="0"/>
            </w:tcBorders>
            <w:vAlign w:val="center"/>
          </w:tcPr>
          <w:p>
            <w:pPr>
              <w:autoSpaceDE w:val="0"/>
              <w:autoSpaceDN w:val="0"/>
              <w:spacing w:line="440" w:lineRule="exact"/>
              <w:ind w:right="-105"/>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05"/>
              <w:jc w:val="center"/>
              <w:rPr>
                <w:rFonts w:ascii="宋体" w:hAnsi="宋体" w:cs="宋体"/>
                <w:kern w:val="0"/>
                <w:szCs w:val="21"/>
              </w:rPr>
            </w:pPr>
            <w:r>
              <w:rPr>
                <w:rFonts w:hint="eastAsia" w:ascii="宋体" w:hAnsi="宋体"/>
              </w:rPr>
              <w:t>2.2.4(1)</w:t>
            </w:r>
          </w:p>
        </w:tc>
        <w:tc>
          <w:tcPr>
            <w:tcW w:w="516" w:type="dxa"/>
            <w:vAlign w:val="center"/>
          </w:tcPr>
          <w:p>
            <w:pPr>
              <w:autoSpaceDE w:val="0"/>
              <w:autoSpaceDN w:val="0"/>
              <w:snapToGrid w:val="0"/>
              <w:ind w:right="-105"/>
              <w:jc w:val="center"/>
              <w:rPr>
                <w:rFonts w:ascii="宋体" w:hAnsi="宋体" w:cs="宋体"/>
                <w:kern w:val="0"/>
                <w:szCs w:val="21"/>
              </w:rPr>
            </w:pPr>
            <w:r>
              <w:rPr>
                <w:rFonts w:hint="eastAsia" w:ascii="宋体" w:hAnsi="宋体" w:cs="宋体"/>
                <w:kern w:val="0"/>
                <w:szCs w:val="21"/>
              </w:rPr>
              <w:t>评分</w:t>
            </w:r>
          </w:p>
          <w:p>
            <w:pPr>
              <w:autoSpaceDE w:val="0"/>
              <w:autoSpaceDN w:val="0"/>
              <w:snapToGrid w:val="0"/>
              <w:ind w:right="-105"/>
              <w:jc w:val="center"/>
              <w:rPr>
                <w:rFonts w:ascii="宋体" w:hAnsi="宋体" w:cs="宋体"/>
                <w:kern w:val="0"/>
                <w:szCs w:val="21"/>
              </w:rPr>
            </w:pPr>
            <w:r>
              <w:rPr>
                <w:rFonts w:hint="eastAsia" w:ascii="宋体" w:hAnsi="宋体" w:cs="宋体"/>
                <w:kern w:val="0"/>
                <w:szCs w:val="21"/>
              </w:rPr>
              <w:t>因素</w:t>
            </w:r>
          </w:p>
        </w:tc>
        <w:tc>
          <w:tcPr>
            <w:tcW w:w="1043" w:type="dxa"/>
            <w:vAlign w:val="center"/>
          </w:tcPr>
          <w:p>
            <w:pPr>
              <w:autoSpaceDE w:val="0"/>
              <w:autoSpaceDN w:val="0"/>
              <w:snapToGrid w:val="0"/>
              <w:ind w:right="-105"/>
              <w:jc w:val="center"/>
              <w:rPr>
                <w:rFonts w:ascii="宋体" w:hAnsi="宋体" w:cs="宋体"/>
                <w:kern w:val="0"/>
                <w:szCs w:val="21"/>
              </w:rPr>
            </w:pPr>
            <w:r>
              <w:rPr>
                <w:rFonts w:hint="eastAsia" w:ascii="宋体" w:hAnsi="宋体" w:cs="宋体"/>
                <w:kern w:val="0"/>
                <w:szCs w:val="21"/>
              </w:rPr>
              <w:t>评分因素权重分值</w:t>
            </w:r>
          </w:p>
        </w:tc>
        <w:tc>
          <w:tcPr>
            <w:tcW w:w="1276" w:type="dxa"/>
            <w:tcBorders>
              <w:right w:val="single" w:color="auto" w:sz="4" w:space="0"/>
            </w:tcBorders>
            <w:vAlign w:val="center"/>
          </w:tcPr>
          <w:p>
            <w:pPr>
              <w:autoSpaceDE w:val="0"/>
              <w:autoSpaceDN w:val="0"/>
              <w:snapToGrid w:val="0"/>
              <w:ind w:right="-105"/>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05"/>
              <w:jc w:val="center"/>
              <w:rPr>
                <w:rFonts w:ascii="宋体" w:hAnsi="宋体" w:cs="宋体"/>
                <w:kern w:val="0"/>
                <w:szCs w:val="21"/>
              </w:rPr>
            </w:pPr>
            <w:r>
              <w:rPr>
                <w:rFonts w:hint="eastAsia" w:ascii="宋体" w:hAnsi="宋体" w:cs="宋体"/>
                <w:kern w:val="0"/>
                <w:szCs w:val="21"/>
              </w:rPr>
              <w:t>细分项</w:t>
            </w:r>
          </w:p>
        </w:tc>
        <w:tc>
          <w:tcPr>
            <w:tcW w:w="709" w:type="dxa"/>
            <w:tcBorders>
              <w:left w:val="single" w:color="auto" w:sz="4" w:space="0"/>
              <w:right w:val="single" w:color="auto" w:sz="4" w:space="0"/>
            </w:tcBorders>
            <w:vAlign w:val="center"/>
          </w:tcPr>
          <w:p>
            <w:pPr>
              <w:autoSpaceDE w:val="0"/>
              <w:autoSpaceDN w:val="0"/>
              <w:snapToGrid w:val="0"/>
              <w:ind w:right="-105"/>
              <w:jc w:val="center"/>
              <w:rPr>
                <w:rFonts w:ascii="宋体" w:hAnsi="宋体" w:cs="宋体"/>
                <w:kern w:val="0"/>
                <w:szCs w:val="21"/>
              </w:rPr>
            </w:pPr>
            <w:r>
              <w:rPr>
                <w:rFonts w:hint="eastAsia" w:ascii="宋体" w:hAnsi="宋体" w:cs="宋体"/>
                <w:kern w:val="0"/>
                <w:szCs w:val="21"/>
              </w:rPr>
              <w:t>分值</w:t>
            </w:r>
          </w:p>
        </w:tc>
        <w:tc>
          <w:tcPr>
            <w:tcW w:w="4677" w:type="dxa"/>
            <w:vMerge w:val="continue"/>
            <w:tcBorders>
              <w:left w:val="single" w:color="auto" w:sz="4" w:space="0"/>
              <w:bottom w:val="single" w:color="auto" w:sz="4" w:space="0"/>
            </w:tcBorders>
            <w:vAlign w:val="center"/>
          </w:tcPr>
          <w:p>
            <w:pPr>
              <w:autoSpaceDE w:val="0"/>
              <w:autoSpaceDN w:val="0"/>
              <w:snapToGrid w:val="0"/>
              <w:ind w:right="-105"/>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5"/>
              <w:jc w:val="center"/>
              <w:rPr>
                <w:rFonts w:ascii="宋体" w:hAnsi="宋体" w:cs="宋体"/>
                <w:kern w:val="0"/>
                <w:szCs w:val="21"/>
              </w:rPr>
            </w:pPr>
          </w:p>
        </w:tc>
        <w:tc>
          <w:tcPr>
            <w:tcW w:w="516" w:type="dxa"/>
            <w:vMerge w:val="restart"/>
            <w:vAlign w:val="center"/>
          </w:tcPr>
          <w:p>
            <w:pPr>
              <w:autoSpaceDE w:val="0"/>
              <w:autoSpaceDN w:val="0"/>
              <w:snapToGrid w:val="0"/>
              <w:ind w:right="-105"/>
              <w:jc w:val="center"/>
              <w:rPr>
                <w:rFonts w:ascii="宋体" w:hAnsi="宋体" w:cs="宋体"/>
                <w:kern w:val="0"/>
                <w:szCs w:val="21"/>
              </w:rPr>
            </w:pPr>
            <w:r>
              <w:rPr>
                <w:rFonts w:hint="eastAsia" w:ascii="宋体" w:hAnsi="宋体" w:cs="宋体"/>
                <w:kern w:val="0"/>
                <w:szCs w:val="21"/>
              </w:rPr>
              <w:t>技术建议书（暗标）</w:t>
            </w:r>
          </w:p>
        </w:tc>
        <w:tc>
          <w:tcPr>
            <w:tcW w:w="1043" w:type="dxa"/>
            <w:vMerge w:val="restart"/>
            <w:vAlign w:val="center"/>
          </w:tcPr>
          <w:p>
            <w:pPr>
              <w:autoSpaceDE w:val="0"/>
              <w:autoSpaceDN w:val="0"/>
              <w:snapToGrid w:val="0"/>
              <w:ind w:right="-105"/>
              <w:jc w:val="center"/>
              <w:rPr>
                <w:rFonts w:ascii="宋体" w:hAnsi="宋体" w:cs="宋体"/>
                <w:kern w:val="0"/>
                <w:szCs w:val="21"/>
              </w:rPr>
            </w:pPr>
            <w:r>
              <w:rPr>
                <w:rFonts w:hint="eastAsia" w:ascii="宋体" w:hAnsi="宋体" w:cs="宋体"/>
                <w:kern w:val="0"/>
                <w:szCs w:val="21"/>
              </w:rPr>
              <w:t>50分</w:t>
            </w:r>
          </w:p>
        </w:tc>
        <w:tc>
          <w:tcPr>
            <w:tcW w:w="1276" w:type="dxa"/>
            <w:tcBorders>
              <w:right w:val="single" w:color="auto" w:sz="4" w:space="0"/>
            </w:tcBorders>
            <w:vAlign w:val="center"/>
          </w:tcPr>
          <w:p>
            <w:pPr>
              <w:autoSpaceDE w:val="0"/>
              <w:autoSpaceDN w:val="0"/>
              <w:snapToGrid w:val="0"/>
              <w:ind w:left="9" w:right="-105"/>
              <w:jc w:val="center"/>
              <w:rPr>
                <w:rFonts w:ascii="宋体" w:hAnsi="宋体" w:cs="宋体"/>
                <w:kern w:val="0"/>
                <w:szCs w:val="21"/>
              </w:rPr>
            </w:pPr>
            <w:r>
              <w:rPr>
                <w:rFonts w:hint="eastAsia" w:ascii="宋体" w:hAnsi="宋体" w:cs="宋体"/>
                <w:szCs w:val="21"/>
              </w:rPr>
              <w:t>工作大纲</w:t>
            </w:r>
          </w:p>
        </w:tc>
        <w:tc>
          <w:tcPr>
            <w:tcW w:w="709" w:type="dxa"/>
            <w:tcBorders>
              <w:left w:val="single" w:color="auto" w:sz="4" w:space="0"/>
              <w:right w:val="single" w:color="auto" w:sz="4" w:space="0"/>
            </w:tcBorders>
            <w:vAlign w:val="center"/>
          </w:tcPr>
          <w:p>
            <w:pPr>
              <w:autoSpaceDE w:val="0"/>
              <w:autoSpaceDN w:val="0"/>
              <w:snapToGrid w:val="0"/>
              <w:ind w:left="9" w:right="-105"/>
              <w:jc w:val="center"/>
              <w:rPr>
                <w:rFonts w:ascii="宋体" w:hAnsi="宋体" w:cs="宋体"/>
                <w:kern w:val="0"/>
                <w:szCs w:val="21"/>
              </w:rPr>
            </w:pPr>
            <w:r>
              <w:rPr>
                <w:rFonts w:hint="eastAsia" w:ascii="宋体" w:hAnsi="宋体" w:cs="宋体"/>
                <w:szCs w:val="21"/>
              </w:rPr>
              <w:t>10分</w:t>
            </w:r>
          </w:p>
        </w:tc>
        <w:tc>
          <w:tcPr>
            <w:tcW w:w="4677" w:type="dxa"/>
            <w:tcBorders>
              <w:top w:val="single" w:color="auto" w:sz="4" w:space="0"/>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基本合理，措施一般，得6分；</w:t>
            </w:r>
          </w:p>
          <w:p>
            <w:pPr>
              <w:pStyle w:val="3"/>
              <w:snapToGrid w:val="0"/>
              <w:jc w:val="left"/>
              <w:rPr>
                <w:rFonts w:hAnsi="宋体" w:cs="宋体"/>
                <w:sz w:val="21"/>
                <w:szCs w:val="21"/>
              </w:rPr>
            </w:pPr>
            <w:r>
              <w:rPr>
                <w:rFonts w:hint="eastAsia" w:hAnsi="宋体" w:cs="宋体"/>
                <w:sz w:val="21"/>
                <w:szCs w:val="21"/>
              </w:rPr>
              <w:t>合理，可行，得6-8分；</w:t>
            </w:r>
          </w:p>
          <w:p>
            <w:pPr>
              <w:pStyle w:val="3"/>
              <w:snapToGrid w:val="0"/>
              <w:jc w:val="left"/>
              <w:rPr>
                <w:rFonts w:hAnsi="宋体" w:cs="宋体"/>
                <w:sz w:val="21"/>
                <w:szCs w:val="21"/>
              </w:rPr>
            </w:pPr>
            <w:r>
              <w:rPr>
                <w:rFonts w:hint="eastAsia" w:hAnsi="宋体" w:cs="宋体"/>
                <w:sz w:val="21"/>
                <w:szCs w:val="21"/>
              </w:rPr>
              <w:t>科学先进，措施完善，可操作性强，得8-10分。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5"/>
              <w:jc w:val="center"/>
              <w:rPr>
                <w:rFonts w:ascii="宋体" w:hAnsi="宋体" w:cs="宋体"/>
                <w:kern w:val="0"/>
                <w:szCs w:val="21"/>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Merge w:val="continue"/>
            <w:vAlign w:val="center"/>
          </w:tcPr>
          <w:p>
            <w:pPr>
              <w:autoSpaceDE w:val="0"/>
              <w:autoSpaceDN w:val="0"/>
              <w:snapToGrid w:val="0"/>
              <w:ind w:right="-105"/>
              <w:jc w:val="center"/>
              <w:rPr>
                <w:rFonts w:ascii="宋体" w:hAnsi="宋体" w:cs="宋体"/>
                <w:kern w:val="0"/>
                <w:szCs w:val="21"/>
              </w:rPr>
            </w:pPr>
          </w:p>
        </w:tc>
        <w:tc>
          <w:tcPr>
            <w:tcW w:w="1276"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对本项目工作范围和任务理解</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kern w:val="2"/>
                <w:sz w:val="21"/>
                <w:szCs w:val="21"/>
              </w:rPr>
            </w:pPr>
            <w:r>
              <w:rPr>
                <w:rFonts w:hint="eastAsia" w:hAnsi="宋体" w:cs="宋体"/>
                <w:sz w:val="21"/>
                <w:szCs w:val="21"/>
              </w:rPr>
              <w:t>8分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理解基本准确，思路欠合理，得4.8分；</w:t>
            </w:r>
          </w:p>
          <w:p>
            <w:pPr>
              <w:pStyle w:val="3"/>
              <w:snapToGrid w:val="0"/>
              <w:jc w:val="left"/>
              <w:rPr>
                <w:rFonts w:hAnsi="宋体" w:cs="宋体"/>
                <w:sz w:val="21"/>
                <w:szCs w:val="21"/>
              </w:rPr>
            </w:pPr>
            <w:r>
              <w:rPr>
                <w:rFonts w:hint="eastAsia" w:hAnsi="宋体" w:cs="宋体"/>
                <w:sz w:val="21"/>
                <w:szCs w:val="21"/>
              </w:rPr>
              <w:t>理解基本准确，思路一般，得4.8-6.4分；</w:t>
            </w:r>
          </w:p>
          <w:p>
            <w:pPr>
              <w:pStyle w:val="3"/>
              <w:snapToGrid w:val="0"/>
              <w:jc w:val="left"/>
              <w:rPr>
                <w:rFonts w:hAnsi="宋体" w:cs="宋体"/>
                <w:sz w:val="21"/>
                <w:szCs w:val="21"/>
              </w:rPr>
            </w:pPr>
            <w:r>
              <w:rPr>
                <w:rFonts w:hint="eastAsia" w:hAnsi="宋体" w:cs="宋体"/>
                <w:sz w:val="21"/>
                <w:szCs w:val="21"/>
              </w:rPr>
              <w:t>理解准确，思路清晰，全面、合理，符合项目要求，得6.4-8分。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5"/>
              <w:jc w:val="center"/>
              <w:rPr>
                <w:rFonts w:ascii="宋体" w:hAnsi="宋体" w:cs="宋体"/>
                <w:kern w:val="0"/>
                <w:szCs w:val="21"/>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Merge w:val="continue"/>
            <w:vAlign w:val="center"/>
          </w:tcPr>
          <w:p>
            <w:pPr>
              <w:autoSpaceDE w:val="0"/>
              <w:autoSpaceDN w:val="0"/>
              <w:snapToGrid w:val="0"/>
              <w:ind w:right="-105"/>
              <w:jc w:val="center"/>
              <w:rPr>
                <w:rFonts w:ascii="宋体" w:hAnsi="宋体" w:cs="宋体"/>
                <w:kern w:val="0"/>
                <w:szCs w:val="21"/>
              </w:rPr>
            </w:pPr>
          </w:p>
        </w:tc>
        <w:tc>
          <w:tcPr>
            <w:tcW w:w="1276" w:type="dxa"/>
            <w:tcBorders>
              <w:right w:val="single" w:color="auto" w:sz="4" w:space="0"/>
            </w:tcBorders>
            <w:vAlign w:val="center"/>
          </w:tcPr>
          <w:p>
            <w:pPr>
              <w:pStyle w:val="3"/>
              <w:snapToGrid w:val="0"/>
              <w:jc w:val="center"/>
              <w:rPr>
                <w:rFonts w:hAnsi="宋体" w:cs="宋体"/>
                <w:sz w:val="21"/>
                <w:szCs w:val="21"/>
              </w:rPr>
            </w:pPr>
            <w:r>
              <w:rPr>
                <w:rFonts w:hint="eastAsia" w:hAnsi="宋体" w:cs="宋体"/>
                <w:sz w:val="21"/>
                <w:szCs w:val="21"/>
              </w:rPr>
              <w:t>对招标项目的特点、关键技术问题的认识及其对策措施</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r>
              <w:rPr>
                <w:rFonts w:hint="eastAsia" w:hAnsi="宋体" w:cs="宋体"/>
                <w:sz w:val="21"/>
                <w:szCs w:val="21"/>
              </w:rPr>
              <w:t>8分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项目的特点和关键技术问题的针对性一般，技术建议基本可行，得4.8分；</w:t>
            </w:r>
          </w:p>
          <w:p>
            <w:pPr>
              <w:pStyle w:val="3"/>
              <w:snapToGrid w:val="0"/>
              <w:jc w:val="left"/>
              <w:rPr>
                <w:rFonts w:hAnsi="宋体" w:cs="宋体"/>
                <w:sz w:val="21"/>
                <w:szCs w:val="21"/>
              </w:rPr>
            </w:pPr>
            <w:r>
              <w:rPr>
                <w:rFonts w:hint="eastAsia" w:hAnsi="宋体" w:cs="宋体"/>
                <w:sz w:val="21"/>
                <w:szCs w:val="21"/>
              </w:rPr>
              <w:t>项目的特点和关键技术问题针对性较强，技术建议可行，得4.8-6.4分；</w:t>
            </w:r>
          </w:p>
          <w:p>
            <w:pPr>
              <w:pStyle w:val="3"/>
              <w:snapToGrid w:val="0"/>
              <w:jc w:val="left"/>
              <w:rPr>
                <w:rFonts w:hAnsi="宋体" w:cs="宋体"/>
                <w:sz w:val="21"/>
                <w:szCs w:val="21"/>
              </w:rPr>
            </w:pPr>
            <w:r>
              <w:rPr>
                <w:rFonts w:hAnsi="宋体" w:cs="宋体"/>
                <w:sz w:val="21"/>
                <w:szCs w:val="21"/>
              </w:rPr>
              <w:t>项目的特点针对性强，关键技术问题对策明确、合理，技术建议科学、有效、可行，得</w:t>
            </w:r>
            <w:r>
              <w:rPr>
                <w:rFonts w:hint="eastAsia" w:hAnsi="宋体" w:cs="宋体"/>
                <w:sz w:val="21"/>
                <w:szCs w:val="21"/>
              </w:rPr>
              <w:t>6.4-8分。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44" w:hRule="atLeast"/>
        </w:trPr>
        <w:tc>
          <w:tcPr>
            <w:tcW w:w="977" w:type="dxa"/>
            <w:vMerge w:val="continue"/>
            <w:vAlign w:val="center"/>
          </w:tcPr>
          <w:p>
            <w:pPr>
              <w:autoSpaceDE w:val="0"/>
              <w:autoSpaceDN w:val="0"/>
              <w:snapToGrid w:val="0"/>
              <w:ind w:right="-105"/>
              <w:jc w:val="center"/>
              <w:rPr>
                <w:rFonts w:ascii="宋体" w:hAnsi="宋体" w:cs="宋体"/>
                <w:kern w:val="0"/>
                <w:szCs w:val="21"/>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Merge w:val="continue"/>
            <w:vAlign w:val="center"/>
          </w:tcPr>
          <w:p>
            <w:pPr>
              <w:autoSpaceDE w:val="0"/>
              <w:autoSpaceDN w:val="0"/>
              <w:snapToGrid w:val="0"/>
              <w:ind w:right="-105"/>
              <w:jc w:val="center"/>
              <w:rPr>
                <w:rFonts w:ascii="宋体" w:hAnsi="宋体" w:cs="宋体"/>
                <w:kern w:val="0"/>
                <w:szCs w:val="21"/>
              </w:rPr>
            </w:pPr>
          </w:p>
        </w:tc>
        <w:tc>
          <w:tcPr>
            <w:tcW w:w="1276" w:type="dxa"/>
            <w:tcBorders>
              <w:right w:val="single" w:color="auto" w:sz="4" w:space="0"/>
            </w:tcBorders>
            <w:vAlign w:val="center"/>
          </w:tcPr>
          <w:p>
            <w:pPr>
              <w:pStyle w:val="3"/>
              <w:snapToGrid w:val="0"/>
              <w:jc w:val="center"/>
              <w:rPr>
                <w:rFonts w:hAnsi="宋体" w:cs="宋体"/>
                <w:sz w:val="21"/>
                <w:szCs w:val="21"/>
              </w:rPr>
            </w:pPr>
            <w:r>
              <w:rPr>
                <w:rFonts w:hint="eastAsia" w:hAnsi="宋体" w:cs="宋体"/>
                <w:sz w:val="21"/>
                <w:szCs w:val="21"/>
              </w:rPr>
              <w:t>检测方法和评价分析方法</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r>
              <w:rPr>
                <w:rFonts w:hint="eastAsia" w:hAnsi="宋体" w:cs="宋体"/>
                <w:sz w:val="21"/>
                <w:szCs w:val="21"/>
              </w:rPr>
              <w:t>5分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检测方法和评价分析方法基本适合本项目，得3分；</w:t>
            </w:r>
          </w:p>
          <w:p>
            <w:pPr>
              <w:pStyle w:val="3"/>
              <w:snapToGrid w:val="0"/>
              <w:jc w:val="left"/>
              <w:rPr>
                <w:rFonts w:hAnsi="宋体" w:cs="宋体"/>
                <w:sz w:val="21"/>
                <w:szCs w:val="21"/>
              </w:rPr>
            </w:pPr>
            <w:r>
              <w:rPr>
                <w:rFonts w:hint="eastAsia" w:hAnsi="宋体" w:cs="宋体"/>
                <w:sz w:val="21"/>
                <w:szCs w:val="21"/>
              </w:rPr>
              <w:t>检测方法和评价分析方法较为适合本项目，得3-4分；</w:t>
            </w:r>
          </w:p>
          <w:p>
            <w:pPr>
              <w:pStyle w:val="3"/>
              <w:snapToGrid w:val="0"/>
              <w:jc w:val="left"/>
              <w:rPr>
                <w:rFonts w:hAnsi="宋体" w:cs="宋体"/>
                <w:sz w:val="21"/>
                <w:szCs w:val="21"/>
              </w:rPr>
            </w:pPr>
            <w:r>
              <w:rPr>
                <w:rFonts w:hint="eastAsia" w:hAnsi="宋体" w:cs="宋体"/>
                <w:sz w:val="21"/>
                <w:szCs w:val="21"/>
              </w:rPr>
              <w:t>检测方法和评价分析方法适合本项目，得4-5分。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5"/>
              <w:jc w:val="center"/>
              <w:rPr>
                <w:rFonts w:ascii="宋体" w:hAnsi="宋体" w:cs="宋体"/>
                <w:kern w:val="0"/>
                <w:szCs w:val="21"/>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Merge w:val="continue"/>
            <w:vAlign w:val="center"/>
          </w:tcPr>
          <w:p>
            <w:pPr>
              <w:autoSpaceDE w:val="0"/>
              <w:autoSpaceDN w:val="0"/>
              <w:snapToGrid w:val="0"/>
              <w:ind w:right="-105"/>
              <w:jc w:val="center"/>
              <w:rPr>
                <w:rFonts w:ascii="宋体" w:hAnsi="宋体" w:cs="宋体"/>
                <w:kern w:val="0"/>
                <w:szCs w:val="21"/>
              </w:rPr>
            </w:pPr>
          </w:p>
        </w:tc>
        <w:tc>
          <w:tcPr>
            <w:tcW w:w="1276"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质量、安全保证措施</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措施一般，得3分；</w:t>
            </w:r>
          </w:p>
          <w:p>
            <w:pPr>
              <w:pStyle w:val="3"/>
              <w:snapToGrid w:val="0"/>
              <w:jc w:val="left"/>
              <w:rPr>
                <w:rFonts w:hAnsi="宋体" w:cs="宋体"/>
                <w:sz w:val="21"/>
                <w:szCs w:val="21"/>
              </w:rPr>
            </w:pPr>
            <w:r>
              <w:rPr>
                <w:rFonts w:hint="eastAsia" w:hAnsi="宋体" w:cs="宋体"/>
                <w:sz w:val="21"/>
                <w:szCs w:val="21"/>
              </w:rPr>
              <w:t>合理，可行，得3-4分；</w:t>
            </w:r>
          </w:p>
          <w:p>
            <w:pPr>
              <w:pStyle w:val="3"/>
              <w:snapToGrid w:val="0"/>
              <w:jc w:val="left"/>
              <w:rPr>
                <w:rFonts w:hAnsi="宋体" w:cs="宋体"/>
                <w:sz w:val="21"/>
                <w:szCs w:val="21"/>
              </w:rPr>
            </w:pPr>
            <w:r>
              <w:rPr>
                <w:rFonts w:hint="eastAsia" w:hAnsi="宋体" w:cs="宋体"/>
                <w:sz w:val="21"/>
                <w:szCs w:val="21"/>
              </w:rPr>
              <w:t>科学先进、严密，得4-5分。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5"/>
              <w:jc w:val="center"/>
              <w:rPr>
                <w:rFonts w:ascii="宋体" w:hAnsi="宋体" w:cs="宋体"/>
                <w:kern w:val="0"/>
                <w:szCs w:val="21"/>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Merge w:val="continue"/>
            <w:vAlign w:val="center"/>
          </w:tcPr>
          <w:p>
            <w:pPr>
              <w:autoSpaceDE w:val="0"/>
              <w:autoSpaceDN w:val="0"/>
              <w:snapToGrid w:val="0"/>
              <w:ind w:right="-105"/>
              <w:jc w:val="center"/>
              <w:rPr>
                <w:rFonts w:ascii="宋体" w:hAnsi="宋体" w:cs="宋体"/>
                <w:kern w:val="0"/>
                <w:szCs w:val="21"/>
              </w:rPr>
            </w:pPr>
          </w:p>
        </w:tc>
        <w:tc>
          <w:tcPr>
            <w:tcW w:w="1276" w:type="dxa"/>
            <w:tcBorders>
              <w:right w:val="single" w:color="auto" w:sz="4" w:space="0"/>
            </w:tcBorders>
            <w:vAlign w:val="center"/>
          </w:tcPr>
          <w:p>
            <w:pPr>
              <w:autoSpaceDE w:val="0"/>
              <w:autoSpaceDN w:val="0"/>
              <w:snapToGrid w:val="0"/>
              <w:ind w:left="9" w:right="-105"/>
              <w:jc w:val="center"/>
              <w:rPr>
                <w:rFonts w:ascii="宋体" w:hAnsi="宋体" w:cs="宋体"/>
                <w:kern w:val="0"/>
                <w:szCs w:val="21"/>
              </w:rPr>
            </w:pPr>
            <w:r>
              <w:rPr>
                <w:rFonts w:hint="eastAsia" w:ascii="宋体" w:hAnsi="宋体" w:cs="宋体"/>
                <w:szCs w:val="21"/>
              </w:rPr>
              <w:t>本项目工作量及计划安排</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Cs w:val="21"/>
              </w:rPr>
            </w:pPr>
            <w:r>
              <w:rPr>
                <w:rFonts w:hAnsi="宋体" w:cs="宋体"/>
                <w:sz w:val="21"/>
                <w:szCs w:val="21"/>
              </w:rPr>
              <w:t>5</w:t>
            </w:r>
            <w:r>
              <w:rPr>
                <w:rFonts w:hint="eastAsia" w:hAnsi="宋体" w:cs="宋体"/>
                <w:sz w:val="21"/>
                <w:szCs w:val="21"/>
              </w:rPr>
              <w:t>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工作量及计划安排基本合理，得3分；</w:t>
            </w:r>
          </w:p>
          <w:p>
            <w:pPr>
              <w:pStyle w:val="3"/>
              <w:snapToGrid w:val="0"/>
              <w:jc w:val="left"/>
              <w:rPr>
                <w:rFonts w:hAnsi="宋体" w:cs="宋体"/>
                <w:sz w:val="21"/>
                <w:szCs w:val="21"/>
              </w:rPr>
            </w:pPr>
            <w:r>
              <w:rPr>
                <w:rFonts w:hint="eastAsia" w:hAnsi="宋体" w:cs="宋体"/>
                <w:sz w:val="21"/>
                <w:szCs w:val="21"/>
              </w:rPr>
              <w:t>工作量及计划安排合理，得3-4分；</w:t>
            </w:r>
          </w:p>
          <w:p>
            <w:pPr>
              <w:pStyle w:val="3"/>
              <w:snapToGrid w:val="0"/>
              <w:jc w:val="left"/>
              <w:rPr>
                <w:rFonts w:hAnsi="宋体" w:cs="宋体"/>
                <w:sz w:val="21"/>
                <w:szCs w:val="21"/>
              </w:rPr>
            </w:pPr>
            <w:r>
              <w:rPr>
                <w:rFonts w:hint="eastAsia" w:hAnsi="宋体" w:cs="宋体"/>
                <w:sz w:val="21"/>
                <w:szCs w:val="21"/>
              </w:rPr>
              <w:t>工作量及计划安排科学，安排周密，得4-5分。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5"/>
              <w:jc w:val="center"/>
              <w:rPr>
                <w:rFonts w:ascii="宋体" w:hAnsi="宋体" w:cs="宋体"/>
                <w:kern w:val="0"/>
                <w:szCs w:val="21"/>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Merge w:val="continue"/>
            <w:vAlign w:val="center"/>
          </w:tcPr>
          <w:p>
            <w:pPr>
              <w:autoSpaceDE w:val="0"/>
              <w:autoSpaceDN w:val="0"/>
              <w:snapToGrid w:val="0"/>
              <w:ind w:right="-105"/>
              <w:jc w:val="center"/>
              <w:rPr>
                <w:rFonts w:ascii="宋体" w:hAnsi="宋体" w:cs="宋体"/>
                <w:kern w:val="0"/>
                <w:szCs w:val="21"/>
              </w:rPr>
            </w:pPr>
          </w:p>
        </w:tc>
        <w:tc>
          <w:tcPr>
            <w:tcW w:w="1276" w:type="dxa"/>
            <w:tcBorders>
              <w:right w:val="single" w:color="auto" w:sz="4" w:space="0"/>
            </w:tcBorders>
            <w:vAlign w:val="center"/>
          </w:tcPr>
          <w:p>
            <w:pPr>
              <w:pStyle w:val="3"/>
              <w:snapToGrid w:val="0"/>
              <w:jc w:val="center"/>
              <w:rPr>
                <w:rFonts w:hAnsi="宋体" w:cs="宋体"/>
                <w:sz w:val="21"/>
                <w:szCs w:val="21"/>
              </w:rPr>
            </w:pPr>
            <w:r>
              <w:rPr>
                <w:rFonts w:hint="eastAsia" w:hAnsi="宋体" w:cs="宋体"/>
                <w:sz w:val="21"/>
                <w:szCs w:val="21"/>
              </w:rPr>
              <w:t>交通组织方案</w:t>
            </w:r>
          </w:p>
        </w:tc>
        <w:tc>
          <w:tcPr>
            <w:tcW w:w="709" w:type="dxa"/>
            <w:tcBorders>
              <w:left w:val="single" w:color="auto" w:sz="4" w:space="0"/>
              <w:right w:val="single" w:color="auto" w:sz="4" w:space="0"/>
            </w:tcBorders>
            <w:vAlign w:val="center"/>
          </w:tcPr>
          <w:p>
            <w:pPr>
              <w:pStyle w:val="3"/>
              <w:snapToGrid w:val="0"/>
              <w:jc w:val="center"/>
              <w:rPr>
                <w:rFonts w:hAnsi="宋体" w:cs="宋体"/>
                <w:sz w:val="21"/>
                <w:szCs w:val="21"/>
              </w:rPr>
            </w:pPr>
            <w:r>
              <w:rPr>
                <w:rFonts w:hint="eastAsia" w:hAnsi="宋体" w:cs="宋体"/>
                <w:sz w:val="21"/>
                <w:szCs w:val="21"/>
              </w:rPr>
              <w:t>5分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交通组织方案一般，得3分；</w:t>
            </w:r>
          </w:p>
          <w:p>
            <w:pPr>
              <w:pStyle w:val="3"/>
              <w:snapToGrid w:val="0"/>
              <w:jc w:val="left"/>
              <w:rPr>
                <w:rFonts w:hAnsi="宋体" w:cs="宋体"/>
                <w:sz w:val="21"/>
                <w:szCs w:val="21"/>
              </w:rPr>
            </w:pPr>
            <w:r>
              <w:rPr>
                <w:rFonts w:hint="eastAsia" w:hAnsi="宋体" w:cs="宋体"/>
                <w:sz w:val="21"/>
                <w:szCs w:val="21"/>
              </w:rPr>
              <w:t>交通组织方案较合理可行、较完善，得3-4分；</w:t>
            </w:r>
          </w:p>
          <w:p>
            <w:pPr>
              <w:pStyle w:val="3"/>
              <w:snapToGrid w:val="0"/>
              <w:jc w:val="left"/>
              <w:rPr>
                <w:rFonts w:hAnsi="宋体" w:cs="宋体"/>
                <w:sz w:val="21"/>
                <w:szCs w:val="21"/>
              </w:rPr>
            </w:pPr>
            <w:r>
              <w:rPr>
                <w:rFonts w:hint="eastAsia" w:hAnsi="宋体" w:cs="宋体"/>
                <w:sz w:val="21"/>
                <w:szCs w:val="21"/>
              </w:rPr>
              <w:t>交通组织方案合理可行、完善、可实施性强，得4-5分。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05"/>
              <w:jc w:val="center"/>
              <w:rPr>
                <w:rFonts w:ascii="宋体" w:hAnsi="宋体" w:cs="宋体"/>
                <w:kern w:val="0"/>
                <w:szCs w:val="21"/>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Merge w:val="continue"/>
            <w:vAlign w:val="center"/>
          </w:tcPr>
          <w:p>
            <w:pPr>
              <w:autoSpaceDE w:val="0"/>
              <w:autoSpaceDN w:val="0"/>
              <w:snapToGrid w:val="0"/>
              <w:ind w:right="-105"/>
              <w:jc w:val="center"/>
              <w:rPr>
                <w:rFonts w:ascii="宋体" w:hAnsi="宋体" w:cs="宋体"/>
                <w:kern w:val="0"/>
                <w:szCs w:val="21"/>
              </w:rPr>
            </w:pPr>
          </w:p>
        </w:tc>
        <w:tc>
          <w:tcPr>
            <w:tcW w:w="1276"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检测成果和后续服务的安排及保证措施</w:t>
            </w:r>
          </w:p>
        </w:tc>
        <w:tc>
          <w:tcPr>
            <w:tcW w:w="709" w:type="dxa"/>
            <w:tcBorders>
              <w:left w:val="single" w:color="auto" w:sz="4" w:space="0"/>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4分</w:t>
            </w:r>
          </w:p>
        </w:tc>
        <w:tc>
          <w:tcPr>
            <w:tcW w:w="4677" w:type="dxa"/>
            <w:tcBorders>
              <w:left w:val="single" w:color="auto" w:sz="4" w:space="0"/>
            </w:tcBorders>
            <w:vAlign w:val="center"/>
          </w:tcPr>
          <w:p>
            <w:pPr>
              <w:pStyle w:val="3"/>
              <w:snapToGrid w:val="0"/>
              <w:jc w:val="left"/>
              <w:rPr>
                <w:rFonts w:hAnsi="宋体" w:cs="宋体"/>
                <w:sz w:val="21"/>
                <w:szCs w:val="21"/>
              </w:rPr>
            </w:pPr>
            <w:r>
              <w:rPr>
                <w:rFonts w:hint="eastAsia" w:hAnsi="宋体" w:cs="宋体"/>
                <w:sz w:val="21"/>
                <w:szCs w:val="21"/>
              </w:rPr>
              <w:t>检测成果符合国家规范要求，后续服务的承诺及保证措施基本完善，得2.4分；</w:t>
            </w:r>
          </w:p>
          <w:p>
            <w:pPr>
              <w:pStyle w:val="3"/>
              <w:snapToGrid w:val="0"/>
              <w:jc w:val="left"/>
              <w:rPr>
                <w:rFonts w:hAnsi="宋体" w:cs="宋体"/>
                <w:sz w:val="21"/>
                <w:szCs w:val="21"/>
              </w:rPr>
            </w:pPr>
            <w:r>
              <w:rPr>
                <w:rFonts w:hint="eastAsia" w:hAnsi="宋体" w:cs="宋体"/>
                <w:sz w:val="21"/>
                <w:szCs w:val="21"/>
              </w:rPr>
              <w:t>检测成果符合国家规范要求，后续服务的承诺及保证措施较完善，得2.4-3.2分；</w:t>
            </w:r>
          </w:p>
          <w:p>
            <w:pPr>
              <w:pStyle w:val="3"/>
              <w:snapToGrid w:val="0"/>
              <w:jc w:val="left"/>
              <w:rPr>
                <w:rFonts w:hAnsi="宋体"/>
                <w:kern w:val="2"/>
                <w:sz w:val="21"/>
                <w:szCs w:val="21"/>
              </w:rPr>
            </w:pPr>
            <w:r>
              <w:rPr>
                <w:rFonts w:hint="eastAsia" w:hAnsi="宋体" w:cs="宋体"/>
                <w:sz w:val="21"/>
                <w:szCs w:val="21"/>
              </w:rPr>
              <w:t>检测成果符合国家规范要求，后续服务的承诺及保证措施完善，得3.2-4分。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9" w:hRule="atLeast"/>
        </w:trPr>
        <w:tc>
          <w:tcPr>
            <w:tcW w:w="977" w:type="dxa"/>
            <w:vMerge w:val="restart"/>
            <w:vAlign w:val="center"/>
          </w:tcPr>
          <w:p>
            <w:pPr>
              <w:autoSpaceDE w:val="0"/>
              <w:autoSpaceDN w:val="0"/>
              <w:snapToGrid w:val="0"/>
              <w:ind w:right="-105"/>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Merge w:val="restart"/>
            <w:vAlign w:val="center"/>
          </w:tcPr>
          <w:p>
            <w:pPr>
              <w:autoSpaceDE w:val="0"/>
              <w:autoSpaceDN w:val="0"/>
              <w:snapToGrid w:val="0"/>
              <w:ind w:right="-105"/>
              <w:jc w:val="center"/>
              <w:rPr>
                <w:rFonts w:ascii="宋体" w:hAnsi="宋体" w:cs="宋体"/>
                <w:kern w:val="0"/>
                <w:szCs w:val="21"/>
              </w:rPr>
            </w:pPr>
            <w:r>
              <w:rPr>
                <w:rFonts w:hint="eastAsia" w:ascii="宋体" w:hAnsi="宋体" w:cs="宋体"/>
                <w:kern w:val="0"/>
                <w:szCs w:val="21"/>
              </w:rPr>
              <w:t>主要人员</w:t>
            </w:r>
          </w:p>
        </w:tc>
        <w:tc>
          <w:tcPr>
            <w:tcW w:w="1043" w:type="dxa"/>
            <w:vMerge w:val="restart"/>
            <w:vAlign w:val="center"/>
          </w:tcPr>
          <w:p>
            <w:pPr>
              <w:autoSpaceDE w:val="0"/>
              <w:autoSpaceDN w:val="0"/>
              <w:snapToGrid w:val="0"/>
              <w:ind w:right="-105"/>
              <w:jc w:val="center"/>
              <w:rPr>
                <w:rFonts w:ascii="宋体" w:hAnsi="宋体" w:cs="宋体"/>
                <w:kern w:val="0"/>
                <w:szCs w:val="21"/>
              </w:rPr>
            </w:pPr>
            <w:r>
              <w:rPr>
                <w:rFonts w:hint="eastAsia" w:ascii="宋体" w:hAnsi="宋体" w:cs="宋体"/>
                <w:kern w:val="0"/>
                <w:szCs w:val="21"/>
              </w:rPr>
              <w:t>20分</w:t>
            </w:r>
          </w:p>
        </w:tc>
        <w:tc>
          <w:tcPr>
            <w:tcW w:w="1276" w:type="dxa"/>
            <w:vAlign w:val="center"/>
          </w:tcPr>
          <w:p>
            <w:pPr>
              <w:pStyle w:val="3"/>
              <w:spacing w:line="300" w:lineRule="exact"/>
              <w:jc w:val="center"/>
              <w:rPr>
                <w:rFonts w:hAnsi="宋体"/>
                <w:sz w:val="21"/>
                <w:szCs w:val="21"/>
              </w:rPr>
            </w:pPr>
            <w:r>
              <w:rPr>
                <w:rFonts w:hint="eastAsia" w:hAnsi="宋体"/>
                <w:sz w:val="21"/>
                <w:szCs w:val="21"/>
              </w:rPr>
              <w:t>项目负责人</w:t>
            </w:r>
          </w:p>
        </w:tc>
        <w:tc>
          <w:tcPr>
            <w:tcW w:w="709" w:type="dxa"/>
            <w:vAlign w:val="center"/>
          </w:tcPr>
          <w:p>
            <w:pPr>
              <w:pStyle w:val="3"/>
              <w:spacing w:line="300" w:lineRule="exact"/>
              <w:jc w:val="center"/>
              <w:rPr>
                <w:rFonts w:hAnsi="宋体"/>
                <w:kern w:val="2"/>
                <w:sz w:val="21"/>
                <w:szCs w:val="21"/>
              </w:rPr>
            </w:pPr>
            <w:r>
              <w:rPr>
                <w:rFonts w:hint="eastAsia" w:hAnsi="宋体"/>
                <w:kern w:val="2"/>
                <w:sz w:val="21"/>
                <w:szCs w:val="21"/>
              </w:rPr>
              <w:t>10分</w:t>
            </w:r>
          </w:p>
        </w:tc>
        <w:tc>
          <w:tcPr>
            <w:tcW w:w="4677" w:type="dxa"/>
            <w:vAlign w:val="center"/>
          </w:tcPr>
          <w:p>
            <w:pPr>
              <w:pStyle w:val="3"/>
              <w:spacing w:line="300" w:lineRule="exact"/>
              <w:rPr>
                <w:rFonts w:hAnsi="宋体"/>
                <w:kern w:val="2"/>
                <w:sz w:val="21"/>
                <w:szCs w:val="21"/>
              </w:rPr>
            </w:pPr>
            <w:r>
              <w:rPr>
                <w:rFonts w:hint="eastAsia" w:hAnsi="宋体"/>
                <w:szCs w:val="21"/>
              </w:rPr>
              <w:t>项</w:t>
            </w:r>
            <w:r>
              <w:rPr>
                <w:rFonts w:hint="eastAsia" w:hAnsi="宋体"/>
                <w:kern w:val="2"/>
                <w:sz w:val="21"/>
                <w:szCs w:val="21"/>
              </w:rPr>
              <w:t>目负责人满足资格审查条件（项目负责人最低要求）得6分。</w:t>
            </w:r>
          </w:p>
          <w:p>
            <w:pPr>
              <w:pStyle w:val="3"/>
              <w:spacing w:line="300" w:lineRule="exact"/>
              <w:rPr>
                <w:rFonts w:hAnsi="宋体"/>
                <w:kern w:val="2"/>
                <w:sz w:val="21"/>
                <w:szCs w:val="21"/>
              </w:rPr>
            </w:pPr>
            <w:r>
              <w:rPr>
                <w:rFonts w:hint="eastAsia" w:hAnsi="宋体"/>
                <w:kern w:val="2"/>
                <w:sz w:val="21"/>
                <w:szCs w:val="21"/>
              </w:rPr>
              <w:t>项目负责人每增加1项满足资格审查条件（项目负责人最低要求）的业绩加</w:t>
            </w:r>
            <w:r>
              <w:rPr>
                <w:rFonts w:hAnsi="宋体"/>
                <w:kern w:val="2"/>
                <w:sz w:val="21"/>
                <w:szCs w:val="21"/>
              </w:rPr>
              <w:t>4</w:t>
            </w:r>
            <w:r>
              <w:rPr>
                <w:rFonts w:hint="eastAsia" w:hAnsi="宋体"/>
                <w:kern w:val="2"/>
                <w:sz w:val="21"/>
                <w:szCs w:val="21"/>
              </w:rPr>
              <w:t>分，最多加4分。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9" w:hRule="atLeast"/>
        </w:trPr>
        <w:tc>
          <w:tcPr>
            <w:tcW w:w="977" w:type="dxa"/>
            <w:vMerge w:val="continue"/>
            <w:vAlign w:val="center"/>
          </w:tcPr>
          <w:p>
            <w:pPr>
              <w:autoSpaceDE w:val="0"/>
              <w:autoSpaceDN w:val="0"/>
              <w:snapToGrid w:val="0"/>
              <w:ind w:right="-105"/>
              <w:jc w:val="center"/>
              <w:rPr>
                <w:rFonts w:ascii="宋体" w:hAnsi="宋体"/>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Merge w:val="continue"/>
            <w:vAlign w:val="center"/>
          </w:tcPr>
          <w:p>
            <w:pPr>
              <w:autoSpaceDE w:val="0"/>
              <w:autoSpaceDN w:val="0"/>
              <w:snapToGrid w:val="0"/>
              <w:ind w:right="-105"/>
              <w:jc w:val="center"/>
              <w:rPr>
                <w:rFonts w:ascii="宋体" w:hAnsi="宋体" w:cs="宋体"/>
                <w:kern w:val="0"/>
                <w:szCs w:val="21"/>
              </w:rPr>
            </w:pPr>
          </w:p>
        </w:tc>
        <w:tc>
          <w:tcPr>
            <w:tcW w:w="1276" w:type="dxa"/>
            <w:vAlign w:val="center"/>
          </w:tcPr>
          <w:p>
            <w:pPr>
              <w:pStyle w:val="3"/>
              <w:spacing w:line="300" w:lineRule="exact"/>
              <w:jc w:val="center"/>
              <w:rPr>
                <w:rFonts w:hAnsi="宋体"/>
                <w:sz w:val="21"/>
                <w:szCs w:val="21"/>
              </w:rPr>
            </w:pPr>
            <w:r>
              <w:rPr>
                <w:rFonts w:hint="eastAsia" w:hAnsi="宋体"/>
                <w:sz w:val="21"/>
                <w:szCs w:val="21"/>
              </w:rPr>
              <w:t>检测技术负责人</w:t>
            </w:r>
          </w:p>
        </w:tc>
        <w:tc>
          <w:tcPr>
            <w:tcW w:w="709" w:type="dxa"/>
            <w:vAlign w:val="center"/>
          </w:tcPr>
          <w:p>
            <w:pPr>
              <w:pStyle w:val="3"/>
              <w:spacing w:line="300" w:lineRule="exact"/>
              <w:jc w:val="center"/>
              <w:rPr>
                <w:rFonts w:hAnsi="宋体"/>
                <w:kern w:val="2"/>
                <w:sz w:val="21"/>
                <w:szCs w:val="21"/>
              </w:rPr>
            </w:pPr>
            <w:r>
              <w:rPr>
                <w:rFonts w:hint="eastAsia" w:hAnsi="宋体"/>
                <w:kern w:val="2"/>
                <w:sz w:val="21"/>
                <w:szCs w:val="21"/>
              </w:rPr>
              <w:t>5分</w:t>
            </w:r>
          </w:p>
        </w:tc>
        <w:tc>
          <w:tcPr>
            <w:tcW w:w="4677" w:type="dxa"/>
            <w:vAlign w:val="center"/>
          </w:tcPr>
          <w:p>
            <w:pPr>
              <w:pStyle w:val="3"/>
              <w:spacing w:line="300" w:lineRule="exact"/>
              <w:rPr>
                <w:rFonts w:hAnsi="宋体"/>
                <w:kern w:val="2"/>
                <w:sz w:val="21"/>
                <w:szCs w:val="21"/>
              </w:rPr>
            </w:pPr>
            <w:r>
              <w:rPr>
                <w:rFonts w:hint="eastAsia" w:hAnsi="宋体"/>
                <w:sz w:val="21"/>
                <w:szCs w:val="21"/>
              </w:rPr>
              <w:t>检测技术负责人</w:t>
            </w:r>
            <w:r>
              <w:rPr>
                <w:rFonts w:hint="eastAsia" w:hAnsi="宋体"/>
                <w:kern w:val="2"/>
                <w:sz w:val="21"/>
                <w:szCs w:val="21"/>
              </w:rPr>
              <w:t>满足资格审查条件（检测技术负责人最低要求）得3分。</w:t>
            </w:r>
          </w:p>
          <w:p>
            <w:pPr>
              <w:pStyle w:val="3"/>
              <w:spacing w:line="300" w:lineRule="exact"/>
              <w:rPr>
                <w:rFonts w:hAnsi="宋体"/>
                <w:kern w:val="2"/>
                <w:sz w:val="21"/>
                <w:szCs w:val="21"/>
              </w:rPr>
            </w:pPr>
            <w:r>
              <w:rPr>
                <w:rFonts w:hint="eastAsia" w:hAnsi="宋体"/>
                <w:sz w:val="21"/>
                <w:szCs w:val="21"/>
              </w:rPr>
              <w:t>检测技术负责人</w:t>
            </w:r>
            <w:r>
              <w:rPr>
                <w:rFonts w:hint="eastAsia" w:hAnsi="宋体"/>
                <w:kern w:val="2"/>
                <w:sz w:val="21"/>
                <w:szCs w:val="21"/>
              </w:rPr>
              <w:t>每增加1项满足资格审查条件（</w:t>
            </w:r>
            <w:r>
              <w:rPr>
                <w:rFonts w:hint="eastAsia" w:hAnsi="宋体"/>
                <w:sz w:val="21"/>
                <w:szCs w:val="21"/>
              </w:rPr>
              <w:t>检测技术负责人</w:t>
            </w:r>
            <w:r>
              <w:rPr>
                <w:rFonts w:hint="eastAsia" w:hAnsi="宋体"/>
                <w:kern w:val="2"/>
                <w:sz w:val="21"/>
                <w:szCs w:val="21"/>
              </w:rPr>
              <w:t>最低要求）的业绩加</w:t>
            </w:r>
            <w:r>
              <w:rPr>
                <w:rFonts w:hAnsi="宋体"/>
                <w:kern w:val="2"/>
                <w:sz w:val="21"/>
                <w:szCs w:val="21"/>
              </w:rPr>
              <w:t>2</w:t>
            </w:r>
            <w:r>
              <w:rPr>
                <w:rFonts w:hint="eastAsia" w:hAnsi="宋体"/>
                <w:kern w:val="2"/>
                <w:sz w:val="21"/>
                <w:szCs w:val="21"/>
              </w:rPr>
              <w:t>分，最多加2分。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7" w:hRule="atLeast"/>
        </w:trPr>
        <w:tc>
          <w:tcPr>
            <w:tcW w:w="977" w:type="dxa"/>
            <w:vMerge w:val="continue"/>
            <w:vAlign w:val="center"/>
          </w:tcPr>
          <w:p>
            <w:pPr>
              <w:autoSpaceDE w:val="0"/>
              <w:autoSpaceDN w:val="0"/>
              <w:snapToGrid w:val="0"/>
              <w:ind w:right="-105"/>
              <w:jc w:val="center"/>
              <w:rPr>
                <w:rFonts w:ascii="宋体" w:hAnsi="宋体"/>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Merge w:val="continue"/>
            <w:vAlign w:val="center"/>
          </w:tcPr>
          <w:p>
            <w:pPr>
              <w:autoSpaceDE w:val="0"/>
              <w:autoSpaceDN w:val="0"/>
              <w:snapToGrid w:val="0"/>
              <w:ind w:right="-105"/>
              <w:jc w:val="center"/>
              <w:rPr>
                <w:rFonts w:ascii="宋体" w:hAnsi="宋体" w:cs="宋体"/>
                <w:kern w:val="0"/>
                <w:szCs w:val="21"/>
              </w:rPr>
            </w:pPr>
          </w:p>
        </w:tc>
        <w:tc>
          <w:tcPr>
            <w:tcW w:w="1276" w:type="dxa"/>
            <w:vAlign w:val="center"/>
          </w:tcPr>
          <w:p>
            <w:pPr>
              <w:pStyle w:val="3"/>
              <w:spacing w:line="300" w:lineRule="exact"/>
              <w:jc w:val="center"/>
              <w:rPr>
                <w:rFonts w:hAnsi="宋体"/>
                <w:sz w:val="21"/>
                <w:szCs w:val="21"/>
              </w:rPr>
            </w:pPr>
            <w:r>
              <w:rPr>
                <w:rFonts w:hint="eastAsia" w:hAnsi="宋体"/>
                <w:szCs w:val="21"/>
              </w:rPr>
              <w:t>路面数据处理及养护决策技术负责人</w:t>
            </w:r>
          </w:p>
        </w:tc>
        <w:tc>
          <w:tcPr>
            <w:tcW w:w="709" w:type="dxa"/>
            <w:vAlign w:val="center"/>
          </w:tcPr>
          <w:p>
            <w:pPr>
              <w:pStyle w:val="3"/>
              <w:spacing w:line="300" w:lineRule="exact"/>
              <w:jc w:val="center"/>
              <w:rPr>
                <w:rFonts w:hAnsi="宋体"/>
                <w:kern w:val="2"/>
                <w:sz w:val="21"/>
                <w:szCs w:val="21"/>
              </w:rPr>
            </w:pPr>
            <w:r>
              <w:rPr>
                <w:rFonts w:hint="eastAsia" w:hAnsi="宋体"/>
                <w:kern w:val="2"/>
                <w:sz w:val="21"/>
                <w:szCs w:val="21"/>
              </w:rPr>
              <w:t>5分</w:t>
            </w:r>
          </w:p>
        </w:tc>
        <w:tc>
          <w:tcPr>
            <w:tcW w:w="4677" w:type="dxa"/>
            <w:vAlign w:val="center"/>
          </w:tcPr>
          <w:p>
            <w:pPr>
              <w:pStyle w:val="3"/>
              <w:spacing w:line="300" w:lineRule="exact"/>
              <w:rPr>
                <w:rFonts w:hAnsi="宋体"/>
                <w:kern w:val="2"/>
                <w:sz w:val="21"/>
                <w:szCs w:val="21"/>
              </w:rPr>
            </w:pPr>
            <w:r>
              <w:rPr>
                <w:rFonts w:hint="eastAsia" w:hAnsi="宋体"/>
                <w:kern w:val="2"/>
                <w:sz w:val="21"/>
                <w:szCs w:val="21"/>
              </w:rPr>
              <w:t>路面数据处理及养护决策技术负责人满足资格审查条件（路面数据处理及养护决策技术负责人最低要求）得3分。</w:t>
            </w:r>
          </w:p>
          <w:p>
            <w:pPr>
              <w:pStyle w:val="3"/>
              <w:spacing w:line="300" w:lineRule="exact"/>
              <w:rPr>
                <w:rFonts w:hAnsi="宋体"/>
                <w:kern w:val="2"/>
                <w:sz w:val="21"/>
                <w:szCs w:val="21"/>
              </w:rPr>
            </w:pPr>
            <w:r>
              <w:rPr>
                <w:rFonts w:hint="eastAsia" w:hAnsi="宋体"/>
                <w:kern w:val="2"/>
                <w:sz w:val="21"/>
                <w:szCs w:val="21"/>
              </w:rPr>
              <w:t>路面数据处理及养护决策技术负责人每增加1项满足资格审查条件（路面数据处理及养护决策技术负责人最低要求）的业绩加</w:t>
            </w:r>
            <w:r>
              <w:rPr>
                <w:rFonts w:hAnsi="宋体"/>
                <w:kern w:val="2"/>
                <w:sz w:val="21"/>
                <w:szCs w:val="21"/>
              </w:rPr>
              <w:t>2</w:t>
            </w:r>
            <w:r>
              <w:rPr>
                <w:rFonts w:hint="eastAsia" w:hAnsi="宋体"/>
                <w:kern w:val="2"/>
                <w:sz w:val="21"/>
                <w:szCs w:val="21"/>
              </w:rPr>
              <w:t>分，最多加2分。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16" w:hRule="exact"/>
        </w:trPr>
        <w:tc>
          <w:tcPr>
            <w:tcW w:w="977" w:type="dxa"/>
            <w:vAlign w:val="center"/>
          </w:tcPr>
          <w:p>
            <w:pPr>
              <w:autoSpaceDE w:val="0"/>
              <w:autoSpaceDN w:val="0"/>
              <w:snapToGrid w:val="0"/>
              <w:ind w:right="-105"/>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1043" w:type="dxa"/>
            <w:vAlign w:val="center"/>
          </w:tcPr>
          <w:p>
            <w:pPr>
              <w:autoSpaceDE w:val="0"/>
              <w:autoSpaceDN w:val="0"/>
              <w:spacing w:line="192" w:lineRule="exact"/>
              <w:ind w:left="2" w:right="-105"/>
              <w:jc w:val="center"/>
              <w:rPr>
                <w:rFonts w:ascii="宋体" w:hAnsi="宋体"/>
                <w:kern w:val="0"/>
                <w:szCs w:val="21"/>
              </w:rPr>
            </w:pPr>
            <w:r>
              <w:rPr>
                <w:rFonts w:hint="eastAsia" w:ascii="宋体" w:hAnsi="宋体"/>
                <w:kern w:val="0"/>
                <w:szCs w:val="21"/>
              </w:rPr>
              <w:t>10分</w:t>
            </w:r>
          </w:p>
        </w:tc>
        <w:tc>
          <w:tcPr>
            <w:tcW w:w="6662" w:type="dxa"/>
            <w:gridSpan w:val="3"/>
            <w:vAlign w:val="center"/>
          </w:tcPr>
          <w:p>
            <w:pPr>
              <w:pStyle w:val="3"/>
              <w:spacing w:line="300" w:lineRule="exact"/>
              <w:rPr>
                <w:rFonts w:hAnsi="宋体"/>
                <w:kern w:val="2"/>
                <w:sz w:val="21"/>
                <w:szCs w:val="21"/>
              </w:rPr>
            </w:pPr>
            <w:r>
              <w:rPr>
                <w:rFonts w:hint="eastAsia" w:hAnsi="宋体"/>
                <w:kern w:val="2"/>
                <w:sz w:val="21"/>
                <w:szCs w:val="21"/>
              </w:rPr>
              <w:t>评标价得分计算公式：</w:t>
            </w:r>
          </w:p>
          <w:p>
            <w:pPr>
              <w:pStyle w:val="3"/>
              <w:spacing w:line="300" w:lineRule="exact"/>
              <w:rPr>
                <w:rFonts w:hAnsi="宋体"/>
                <w:kern w:val="2"/>
                <w:sz w:val="21"/>
                <w:szCs w:val="21"/>
              </w:rPr>
            </w:pPr>
            <w:r>
              <w:rPr>
                <w:rFonts w:hint="eastAsia" w:hAnsi="宋体"/>
                <w:kern w:val="2"/>
                <w:sz w:val="21"/>
                <w:szCs w:val="21"/>
              </w:rPr>
              <w:t>（1）如果投标人的评标价＞评标基准价，则评标价得分=F-偏差率×100×E1；</w:t>
            </w:r>
          </w:p>
          <w:p>
            <w:pPr>
              <w:pStyle w:val="3"/>
              <w:spacing w:line="300" w:lineRule="exact"/>
              <w:rPr>
                <w:rFonts w:hAnsi="宋体"/>
                <w:kern w:val="2"/>
                <w:sz w:val="21"/>
                <w:szCs w:val="21"/>
              </w:rPr>
            </w:pPr>
            <w:r>
              <w:rPr>
                <w:rFonts w:hint="eastAsia" w:hAnsi="宋体"/>
                <w:kern w:val="2"/>
                <w:sz w:val="21"/>
                <w:szCs w:val="21"/>
              </w:rPr>
              <w:t>（2）如果投标人的评标价≤评标基准价，则评标价得分=F+偏差率×100×E2。</w:t>
            </w:r>
          </w:p>
          <w:p>
            <w:pPr>
              <w:pStyle w:val="3"/>
              <w:spacing w:line="300" w:lineRule="exact"/>
              <w:rPr>
                <w:rFonts w:hAnsi="宋体"/>
                <w:kern w:val="2"/>
                <w:sz w:val="21"/>
                <w:szCs w:val="21"/>
              </w:rPr>
            </w:pPr>
            <w:r>
              <w:rPr>
                <w:rFonts w:hint="eastAsia" w:hAnsi="宋体"/>
                <w:kern w:val="2"/>
                <w:sz w:val="21"/>
                <w:szCs w:val="21"/>
              </w:rPr>
              <w:t>其中，F=10；E1=0.2；E2=0.1；评标价最低得分为0分2位小数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trPr>
        <w:tc>
          <w:tcPr>
            <w:tcW w:w="977" w:type="dxa"/>
            <w:vMerge w:val="restart"/>
            <w:vAlign w:val="center"/>
          </w:tcPr>
          <w:p>
            <w:pPr>
              <w:autoSpaceDE w:val="0"/>
              <w:autoSpaceDN w:val="0"/>
              <w:snapToGrid w:val="0"/>
              <w:ind w:right="-105"/>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Merge w:val="restart"/>
            <w:vAlign w:val="center"/>
          </w:tcPr>
          <w:p>
            <w:pPr>
              <w:autoSpaceDE w:val="0"/>
              <w:autoSpaceDN w:val="0"/>
              <w:snapToGrid w:val="0"/>
              <w:ind w:right="-105"/>
              <w:jc w:val="center"/>
              <w:rPr>
                <w:rFonts w:ascii="宋体" w:hAnsi="宋体" w:cs="宋体"/>
                <w:kern w:val="0"/>
                <w:szCs w:val="21"/>
              </w:rPr>
            </w:pPr>
            <w:r>
              <w:rPr>
                <w:rFonts w:hint="eastAsia" w:ascii="宋体" w:hAnsi="宋体" w:cs="宋体"/>
                <w:kern w:val="0"/>
                <w:szCs w:val="21"/>
              </w:rPr>
              <w:t>业绩20分</w:t>
            </w:r>
          </w:p>
        </w:tc>
        <w:tc>
          <w:tcPr>
            <w:tcW w:w="7705" w:type="dxa"/>
            <w:gridSpan w:val="4"/>
            <w:tcBorders>
              <w:bottom w:val="single" w:color="auto" w:sz="4" w:space="0"/>
            </w:tcBorders>
            <w:vAlign w:val="center"/>
          </w:tcPr>
          <w:p>
            <w:pPr>
              <w:pStyle w:val="3"/>
              <w:spacing w:line="300" w:lineRule="exact"/>
              <w:rPr>
                <w:rFonts w:hAnsi="宋体"/>
                <w:kern w:val="2"/>
                <w:sz w:val="21"/>
                <w:szCs w:val="21"/>
              </w:rPr>
            </w:pPr>
            <w:r>
              <w:rPr>
                <w:rFonts w:hint="eastAsia" w:hAnsi="宋体"/>
                <w:kern w:val="2"/>
                <w:sz w:val="21"/>
                <w:szCs w:val="21"/>
              </w:rPr>
              <w:t>投标人满足附录2资格审查条件（业绩最低要求）得12分，本项满分12分。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19" w:hRule="atLeast"/>
        </w:trPr>
        <w:tc>
          <w:tcPr>
            <w:tcW w:w="977" w:type="dxa"/>
            <w:vMerge w:val="continue"/>
            <w:vAlign w:val="center"/>
          </w:tcPr>
          <w:p>
            <w:pPr>
              <w:autoSpaceDE w:val="0"/>
              <w:autoSpaceDN w:val="0"/>
              <w:snapToGrid w:val="0"/>
              <w:ind w:right="-105"/>
              <w:jc w:val="center"/>
              <w:rPr>
                <w:rFonts w:ascii="宋体" w:hAnsi="宋体"/>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Merge w:val="restart"/>
            <w:tcBorders>
              <w:top w:val="single" w:color="auto" w:sz="4" w:space="0"/>
            </w:tcBorders>
            <w:vAlign w:val="center"/>
          </w:tcPr>
          <w:p>
            <w:pPr>
              <w:autoSpaceDE w:val="0"/>
              <w:autoSpaceDN w:val="0"/>
              <w:snapToGrid w:val="0"/>
              <w:jc w:val="center"/>
              <w:rPr>
                <w:rFonts w:ascii="宋体" w:hAnsi="宋体" w:cs="宋体"/>
                <w:kern w:val="0"/>
                <w:szCs w:val="21"/>
              </w:rPr>
            </w:pPr>
            <w:r>
              <w:rPr>
                <w:rFonts w:hint="eastAsia" w:ascii="宋体" w:hAnsi="宋体" w:cs="宋体"/>
                <w:kern w:val="0"/>
                <w:szCs w:val="21"/>
              </w:rPr>
              <w:t>检测业绩（6分）</w:t>
            </w:r>
          </w:p>
        </w:tc>
        <w:tc>
          <w:tcPr>
            <w:tcW w:w="6662" w:type="dxa"/>
            <w:gridSpan w:val="3"/>
            <w:tcBorders>
              <w:top w:val="single" w:color="auto" w:sz="4" w:space="0"/>
            </w:tcBorders>
            <w:vAlign w:val="center"/>
          </w:tcPr>
          <w:p>
            <w:pPr>
              <w:pStyle w:val="3"/>
              <w:spacing w:line="300" w:lineRule="exact"/>
              <w:rPr>
                <w:rFonts w:hAnsi="宋体"/>
                <w:kern w:val="2"/>
                <w:sz w:val="21"/>
                <w:szCs w:val="21"/>
              </w:rPr>
            </w:pPr>
            <w:r>
              <w:rPr>
                <w:rFonts w:hint="eastAsia" w:hAnsi="宋体"/>
                <w:kern w:val="2"/>
                <w:sz w:val="21"/>
                <w:szCs w:val="21"/>
              </w:rPr>
              <w:t>近5年（2019年6月1日至投标截止时间，以合同签订时间为准）投标人每增加一项高速公路技术状况定期检测（含路面）业绩，加1分，本项满分2分。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2" w:hRule="atLeast"/>
        </w:trPr>
        <w:tc>
          <w:tcPr>
            <w:tcW w:w="977" w:type="dxa"/>
            <w:vMerge w:val="continue"/>
            <w:vAlign w:val="center"/>
          </w:tcPr>
          <w:p>
            <w:pPr>
              <w:autoSpaceDE w:val="0"/>
              <w:autoSpaceDN w:val="0"/>
              <w:snapToGrid w:val="0"/>
              <w:ind w:right="-105"/>
              <w:jc w:val="center"/>
              <w:rPr>
                <w:rFonts w:ascii="宋体" w:hAnsi="宋体"/>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Merge w:val="continue"/>
            <w:vAlign w:val="center"/>
          </w:tcPr>
          <w:p>
            <w:pPr>
              <w:autoSpaceDE w:val="0"/>
              <w:autoSpaceDN w:val="0"/>
              <w:snapToGrid w:val="0"/>
              <w:jc w:val="center"/>
              <w:rPr>
                <w:rFonts w:ascii="宋体" w:hAnsi="宋体" w:cs="宋体"/>
                <w:kern w:val="0"/>
                <w:szCs w:val="21"/>
              </w:rPr>
            </w:pPr>
          </w:p>
        </w:tc>
        <w:tc>
          <w:tcPr>
            <w:tcW w:w="6662" w:type="dxa"/>
            <w:gridSpan w:val="3"/>
            <w:tcBorders>
              <w:top w:val="single" w:color="auto" w:sz="4" w:space="0"/>
            </w:tcBorders>
            <w:vAlign w:val="center"/>
          </w:tcPr>
          <w:p>
            <w:pPr>
              <w:pStyle w:val="3"/>
              <w:spacing w:line="300" w:lineRule="exact"/>
              <w:rPr>
                <w:rFonts w:hAnsi="宋体"/>
                <w:kern w:val="2"/>
                <w:sz w:val="21"/>
                <w:szCs w:val="21"/>
              </w:rPr>
            </w:pPr>
            <w:r>
              <w:rPr>
                <w:rFonts w:hint="eastAsia" w:hAnsi="宋体"/>
                <w:kern w:val="2"/>
                <w:sz w:val="21"/>
                <w:szCs w:val="21"/>
              </w:rPr>
              <w:t>近5年（2019年6月1日至投标截止时间，以合同签订时间为准）投标人每增加一项高速公路定期检测（含桥梁）业绩，加1分，本项满分2分。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9" w:hRule="atLeast"/>
        </w:trPr>
        <w:tc>
          <w:tcPr>
            <w:tcW w:w="977" w:type="dxa"/>
            <w:vMerge w:val="continue"/>
            <w:vAlign w:val="center"/>
          </w:tcPr>
          <w:p>
            <w:pPr>
              <w:autoSpaceDE w:val="0"/>
              <w:autoSpaceDN w:val="0"/>
              <w:snapToGrid w:val="0"/>
              <w:ind w:right="-105"/>
              <w:jc w:val="center"/>
              <w:rPr>
                <w:rFonts w:ascii="宋体" w:hAnsi="宋体"/>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Merge w:val="continue"/>
            <w:vAlign w:val="center"/>
          </w:tcPr>
          <w:p>
            <w:pPr>
              <w:autoSpaceDE w:val="0"/>
              <w:autoSpaceDN w:val="0"/>
              <w:snapToGrid w:val="0"/>
              <w:jc w:val="center"/>
              <w:rPr>
                <w:rFonts w:ascii="宋体" w:hAnsi="宋体" w:cs="宋体"/>
                <w:kern w:val="0"/>
                <w:szCs w:val="21"/>
              </w:rPr>
            </w:pPr>
          </w:p>
        </w:tc>
        <w:tc>
          <w:tcPr>
            <w:tcW w:w="6662" w:type="dxa"/>
            <w:gridSpan w:val="3"/>
            <w:tcBorders>
              <w:top w:val="single" w:color="auto" w:sz="4" w:space="0"/>
            </w:tcBorders>
            <w:vAlign w:val="center"/>
          </w:tcPr>
          <w:p>
            <w:pPr>
              <w:pStyle w:val="3"/>
              <w:spacing w:line="300" w:lineRule="exact"/>
              <w:rPr>
                <w:rFonts w:hAnsi="宋体"/>
                <w:kern w:val="2"/>
                <w:sz w:val="21"/>
                <w:szCs w:val="21"/>
              </w:rPr>
            </w:pPr>
            <w:r>
              <w:rPr>
                <w:rFonts w:hint="eastAsia" w:hAnsi="宋体"/>
                <w:kern w:val="2"/>
                <w:sz w:val="21"/>
                <w:szCs w:val="21"/>
              </w:rPr>
              <w:t>近5年（2019年6月1日至投标截止时间，以合同签订时间为准）投标人每增加一项高速公路定期检测（含隧道）业绩，加1分，本项满分2分。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62" w:hRule="atLeast"/>
        </w:trPr>
        <w:tc>
          <w:tcPr>
            <w:tcW w:w="977" w:type="dxa"/>
            <w:vMerge w:val="continue"/>
            <w:vAlign w:val="center"/>
          </w:tcPr>
          <w:p>
            <w:pPr>
              <w:autoSpaceDE w:val="0"/>
              <w:autoSpaceDN w:val="0"/>
              <w:snapToGrid w:val="0"/>
              <w:ind w:right="-105"/>
              <w:jc w:val="center"/>
              <w:rPr>
                <w:rFonts w:ascii="宋体" w:hAnsi="宋体"/>
              </w:rPr>
            </w:pPr>
          </w:p>
        </w:tc>
        <w:tc>
          <w:tcPr>
            <w:tcW w:w="516" w:type="dxa"/>
            <w:vMerge w:val="continue"/>
            <w:vAlign w:val="center"/>
          </w:tcPr>
          <w:p>
            <w:pPr>
              <w:autoSpaceDE w:val="0"/>
              <w:autoSpaceDN w:val="0"/>
              <w:snapToGrid w:val="0"/>
              <w:ind w:right="-105"/>
              <w:jc w:val="center"/>
              <w:rPr>
                <w:rFonts w:ascii="宋体" w:hAnsi="宋体" w:cs="宋体"/>
                <w:kern w:val="0"/>
                <w:szCs w:val="21"/>
              </w:rPr>
            </w:pPr>
          </w:p>
        </w:tc>
        <w:tc>
          <w:tcPr>
            <w:tcW w:w="1043" w:type="dxa"/>
            <w:vAlign w:val="center"/>
          </w:tcPr>
          <w:p>
            <w:pPr>
              <w:autoSpaceDE w:val="0"/>
              <w:autoSpaceDN w:val="0"/>
              <w:snapToGrid w:val="0"/>
              <w:ind w:right="-4"/>
              <w:jc w:val="center"/>
              <w:rPr>
                <w:rFonts w:ascii="宋体" w:hAnsi="宋体" w:cs="宋体"/>
                <w:kern w:val="0"/>
                <w:szCs w:val="21"/>
              </w:rPr>
            </w:pPr>
            <w:r>
              <w:rPr>
                <w:rFonts w:hint="eastAsia" w:ascii="宋体" w:hAnsi="宋体" w:cs="宋体"/>
                <w:kern w:val="0"/>
                <w:szCs w:val="21"/>
              </w:rPr>
              <w:t>路面数据处理及养护决策业绩（2分）</w:t>
            </w:r>
          </w:p>
        </w:tc>
        <w:tc>
          <w:tcPr>
            <w:tcW w:w="6662" w:type="dxa"/>
            <w:gridSpan w:val="3"/>
            <w:vAlign w:val="center"/>
          </w:tcPr>
          <w:p>
            <w:pPr>
              <w:pStyle w:val="3"/>
              <w:spacing w:line="300" w:lineRule="exact"/>
              <w:rPr>
                <w:rFonts w:hAnsi="宋体"/>
                <w:kern w:val="2"/>
                <w:sz w:val="21"/>
                <w:szCs w:val="21"/>
              </w:rPr>
            </w:pPr>
            <w:r>
              <w:rPr>
                <w:rFonts w:hint="eastAsia" w:hAnsi="宋体"/>
                <w:kern w:val="2"/>
                <w:sz w:val="21"/>
                <w:szCs w:val="21"/>
              </w:rPr>
              <w:t>近5年（2019年6月1日至投标截止时间，以合同签订时间为准）投标人每增加一项高速公路路况数据处理、评定及养护分析项目业绩，加1分，本项满分2分。</w:t>
            </w:r>
          </w:p>
        </w:tc>
      </w:tr>
    </w:tbl>
    <w:p>
      <w:pPr>
        <w:rPr>
          <w:rFonts w:ascii="宋体" w:hAnsi="宋体"/>
          <w:kern w:val="0"/>
          <w:sz w:val="20"/>
          <w:szCs w:val="20"/>
        </w:rPr>
      </w:pPr>
      <w:r>
        <w:rPr>
          <w:rFonts w:hint="eastAsia" w:ascii="宋体" w:hAnsi="宋体"/>
          <w:kern w:val="0"/>
          <w:sz w:val="20"/>
          <w:szCs w:val="20"/>
        </w:rPr>
        <w:t>注：1、技术建议书得分应以评标委员会各成员的打分平均值确定；评委打分保留1位小数，汇总得分保留小数点后两位。</w:t>
      </w:r>
    </w:p>
    <w:p>
      <w:r>
        <w:rPr>
          <w:rFonts w:hint="eastAsia" w:ascii="宋体" w:hAnsi="宋体"/>
          <w:kern w:val="0"/>
          <w:sz w:val="20"/>
          <w:szCs w:val="20"/>
        </w:rPr>
        <w:t>2、技术建议书评审因素细分项缺项则该项得0分。</w:t>
      </w:r>
      <w:bookmarkEnd w:id="16"/>
    </w:p>
    <w:sectPr>
      <w:pgSz w:w="11906" w:h="16838"/>
      <w:pgMar w:top="1134" w:right="1416" w:bottom="113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9B702B"/>
    <w:rsid w:val="000B3A17"/>
    <w:rsid w:val="003C68D4"/>
    <w:rsid w:val="003D78F6"/>
    <w:rsid w:val="00965262"/>
    <w:rsid w:val="009B64B5"/>
    <w:rsid w:val="009B702B"/>
    <w:rsid w:val="00A55AD8"/>
    <w:rsid w:val="00C83896"/>
    <w:rsid w:val="00F435D4"/>
    <w:rsid w:val="00F87EA8"/>
    <w:rsid w:val="691F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3"/>
    <w:basedOn w:val="1"/>
    <w:next w:val="1"/>
    <w:link w:val="10"/>
    <w:autoRedefine/>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link w:val="11"/>
    <w:autoRedefine/>
    <w:qFormat/>
    <w:uiPriority w:val="0"/>
    <w:rPr>
      <w:rFonts w:ascii="宋体" w:hAnsi="Courier New"/>
      <w:kern w:val="0"/>
      <w:sz w:val="20"/>
      <w:szCs w:val="20"/>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标题 3 字符"/>
    <w:basedOn w:val="7"/>
    <w:link w:val="2"/>
    <w:qFormat/>
    <w:uiPriority w:val="9"/>
    <w:rPr>
      <w:rFonts w:ascii="Calibri" w:hAnsi="Calibri" w:eastAsia="宋体" w:cs="Times New Roman"/>
      <w:b/>
      <w:bCs/>
      <w:sz w:val="32"/>
      <w:szCs w:val="32"/>
      <w14:ligatures w14:val="none"/>
    </w:rPr>
  </w:style>
  <w:style w:type="character" w:customStyle="1" w:styleId="11">
    <w:name w:val="纯文本 字符"/>
    <w:basedOn w:val="7"/>
    <w:link w:val="3"/>
    <w:qFormat/>
    <w:uiPriority w:val="0"/>
    <w:rPr>
      <w:rFonts w:ascii="宋体" w:hAnsi="Courier New" w:eastAsia="宋体" w:cs="Times New Roman"/>
      <w:kern w:val="0"/>
      <w:sz w:val="20"/>
      <w:szCs w:val="20"/>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1294</Words>
  <Characters>7382</Characters>
  <Lines>61</Lines>
  <Paragraphs>17</Paragraphs>
  <TotalTime>6</TotalTime>
  <ScaleCrop>false</ScaleCrop>
  <LinksUpToDate>false</LinksUpToDate>
  <CharactersWithSpaces>8659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2024-06-19T00:37:00Z</dcterms:created>
  <dc:creator>帆 齐</dc:creator>
  <cp:lastModifiedBy>李娜</cp:lastModifiedBy>
  <cp:lastPrinted>2024-06-19T00:39:00Z</cp:lastPrinted>
  <dcterms:modified xsi:type="dcterms:W3CDTF">2024-06-19T03:06:19Z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9BF0004172A644439F45284FCB06A123_12</vt:lpwstr>
  </property>
</Properties>
</file>