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3"/>
        <w:rPr>
          <w:rFonts w:ascii="黑体" w:hAnsi="黑体" w:eastAsia="黑体" w:cs="宋体"/>
          <w:kern w:val="0"/>
          <w:sz w:val="35"/>
          <w:szCs w:val="35"/>
          <w14:ligatures w14:val="none"/>
        </w:rPr>
      </w:pPr>
      <w:bookmarkStart w:id="0" w:name="_GoBack"/>
      <w:r>
        <w:rPr>
          <w:rFonts w:hint="eastAsia" w:ascii="黑体" w:hAnsi="黑体" w:eastAsia="黑体" w:cs="宋体"/>
          <w:kern w:val="0"/>
          <w:sz w:val="35"/>
          <w:szCs w:val="35"/>
          <w14:ligatures w14:val="none"/>
        </w:rPr>
        <w:t>京秦分公司 2024年总部院区供电系统改造工程施工</w:t>
      </w:r>
    </w:p>
    <w:p>
      <w:pPr>
        <w:widowControl/>
        <w:shd w:val="clear" w:color="auto" w:fill="FFFFFF"/>
        <w:adjustRightInd w:val="0"/>
        <w:snapToGrid w:val="0"/>
        <w:jc w:val="center"/>
        <w:outlineLvl w:val="3"/>
        <w:rPr>
          <w:rFonts w:ascii="黑体" w:hAnsi="黑体" w:eastAsia="黑体" w:cs="宋体"/>
          <w:kern w:val="0"/>
          <w:sz w:val="35"/>
          <w:szCs w:val="35"/>
          <w14:ligatures w14:val="none"/>
        </w:rPr>
      </w:pPr>
      <w:r>
        <w:rPr>
          <w:rFonts w:hint="eastAsia" w:ascii="黑体" w:hAnsi="黑体" w:eastAsia="黑体" w:cs="宋体"/>
          <w:kern w:val="0"/>
          <w:sz w:val="35"/>
          <w:szCs w:val="35"/>
          <w14:ligatures w14:val="none"/>
        </w:rPr>
        <w:t>招标公告</w:t>
      </w:r>
    </w:p>
    <w:bookmarkEnd w:id="0"/>
    <w:p>
      <w:pPr>
        <w:widowControl/>
        <w:shd w:val="clear" w:color="auto" w:fill="FFFFFF"/>
        <w:adjustRightInd w:val="0"/>
        <w:snapToGrid w:val="0"/>
        <w:rPr>
          <w:rFonts w:ascii="宋体" w:hAnsi="宋体" w:eastAsia="宋体" w:cs="宋体"/>
          <w:kern w:val="0"/>
          <w:szCs w:val="21"/>
          <w14:ligatures w14:val="none"/>
        </w:rPr>
      </w:pPr>
    </w:p>
    <w:p>
      <w:pPr>
        <w:widowControl/>
        <w:shd w:val="clear" w:color="auto" w:fill="FFFFFF"/>
        <w:adjustRightInd w:val="0"/>
        <w:snapToGrid w:val="0"/>
        <w:spacing w:line="40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公告发布日期：2024-06-07 </w:t>
      </w:r>
    </w:p>
    <w:tbl>
      <w:tblPr>
        <w:tblStyle w:val="4"/>
        <w:tblW w:w="0" w:type="auto"/>
        <w:jc w:val="center"/>
        <w:tblCellSpacing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15" w:type="dxa"/>
          <w:left w:w="15" w:type="dxa"/>
          <w:bottom w:w="15" w:type="dxa"/>
          <w:right w:w="15" w:type="dxa"/>
        </w:tblCellMar>
      </w:tblPr>
      <w:tblGrid>
        <w:gridCol w:w="2124"/>
        <w:gridCol w:w="2551"/>
        <w:gridCol w:w="1701"/>
        <w:gridCol w:w="24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525" w:hRule="atLeast"/>
          <w:tblCellSpacing w:w="15" w:type="dxa"/>
          <w:jc w:val="center"/>
        </w:trPr>
        <w:tc>
          <w:tcPr>
            <w:tcW w:w="2079" w:type="dxa"/>
            <w:vAlign w:val="center"/>
          </w:tcPr>
          <w:p>
            <w:pPr>
              <w:widowControl/>
              <w:adjustRightInd w:val="0"/>
              <w:snapToGrid w:val="0"/>
              <w:jc w:val="center"/>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业主单位:</w:t>
            </w:r>
          </w:p>
        </w:tc>
        <w:tc>
          <w:tcPr>
            <w:tcW w:w="2521" w:type="dxa"/>
            <w:vAlign w:val="center"/>
          </w:tcPr>
          <w:p>
            <w:pPr>
              <w:widowControl/>
              <w:adjustRightInd w:val="0"/>
              <w:snapToGrid w:val="0"/>
              <w:ind w:right="-39"/>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河北高速公路集团有限公司</w:t>
            </w:r>
          </w:p>
        </w:tc>
        <w:tc>
          <w:tcPr>
            <w:tcW w:w="1671" w:type="dxa"/>
            <w:vAlign w:val="center"/>
          </w:tcPr>
          <w:p>
            <w:pPr>
              <w:widowControl/>
              <w:adjustRightInd w:val="0"/>
              <w:snapToGrid w:val="0"/>
              <w:ind w:right="-39"/>
              <w:jc w:val="center"/>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招标代理:</w:t>
            </w:r>
          </w:p>
        </w:tc>
        <w:tc>
          <w:tcPr>
            <w:tcW w:w="2361" w:type="dxa"/>
            <w:vAlign w:val="center"/>
          </w:tcPr>
          <w:p>
            <w:pPr>
              <w:widowControl/>
              <w:adjustRightInd w:val="0"/>
              <w:snapToGrid w:val="0"/>
              <w:ind w:right="-39"/>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河北宏信招标有限公司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525" w:hRule="atLeast"/>
          <w:tblCellSpacing w:w="15" w:type="dxa"/>
          <w:jc w:val="center"/>
        </w:trPr>
        <w:tc>
          <w:tcPr>
            <w:tcW w:w="2079" w:type="dxa"/>
            <w:vAlign w:val="center"/>
          </w:tcPr>
          <w:p>
            <w:pPr>
              <w:widowControl/>
              <w:adjustRightInd w:val="0"/>
              <w:snapToGrid w:val="0"/>
              <w:jc w:val="center"/>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招标文件获取时间:</w:t>
            </w:r>
          </w:p>
        </w:tc>
        <w:tc>
          <w:tcPr>
            <w:tcW w:w="2521" w:type="dxa"/>
            <w:vAlign w:val="center"/>
          </w:tcPr>
          <w:p>
            <w:pPr>
              <w:widowControl/>
              <w:adjustRightInd w:val="0"/>
              <w:snapToGrid w:val="0"/>
              <w:ind w:right="-39"/>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2024-06-07 09:00</w:t>
            </w:r>
          </w:p>
        </w:tc>
        <w:tc>
          <w:tcPr>
            <w:tcW w:w="1671" w:type="dxa"/>
            <w:vAlign w:val="center"/>
          </w:tcPr>
          <w:p>
            <w:pPr>
              <w:widowControl/>
              <w:adjustRightInd w:val="0"/>
              <w:snapToGrid w:val="0"/>
              <w:ind w:right="-39"/>
              <w:jc w:val="center"/>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投标文件递交截止时间:</w:t>
            </w:r>
          </w:p>
        </w:tc>
        <w:tc>
          <w:tcPr>
            <w:tcW w:w="2361" w:type="dxa"/>
            <w:vAlign w:val="center"/>
          </w:tcPr>
          <w:p>
            <w:pPr>
              <w:widowControl/>
              <w:adjustRightInd w:val="0"/>
              <w:snapToGrid w:val="0"/>
              <w:ind w:right="-39"/>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2024-07-02 09:00</w:t>
            </w:r>
          </w:p>
        </w:tc>
      </w:tr>
    </w:tbl>
    <w:p>
      <w:pPr>
        <w:widowControl/>
        <w:adjustRightInd w:val="0"/>
        <w:snapToGrid w:val="0"/>
        <w:ind w:left="-181" w:leftChars="-86"/>
        <w:jc w:val="center"/>
        <w:outlineLvl w:val="1"/>
        <w:rPr>
          <w:rFonts w:ascii="宋体" w:hAnsi="宋体" w:eastAsia="宋体" w:cs="宋体"/>
          <w:b/>
          <w:bCs/>
          <w:kern w:val="0"/>
          <w:szCs w:val="21"/>
          <w14:ligatures w14:val="none"/>
        </w:rPr>
      </w:pPr>
    </w:p>
    <w:p>
      <w:pPr>
        <w:widowControl/>
        <w:adjustRightInd w:val="0"/>
        <w:snapToGrid w:val="0"/>
        <w:spacing w:line="420" w:lineRule="exact"/>
        <w:ind w:left="-181" w:leftChars="-86"/>
        <w:jc w:val="center"/>
        <w:outlineLvl w:val="1"/>
        <w:rPr>
          <w:rFonts w:hint="eastAsia" w:ascii="宋体" w:hAnsi="宋体" w:eastAsia="宋体" w:cs="宋体"/>
          <w:b/>
          <w:bCs/>
          <w:kern w:val="0"/>
          <w:sz w:val="29"/>
          <w:szCs w:val="29"/>
          <w14:ligatures w14:val="none"/>
        </w:rPr>
      </w:pPr>
      <w:r>
        <w:rPr>
          <w:rFonts w:hint="eastAsia" w:ascii="宋体" w:hAnsi="宋体" w:eastAsia="宋体" w:cs="宋体"/>
          <w:b/>
          <w:bCs/>
          <w:kern w:val="0"/>
          <w:sz w:val="29"/>
          <w:szCs w:val="29"/>
          <w14:ligatures w14:val="none"/>
        </w:rPr>
        <w:t>京秦分公司 2024年总部院区供电系统改造工程施工招标公告</w:t>
      </w:r>
    </w:p>
    <w:p>
      <w:pPr>
        <w:widowControl/>
        <w:adjustRightInd w:val="0"/>
        <w:snapToGrid w:val="0"/>
        <w:spacing w:line="420" w:lineRule="exact"/>
        <w:ind w:left="-181" w:leftChars="-86"/>
        <w:jc w:val="left"/>
        <w:rPr>
          <w:rFonts w:hint="eastAsia" w:ascii="宋体" w:hAnsi="宋体" w:eastAsia="宋体" w:cs="宋体"/>
          <w:kern w:val="0"/>
          <w:szCs w:val="21"/>
          <w14:ligatures w14:val="none"/>
        </w:rPr>
      </w:pPr>
      <w:r>
        <w:rPr>
          <w:rFonts w:hint="eastAsia" w:ascii="宋体" w:hAnsi="宋体" w:eastAsia="宋体" w:cs="宋体"/>
          <w:b/>
          <w:bCs/>
          <w:kern w:val="0"/>
          <w:szCs w:val="21"/>
          <w14:ligatures w14:val="none"/>
        </w:rPr>
        <w:t xml:space="preserve">1. 招标条件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本招标项目京秦分公司 2024年总部院区供电系统改造工程施工已由河北高速公路集团有限公司以《关于2024年高速公路养护工程可行性研究报告的批复》（冀高规〔2024〕41号）批准建设，施工图设计已由河北高速公路集团有限公司以 《关于京秦分公司2024年房屋维修改造等三项工程施工图设计的批复》（冀高运〔2024〕122号）批准，项目业主为河北高速公路集团有限公司，建设资金来自企业自筹，出资比例为100%，招标人为 河北高速公路集团有限公司。项目已具备招标条件，现对该项目的施工进行公开招标。 </w:t>
      </w:r>
    </w:p>
    <w:p>
      <w:pPr>
        <w:widowControl/>
        <w:adjustRightInd w:val="0"/>
        <w:snapToGrid w:val="0"/>
        <w:spacing w:line="420" w:lineRule="exact"/>
        <w:ind w:left="-181" w:leftChars="-86"/>
        <w:jc w:val="left"/>
        <w:rPr>
          <w:rFonts w:hint="eastAsia" w:ascii="宋体" w:hAnsi="宋体" w:eastAsia="宋体" w:cs="宋体"/>
          <w:kern w:val="0"/>
          <w:szCs w:val="21"/>
          <w14:ligatures w14:val="none"/>
        </w:rPr>
      </w:pPr>
      <w:r>
        <w:rPr>
          <w:rFonts w:hint="eastAsia" w:ascii="宋体" w:hAnsi="宋体" w:eastAsia="宋体" w:cs="宋体"/>
          <w:b/>
          <w:bCs/>
          <w:kern w:val="0"/>
          <w:szCs w:val="21"/>
          <w14:ligatures w14:val="none"/>
        </w:rPr>
        <w:t xml:space="preserve">2. 项目概况与招标范围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2.1项目概况：2.1.1建设地点：项目施工地点位于河北省秦皇岛市燕山大街21号。 2.1.2建设规模：（1）新建2*630kVA箱式变电站：用电设备容量1800KW，计算负荷796KW，需设置一台箱式变电站，内设630KVA变压器两台。需在总部院区内新建箱变基础及配套设施，其中包含多层住宅和高层照明用的分电箱、电表箱，动力电梯表箱、总箱等。箱变位置与现状建筑满足防火间距。（2）外电源部分：住宅楼居民照明用电负荷等级为三级，住宅楼电梯负荷等级为二级，箱变需采用10kV高压双电源进线。两路电源分别引自电力公司批复的两座变电所，均馈出双根ZC-YJLV22-8.7/15kV-3x240型电缆，采用电缆沟、拉管、排管埋地等敷设方式。（3）低压配电部分：从箱式变电站到各个住宅楼，由箱变馈出7路电源至用户楼头电缆分支箱或电梯总配电箱，采用单根或双根ZC-YJV22-0.6/1kV型电缆，电缆分支箱至各单元表箱采用单根ZC-YJV22-0.6/1kV型电缆。电缆敷设方式采用排管埋地敷设。并对小区室内外需造成破坏的墙地面、路面等进行恢复。（4）计量方式：高供低计，箱变护栏外装设低压总计量装置。各住户重新配建电表建立用电账户，实现分户计量和缴费。同时小区公共照明及电梯部分建设专用分电箱，在满足电梯二级负荷的使用条件下，实现公共部分专用计量。（5）微机保护：直流操作，设65AH直流屏一套。采用4x10A、220V，2x20A、48V充电模块，模块采用艾默生自冷式。馈出4路220V 16A、4路48V 10A。整流器的主电路熔断器熔断或交流电源失电时，应发出灯光、音响告警信号，具备485接口并可远传信号，充电设备过压、欠压、直流接地、母线电压、电流信号具备485接口并可远传信号。模块管理接点发出{直流接地、交流失电、直流异常(或控母欠压、控母过压、合母欠压、合母过压)，直流充电模块故障}。（6）配DTU一套，内配无线模块，三遥信息上传配调。 2.1.3计划工期：计划开工日期2024年7月15日，施工工期4.5个月，接入正式市电试运行期7天，缺陷责任期12个月。</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  2.2招标范围：2.2.1 招标范围：本项目京秦分公司2024年总部院区供电系统改造工程施工准备阶段、施工阶段、试运行期阶段、缺陷责任期阶段、竣（交）工验收阶段的全部相关工作。2.2.2标段划分：本次招标共1个施工标段。。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b/>
          <w:bCs/>
          <w:kern w:val="0"/>
          <w:szCs w:val="21"/>
          <w14:ligatures w14:val="none"/>
        </w:rPr>
        <w:t xml:space="preserve">3. 投标人资格要求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3.1 本次招标对投标人的资格要求如下:</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  3.1.1资质要求：详见附件1资格审查条件(资质最低要求)。</w:t>
      </w:r>
      <w:r>
        <w:rPr>
          <w:rFonts w:ascii="宋体" w:hAnsi="宋体" w:eastAsia="宋体" w:cs="Calibri"/>
          <w:kern w:val="0"/>
          <w:szCs w:val="21"/>
          <w14:ligatures w14:val="none"/>
        </w:rPr>
        <w:t>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  3.1.2财务要求：详见附件1资格审查条件(财务最低要求)。</w:t>
      </w:r>
      <w:r>
        <w:rPr>
          <w:rFonts w:ascii="宋体" w:hAnsi="宋体" w:eastAsia="宋体" w:cs="Calibri"/>
          <w:kern w:val="0"/>
          <w:szCs w:val="21"/>
          <w14:ligatures w14:val="none"/>
        </w:rPr>
        <w:t>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  3.1.3业绩要求：详见附件1资格审查条件(业绩最低要求)。</w:t>
      </w:r>
      <w:r>
        <w:rPr>
          <w:rFonts w:ascii="宋体" w:hAnsi="宋体" w:eastAsia="宋体" w:cs="Calibri"/>
          <w:kern w:val="0"/>
          <w:szCs w:val="21"/>
          <w14:ligatures w14:val="none"/>
        </w:rPr>
        <w:t>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  3.1.4信誉要求：详见附件1资格审查条件(信誉最低要求)。</w:t>
      </w:r>
      <w:r>
        <w:rPr>
          <w:rFonts w:ascii="宋体" w:hAnsi="宋体" w:eastAsia="宋体" w:cs="Calibri"/>
          <w:kern w:val="0"/>
          <w:szCs w:val="21"/>
          <w14:ligatures w14:val="none"/>
        </w:rPr>
        <w:t>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  3.1.5项目负责人资格要求：项目经理和项目总工要求：详见附件1资格审查条件(项目经理和项目总工最低要求)。</w:t>
      </w:r>
      <w:r>
        <w:rPr>
          <w:rFonts w:ascii="宋体" w:hAnsi="宋体" w:eastAsia="宋体" w:cs="Calibri"/>
          <w:kern w:val="0"/>
          <w:szCs w:val="21"/>
          <w14:ligatures w14:val="none"/>
        </w:rPr>
        <w:t>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3.1.6其他要求：1）本公告3.5修改为：在国家企业信用信息公示系统（http://www.gsxt.gov.cn/）中被列入严重违法失信名单（黑名单）信息（不含分公司）、在“信用中国”网站（http://www.creditchina.gov.cn/）中被列入失信被执行人、经营异常名录、重大税收违法失信主体和政府采购严重违法失信名单（均不含分公司）的投标人，不得参加投标。2）本公告新增3.6条：投标人或其法定代表人、拟委任的项目经理在近三年（2024年6月1日至投标截止时间）内有行贿犯罪行为的，不得参加投标。</w:t>
      </w:r>
      <w:r>
        <w:rPr>
          <w:rFonts w:ascii="宋体" w:hAnsi="宋体" w:eastAsia="宋体" w:cs="Calibri"/>
          <w:kern w:val="0"/>
          <w:szCs w:val="21"/>
          <w14:ligatures w14:val="none"/>
        </w:rPr>
        <w:t> </w:t>
      </w:r>
      <w:r>
        <w:rPr>
          <w:rFonts w:hint="eastAsia" w:ascii="宋体" w:hAnsi="宋体" w:eastAsia="宋体" w:cs="宋体"/>
          <w:kern w:val="0"/>
          <w:szCs w:val="21"/>
          <w14:ligatures w14:val="none"/>
        </w:rPr>
        <w:t xml:space="preserve">。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3.2 本次招标不接受联合体投标。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3.3 每个投标人最多可对1个标段投标；被招标项目所在地省级交通运输主管部门评为/信用等级的投标人，最多可对/个标段投标。每个投标人允许中1个标。对投标人信用等级的认定条件为：/。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3.4 与招标人存在利害关系可能影响招标公正性的单位，不得参加投标。单位负责人为同一人或存在控股、管理关系的不同单位，不得参加同一标段投标，否则，相关投标均无效。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3.5 在“信用中国”网站（http://www.creditchina.gov.cn/)中被列入失信被执行人名单的投标人，不得参加投标。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b/>
          <w:bCs/>
          <w:kern w:val="0"/>
          <w:szCs w:val="21"/>
          <w14:ligatures w14:val="none"/>
        </w:rPr>
        <w:t xml:space="preserve">4.招标文件的获取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4.1 凡有意参加投标者，请于2024-06-07 09:00至2024-06-13 17:00，登录“河北省公共资源交易服务平台”（http://ggzy.hebei.gov.cn/hbggfwpt/）下载电子招标文件。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4.2 招标文件售价1000元，图纸每套售价0元，招标人根据 对本合同工程勘察所取得的水文、地质、气象和料场分布、取土场、弃土场位置等资 料编制的参考资料每套售价 0 元，售后不退。 </w:t>
      </w:r>
    </w:p>
    <w:p>
      <w:pPr>
        <w:widowControl/>
        <w:adjustRightInd w:val="0"/>
        <w:snapToGrid w:val="0"/>
        <w:spacing w:line="420" w:lineRule="exact"/>
        <w:ind w:left="-181" w:leftChars="-86"/>
        <w:jc w:val="left"/>
        <w:rPr>
          <w:rFonts w:hint="eastAsia" w:ascii="宋体" w:hAnsi="宋体" w:eastAsia="宋体" w:cs="宋体"/>
          <w:kern w:val="0"/>
          <w:szCs w:val="21"/>
          <w14:ligatures w14:val="none"/>
        </w:rPr>
      </w:pPr>
      <w:r>
        <w:rPr>
          <w:rFonts w:hint="eastAsia" w:ascii="宋体" w:hAnsi="宋体" w:eastAsia="宋体" w:cs="宋体"/>
          <w:b/>
          <w:bCs/>
          <w:kern w:val="0"/>
          <w:szCs w:val="21"/>
          <w14:ligatures w14:val="none"/>
        </w:rPr>
        <w:t xml:space="preserve">5. 投标文件的递交及相关事宜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5.1 不组织进行工程现场踏勘并不召开投标预备会；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5.2 投标文件递交的截止时间为2024-07-02 09:00 ，投标人应在截止时间前通过 互联网使用CA数字证书登录“电子交易平台”，将加密的投标文件上传递交成功，递交时间即为电子投标文件上传时间。本次招标采用电子招投标形式，招标人不再邀请投标人参加现场开标，投标人在开标时间可以登陆“电子交易平台”按时完成投标文件解密、确认工作，并可在开标直播大厅观看开标视频直播。本公告5.3款修改为：未在投标截止时间前在“电子交易平台”完成上传的、未按要求进行加密的投标文件，“电子交易平台”将予以拒收。请投标人按要求 递交投标文件。 </w:t>
      </w:r>
    </w:p>
    <w:p>
      <w:pPr>
        <w:widowControl/>
        <w:adjustRightInd w:val="0"/>
        <w:snapToGrid w:val="0"/>
        <w:spacing w:line="420" w:lineRule="exact"/>
        <w:ind w:left="-181" w:leftChars="-86" w:firstLine="4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5.3 逾期送达的、未送达指定地点的或不按照招标文件要求密封的投标文件，招 标人将予以拒收。 </w:t>
      </w:r>
    </w:p>
    <w:p>
      <w:pPr>
        <w:widowControl/>
        <w:adjustRightInd w:val="0"/>
        <w:snapToGrid w:val="0"/>
        <w:spacing w:line="420" w:lineRule="exact"/>
        <w:ind w:left="-181" w:leftChars="-86"/>
        <w:jc w:val="left"/>
        <w:rPr>
          <w:rFonts w:hint="eastAsia" w:ascii="宋体" w:hAnsi="宋体" w:eastAsia="宋体" w:cs="宋体"/>
          <w:kern w:val="0"/>
          <w:szCs w:val="21"/>
          <w14:ligatures w14:val="none"/>
        </w:rPr>
      </w:pPr>
      <w:r>
        <w:rPr>
          <w:rFonts w:hint="eastAsia" w:ascii="宋体" w:hAnsi="宋体" w:eastAsia="宋体" w:cs="宋体"/>
          <w:b/>
          <w:bCs/>
          <w:kern w:val="0"/>
          <w:szCs w:val="21"/>
          <w14:ligatures w14:val="none"/>
        </w:rPr>
        <w:t xml:space="preserve">6. 发布公告的媒介 </w:t>
      </w:r>
    </w:p>
    <w:p>
      <w:pPr>
        <w:widowControl/>
        <w:adjustRightInd w:val="0"/>
        <w:snapToGrid w:val="0"/>
        <w:spacing w:line="420" w:lineRule="exact"/>
        <w:ind w:left="-181" w:leftChars="-86" w:firstLine="480"/>
        <w:jc w:val="left"/>
        <w:rPr>
          <w:rFonts w:ascii="宋体" w:hAnsi="宋体" w:eastAsia="宋体" w:cs="宋体"/>
          <w:kern w:val="0"/>
          <w:szCs w:val="21"/>
          <w14:ligatures w14:val="none"/>
        </w:rPr>
      </w:pPr>
      <w:r>
        <w:rPr>
          <w:rFonts w:hint="eastAsia" w:ascii="宋体" w:hAnsi="宋体" w:eastAsia="宋体" w:cs="宋体"/>
          <w:kern w:val="0"/>
          <w:szCs w:val="21"/>
          <w14:ligatures w14:val="none"/>
        </w:rPr>
        <w:t>本次招标公告同时在“河北省招标投标公共服务平台”、“河北省交通运输厅网站”、“河北省公共资源交易中心网站”、“河北高速公路集团有限公司网站”（说明：本项目投标文件技术标部分投标人应采用暗标方式编制。评标委员会对于技术标部分采用“盲评”方式评审） 上发布。</w:t>
      </w:r>
    </w:p>
    <w:p>
      <w:pPr>
        <w:widowControl/>
        <w:adjustRightInd w:val="0"/>
        <w:snapToGrid w:val="0"/>
        <w:spacing w:line="420" w:lineRule="exact"/>
        <w:ind w:left="-181" w:leftChars="-86"/>
        <w:jc w:val="left"/>
        <w:rPr>
          <w:rFonts w:hint="eastAsia" w:ascii="宋体" w:hAnsi="宋体" w:eastAsia="宋体" w:cs="宋体"/>
          <w:kern w:val="0"/>
          <w:szCs w:val="21"/>
          <w14:ligatures w14:val="none"/>
        </w:rPr>
      </w:pPr>
      <w:r>
        <w:rPr>
          <w:rFonts w:hint="eastAsia" w:ascii="宋体" w:hAnsi="宋体" w:eastAsia="宋体" w:cs="宋体"/>
          <w:b/>
          <w:bCs/>
          <w:kern w:val="0"/>
          <w:szCs w:val="21"/>
          <w14:ligatures w14:val="none"/>
        </w:rPr>
        <w:t xml:space="preserve">7.联系方式 </w:t>
      </w:r>
    </w:p>
    <w:tbl>
      <w:tblPr>
        <w:tblStyle w:val="4"/>
        <w:tblW w:w="5209" w:type="pct"/>
        <w:tblCellSpacing w:w="15" w:type="dxa"/>
        <w:tblInd w:w="0" w:type="dxa"/>
        <w:tblLayout w:type="autofit"/>
        <w:tblCellMar>
          <w:top w:w="15" w:type="dxa"/>
          <w:left w:w="15" w:type="dxa"/>
          <w:bottom w:w="15" w:type="dxa"/>
          <w:right w:w="15" w:type="dxa"/>
        </w:tblCellMar>
      </w:tblPr>
      <w:tblGrid>
        <w:gridCol w:w="1327"/>
        <w:gridCol w:w="3630"/>
        <w:gridCol w:w="928"/>
        <w:gridCol w:w="3645"/>
      </w:tblGrid>
      <w:tr>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招标人：</w:t>
            </w:r>
          </w:p>
        </w:tc>
        <w:tc>
          <w:tcPr>
            <w:tcW w:w="1887" w:type="pct"/>
            <w:tcMar>
              <w:top w:w="0" w:type="dxa"/>
              <w:left w:w="0" w:type="dxa"/>
              <w:bottom w:w="0" w:type="dxa"/>
              <w:right w:w="0" w:type="dxa"/>
            </w:tcMar>
            <w:vAlign w:val="center"/>
          </w:tcPr>
          <w:p>
            <w:pPr>
              <w:widowControl/>
              <w:adjustRightInd w:val="0"/>
              <w:snapToGrid w:val="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河北高速公路集团有限公司</w:t>
            </w:r>
          </w:p>
        </w:tc>
        <w:tc>
          <w:tcPr>
            <w:tcW w:w="471" w:type="pct"/>
            <w:tcMar>
              <w:top w:w="75" w:type="dxa"/>
              <w:left w:w="150" w:type="dxa"/>
              <w:bottom w:w="75" w:type="dxa"/>
              <w:right w:w="150" w:type="dxa"/>
            </w:tcMar>
            <w:vAlign w:val="center"/>
          </w:tcPr>
          <w:p>
            <w:pPr>
              <w:widowControl/>
              <w:adjustRightInd w:val="0"/>
              <w:snapToGrid w:val="0"/>
              <w:ind w:left="-183" w:leftChars="-87" w:right="-164" w:rightChars="-78" w:firstLine="19"/>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招标代理机构：</w:t>
            </w:r>
          </w:p>
        </w:tc>
        <w:tc>
          <w:tcPr>
            <w:tcW w:w="1887" w:type="pct"/>
            <w:tcMar>
              <w:top w:w="75" w:type="dxa"/>
              <w:left w:w="150" w:type="dxa"/>
              <w:bottom w:w="75" w:type="dxa"/>
              <w:right w:w="150" w:type="dxa"/>
            </w:tcMar>
            <w:vAlign w:val="center"/>
          </w:tcPr>
          <w:p>
            <w:pPr>
              <w:widowControl/>
              <w:adjustRightInd w:val="0"/>
              <w:snapToGrid w:val="0"/>
              <w:ind w:left="-181" w:leftChars="-87"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河北宏信招标有限公司</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地址：</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河北省石家庄市长安区裕华东路509号</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地址：</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河北省石家庄市新华区合作路68号新合作广场B座14层</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邮编：</w:t>
            </w:r>
          </w:p>
        </w:tc>
        <w:tc>
          <w:tcPr>
            <w:tcW w:w="1887" w:type="pct"/>
            <w:tcMar>
              <w:top w:w="0" w:type="dxa"/>
              <w:left w:w="0" w:type="dxa"/>
              <w:bottom w:w="0" w:type="dxa"/>
              <w:right w:w="0" w:type="dxa"/>
            </w:tcMar>
            <w:vAlign w:val="center"/>
          </w:tcPr>
          <w:p>
            <w:pPr>
              <w:widowControl/>
              <w:adjustRightInd w:val="0"/>
              <w:snapToGrid w:val="0"/>
              <w:ind w:left="-17" w:leftChars="-9"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050000</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邮编：</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050051</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w:t>
            </w:r>
          </w:p>
        </w:tc>
        <w:tc>
          <w:tcPr>
            <w:tcW w:w="1887" w:type="pct"/>
            <w:tcMar>
              <w:top w:w="0" w:type="dxa"/>
              <w:left w:w="0" w:type="dxa"/>
              <w:bottom w:w="0" w:type="dxa"/>
              <w:right w:w="0" w:type="dxa"/>
            </w:tcMar>
            <w:vAlign w:val="center"/>
          </w:tcPr>
          <w:p>
            <w:pPr>
              <w:widowControl/>
              <w:adjustRightInd w:val="0"/>
              <w:snapToGrid w:val="0"/>
              <w:ind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李娜、王海越</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苏东强、张坤、张浩</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w:t>
            </w:r>
          </w:p>
        </w:tc>
        <w:tc>
          <w:tcPr>
            <w:tcW w:w="1887" w:type="pct"/>
            <w:tcMar>
              <w:top w:w="0" w:type="dxa"/>
              <w:left w:w="0" w:type="dxa"/>
              <w:bottom w:w="0" w:type="dxa"/>
              <w:right w:w="0" w:type="dxa"/>
            </w:tcMar>
            <w:vAlign w:val="center"/>
          </w:tcPr>
          <w:p>
            <w:pPr>
              <w:widowControl/>
              <w:adjustRightInd w:val="0"/>
              <w:snapToGrid w:val="0"/>
              <w:ind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0311-66726762</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18931106855、18632418288</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传真：</w:t>
            </w:r>
          </w:p>
        </w:tc>
        <w:tc>
          <w:tcPr>
            <w:tcW w:w="1887" w:type="pct"/>
            <w:tcMar>
              <w:top w:w="0" w:type="dxa"/>
              <w:left w:w="0" w:type="dxa"/>
              <w:bottom w:w="0" w:type="dxa"/>
              <w:right w:w="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传真：</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0311-87870162</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电子邮件：</w:t>
            </w:r>
          </w:p>
        </w:tc>
        <w:tc>
          <w:tcPr>
            <w:tcW w:w="1887" w:type="pct"/>
            <w:tcMar>
              <w:top w:w="0" w:type="dxa"/>
              <w:left w:w="0" w:type="dxa"/>
              <w:bottom w:w="0" w:type="dxa"/>
              <w:right w:w="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电子邮件：</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hxzb0314@163.com</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网址：</w:t>
            </w:r>
          </w:p>
        </w:tc>
        <w:tc>
          <w:tcPr>
            <w:tcW w:w="1887" w:type="pct"/>
            <w:tcMar>
              <w:top w:w="0" w:type="dxa"/>
              <w:left w:w="0" w:type="dxa"/>
              <w:bottom w:w="0" w:type="dxa"/>
              <w:right w:w="0" w:type="dxa"/>
            </w:tcMar>
            <w:vAlign w:val="center"/>
          </w:tcPr>
          <w:p>
            <w:pPr>
              <w:widowControl/>
              <w:adjustRightInd w:val="0"/>
              <w:snapToGrid w:val="0"/>
              <w:ind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http://www.hbgs.com.cn</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网址：</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http://www.hbhxzb.com/#/index</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开户银行：</w:t>
            </w:r>
          </w:p>
        </w:tc>
        <w:tc>
          <w:tcPr>
            <w:tcW w:w="1887" w:type="pct"/>
            <w:tcMar>
              <w:top w:w="0" w:type="dxa"/>
              <w:left w:w="0" w:type="dxa"/>
              <w:bottom w:w="0" w:type="dxa"/>
              <w:right w:w="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开户银行：</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交通银行河北省分行营业部</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账号：</w:t>
            </w:r>
          </w:p>
        </w:tc>
        <w:tc>
          <w:tcPr>
            <w:tcW w:w="1887" w:type="pct"/>
            <w:tcMar>
              <w:top w:w="0" w:type="dxa"/>
              <w:left w:w="0" w:type="dxa"/>
              <w:bottom w:w="0" w:type="dxa"/>
              <w:right w:w="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账号：</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131080020010210042421</w:t>
            </w:r>
          </w:p>
        </w:tc>
      </w:tr>
    </w:tbl>
    <w:p>
      <w:pPr>
        <w:adjustRightInd w:val="0"/>
        <w:snapToGrid w:val="0"/>
        <w:rPr>
          <w:rFonts w:hint="eastAsia" w:ascii="宋体" w:hAnsi="宋体" w:eastAsia="宋体"/>
          <w:szCs w:val="21"/>
        </w:rPr>
      </w:pPr>
    </w:p>
    <w:sectPr>
      <w:pgSz w:w="11906" w:h="16838"/>
      <w:pgMar w:top="1418" w:right="1558" w:bottom="1134"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hY2ViOWYxMDlkMzdlOTAxNDgxYzJkYjY0MDM2ZjcifQ=="/>
  </w:docVars>
  <w:rsids>
    <w:rsidRoot w:val="009A4BC8"/>
    <w:rsid w:val="00007A23"/>
    <w:rsid w:val="000244EE"/>
    <w:rsid w:val="00282647"/>
    <w:rsid w:val="002C3279"/>
    <w:rsid w:val="003163CA"/>
    <w:rsid w:val="00482D8B"/>
    <w:rsid w:val="005D7317"/>
    <w:rsid w:val="0086482B"/>
    <w:rsid w:val="009A4BC8"/>
    <w:rsid w:val="00D63333"/>
    <w:rsid w:val="00DC69FF"/>
    <w:rsid w:val="00E7307C"/>
    <w:rsid w:val="74D0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8"/>
    <w:qFormat/>
    <w:uiPriority w:val="9"/>
    <w:pPr>
      <w:widowControl/>
      <w:jc w:val="left"/>
      <w:outlineLvl w:val="1"/>
    </w:pPr>
    <w:rPr>
      <w:rFonts w:ascii="宋体" w:hAnsi="宋体" w:eastAsia="宋体" w:cs="宋体"/>
      <w:b/>
      <w:bCs/>
      <w:kern w:val="0"/>
      <w:sz w:val="36"/>
      <w:szCs w:val="36"/>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ind w:firstLine="480"/>
      <w:jc w:val="left"/>
    </w:pPr>
    <w:rPr>
      <w:rFonts w:ascii="宋体" w:hAnsi="宋体" w:eastAsia="宋体" w:cs="宋体"/>
      <w:kern w:val="0"/>
      <w:sz w:val="24"/>
      <w:szCs w:val="24"/>
      <w14:ligatures w14:val="none"/>
    </w:rPr>
  </w:style>
  <w:style w:type="character" w:styleId="6">
    <w:name w:val="Strong"/>
    <w:basedOn w:val="5"/>
    <w:qFormat/>
    <w:uiPriority w:val="22"/>
    <w:rPr>
      <w:b/>
      <w:bCs/>
    </w:rPr>
  </w:style>
  <w:style w:type="character" w:styleId="7">
    <w:name w:val="Hyperlink"/>
    <w:basedOn w:val="5"/>
    <w:semiHidden/>
    <w:unhideWhenUsed/>
    <w:uiPriority w:val="99"/>
    <w:rPr>
      <w:color w:val="444444"/>
      <w:u w:val="none"/>
    </w:rPr>
  </w:style>
  <w:style w:type="character" w:customStyle="1" w:styleId="8">
    <w:name w:val="标题 2 字符"/>
    <w:basedOn w:val="5"/>
    <w:link w:val="2"/>
    <w:uiPriority w:val="9"/>
    <w:rPr>
      <w:rFonts w:ascii="宋体" w:hAnsi="宋体" w:eastAsia="宋体" w:cs="宋体"/>
      <w:b/>
      <w:bCs/>
      <w:kern w:val="0"/>
      <w:sz w:val="36"/>
      <w:szCs w:val="36"/>
      <w14:ligatures w14:val="none"/>
    </w:rPr>
  </w:style>
  <w:style w:type="paragraph" w:customStyle="1" w:styleId="9">
    <w:name w:val="over1"/>
    <w:basedOn w:val="1"/>
    <w:uiPriority w:val="0"/>
    <w:pPr>
      <w:widowControl/>
      <w:spacing w:line="1275" w:lineRule="atLeast"/>
      <w:jc w:val="left"/>
    </w:pPr>
    <w:rPr>
      <w:rFonts w:ascii="宋体" w:hAnsi="宋体" w:eastAsia="宋体" w:cs="宋体"/>
      <w:kern w:val="0"/>
      <w:sz w:val="24"/>
      <w:szCs w:val="24"/>
      <w14:ligatures w14:val="none"/>
    </w:rPr>
  </w:style>
  <w:style w:type="paragraph" w:styleId="10">
    <w:name w:val="List Paragraph"/>
    <w:basedOn w:val="1"/>
    <w:qFormat/>
    <w:uiPriority w:val="34"/>
    <w:pPr>
      <w:widowControl/>
      <w:spacing w:before="100" w:beforeAutospacing="1" w:after="100" w:afterAutospacing="1"/>
      <w:ind w:firstLine="480"/>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2586</Words>
  <Characters>3221</Characters>
  <Lines>23</Lines>
  <Paragraphs>6</Paragraphs>
  <TotalTime>12</TotalTime>
  <ScaleCrop>false</ScaleCrop>
  <LinksUpToDate>false</LinksUpToDate>
  <CharactersWithSpaces>3286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2024-06-07T01:40:00Z</dcterms:created>
  <dc:creator>帆 齐</dc:creator>
  <cp:lastModifiedBy>小虎牙ヾ</cp:lastModifiedBy>
  <dcterms:modified xsi:type="dcterms:W3CDTF">2024-06-07T02:16:50Z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F81102CAD9E44E21B30EA56B3C226859_12</vt:lpwstr>
  </property>
</Properties>
</file>