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400" w:lineRule="exact"/>
        <w:ind w:firstLine="420" w:firstLineChars="200"/>
        <w:rPr>
          <w:rFonts w:ascii="宋体" w:hAnsi="宋体"/>
          <w:color w:val="auto"/>
          <w:highlight w:val="none"/>
        </w:rPr>
      </w:pPr>
    </w:p>
    <w:p>
      <w:pPr>
        <w:spacing w:beforeLines="50" w:afterLines="50" w:line="360" w:lineRule="auto"/>
        <w:jc w:val="center"/>
        <w:rPr>
          <w:rFonts w:ascii="宋体" w:hAnsi="宋体"/>
          <w:b/>
          <w:bCs/>
          <w:color w:val="auto"/>
          <w:sz w:val="40"/>
          <w:szCs w:val="44"/>
          <w:highlight w:val="none"/>
        </w:rPr>
      </w:pPr>
    </w:p>
    <w:p>
      <w:pPr>
        <w:spacing w:beforeLines="50" w:afterLines="50" w:line="360" w:lineRule="auto"/>
        <w:jc w:val="center"/>
        <w:rPr>
          <w:rFonts w:hint="eastAsia" w:ascii="宋体" w:hAnsi="宋体"/>
          <w:b/>
          <w:bCs/>
          <w:color w:val="auto"/>
          <w:sz w:val="40"/>
          <w:szCs w:val="44"/>
          <w:highlight w:val="none"/>
        </w:rPr>
      </w:pPr>
      <w:r>
        <w:rPr>
          <w:rFonts w:hint="eastAsia" w:ascii="宋体" w:hAnsi="宋体"/>
          <w:b/>
          <w:bCs/>
          <w:color w:val="auto"/>
          <w:sz w:val="40"/>
          <w:szCs w:val="44"/>
          <w:highlight w:val="none"/>
        </w:rPr>
        <w:t>河北高速公路集团有限公司青银分公司</w:t>
      </w:r>
    </w:p>
    <w:p>
      <w:pPr>
        <w:spacing w:beforeLines="50" w:afterLines="50" w:line="360" w:lineRule="auto"/>
        <w:jc w:val="center"/>
        <w:rPr>
          <w:rFonts w:ascii="宋体" w:hAnsi="宋体"/>
          <w:bCs/>
          <w:color w:val="auto"/>
          <w:sz w:val="44"/>
          <w:szCs w:val="44"/>
          <w:highlight w:val="none"/>
        </w:rPr>
      </w:pP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高速云系统信创化适配迁移及数据资产化的研究</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科技创新项目</w:t>
      </w:r>
    </w:p>
    <w:p>
      <w:pPr>
        <w:pStyle w:val="17"/>
        <w:rPr>
          <w:rFonts w:ascii="宋体" w:hAnsi="宋体"/>
          <w:color w:val="auto"/>
          <w:highlight w:val="none"/>
        </w:rPr>
      </w:pPr>
    </w:p>
    <w:p>
      <w:pPr>
        <w:pStyle w:val="18"/>
        <w:rPr>
          <w:rFonts w:ascii="宋体" w:hAnsi="宋体"/>
          <w:color w:val="auto"/>
          <w:highlight w:val="none"/>
        </w:rPr>
      </w:pPr>
    </w:p>
    <w:p>
      <w:pPr>
        <w:rPr>
          <w:rFonts w:ascii="宋体" w:hAnsi="宋体"/>
          <w:color w:val="auto"/>
          <w:highlight w:val="none"/>
        </w:rPr>
      </w:pPr>
    </w:p>
    <w:p>
      <w:pPr>
        <w:pStyle w:val="17"/>
        <w:rPr>
          <w:rFonts w:ascii="宋体" w:hAnsi="宋体"/>
          <w:color w:val="auto"/>
          <w:highlight w:val="none"/>
        </w:rPr>
      </w:pPr>
    </w:p>
    <w:p>
      <w:pPr>
        <w:pStyle w:val="18"/>
        <w:rPr>
          <w:rFonts w:ascii="宋体" w:hAnsi="宋体"/>
          <w:color w:val="auto"/>
          <w:highlight w:val="none"/>
        </w:rPr>
      </w:pPr>
    </w:p>
    <w:p>
      <w:pPr>
        <w:rPr>
          <w:rFonts w:ascii="宋体" w:hAnsi="宋体"/>
          <w:color w:val="auto"/>
          <w:highlight w:val="none"/>
        </w:rPr>
      </w:pPr>
    </w:p>
    <w:p>
      <w:pPr>
        <w:spacing w:beforeLines="5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pPr>
        <w:spacing w:beforeLines="50" w:afterLines="50"/>
        <w:jc w:val="center"/>
        <w:rPr>
          <w:rFonts w:ascii="宋体" w:hAnsi="宋体"/>
          <w:bCs/>
          <w:color w:val="auto"/>
          <w:sz w:val="30"/>
          <w:szCs w:val="30"/>
          <w:highlight w:val="none"/>
        </w:rPr>
      </w:pPr>
    </w:p>
    <w:p>
      <w:pPr>
        <w:spacing w:beforeLines="50" w:afterLines="50"/>
        <w:jc w:val="center"/>
        <w:rPr>
          <w:rFonts w:hint="default" w:ascii="宋体" w:hAnsi="宋体" w:eastAsia="宋体"/>
          <w:color w:val="auto"/>
          <w:highlight w:val="none"/>
          <w:lang w:val="en-US" w:eastAsia="zh-CN"/>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val="en-US" w:eastAsia="zh-CN"/>
        </w:rPr>
        <w:t>ZXGS-JBGS-202405-7</w:t>
      </w:r>
    </w:p>
    <w:p>
      <w:pPr>
        <w:spacing w:beforeLines="50" w:afterLines="50"/>
        <w:jc w:val="center"/>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pStyle w:val="40"/>
        <w:rPr>
          <w:rFonts w:ascii="宋体" w:hAnsi="宋体"/>
          <w:color w:val="auto"/>
          <w:highlight w:val="none"/>
        </w:rPr>
      </w:pPr>
    </w:p>
    <w:p>
      <w:pPr>
        <w:pStyle w:val="40"/>
        <w:rPr>
          <w:rFonts w:ascii="宋体" w:hAnsi="宋体"/>
          <w:color w:val="auto"/>
          <w:highlight w:val="none"/>
        </w:rPr>
      </w:pPr>
    </w:p>
    <w:p>
      <w:pPr>
        <w:adjustRightInd w:val="0"/>
        <w:snapToGrid w:val="0"/>
        <w:spacing w:beforeLines="50" w:afterLines="50"/>
        <w:rPr>
          <w:rFonts w:ascii="宋体" w:hAnsi="宋体"/>
          <w:bCs/>
          <w:color w:val="auto"/>
          <w:sz w:val="30"/>
          <w:szCs w:val="30"/>
          <w:highlight w:val="none"/>
        </w:rPr>
      </w:pPr>
    </w:p>
    <w:p>
      <w:pPr>
        <w:adjustRightInd w:val="0"/>
        <w:snapToGrid w:val="0"/>
        <w:spacing w:line="480" w:lineRule="auto"/>
        <w:ind w:firstLine="1699" w:firstLineChars="607"/>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lang w:eastAsia="zh-CN"/>
        </w:rPr>
        <w:t>用户单位</w:t>
      </w:r>
      <w:r>
        <w:rPr>
          <w:rFonts w:hint="eastAsia" w:ascii="宋体" w:hAnsi="宋体"/>
          <w:bCs/>
          <w:color w:val="auto"/>
          <w:sz w:val="28"/>
          <w:szCs w:val="28"/>
          <w:highlight w:val="none"/>
        </w:rPr>
        <w:t>：河北高速公路集团有限公司</w:t>
      </w:r>
      <w:r>
        <w:rPr>
          <w:rFonts w:hint="eastAsia" w:ascii="宋体" w:hAnsi="宋体"/>
          <w:bCs/>
          <w:color w:val="auto"/>
          <w:sz w:val="28"/>
          <w:szCs w:val="28"/>
          <w:highlight w:val="none"/>
          <w:lang w:val="en-US" w:eastAsia="zh-CN"/>
        </w:rPr>
        <w:t>青银</w:t>
      </w:r>
      <w:r>
        <w:rPr>
          <w:rFonts w:hint="eastAsia" w:ascii="宋体" w:hAnsi="宋体"/>
          <w:bCs/>
          <w:color w:val="auto"/>
          <w:sz w:val="28"/>
          <w:szCs w:val="28"/>
          <w:highlight w:val="none"/>
          <w:lang w:eastAsia="zh-CN"/>
        </w:rPr>
        <w:t>分公司</w:t>
      </w:r>
    </w:p>
    <w:p>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z w:val="28"/>
          <w:szCs w:val="28"/>
          <w:highlight w:val="none"/>
          <w:lang w:eastAsia="zh-CN"/>
        </w:rPr>
        <w:t>河北高速集团工程咨询有限公司</w:t>
      </w:r>
      <w:r>
        <w:rPr>
          <w:rFonts w:hint="eastAsia" w:ascii="宋体" w:hAnsi="宋体"/>
          <w:bCs/>
          <w:color w:val="auto"/>
          <w:sz w:val="28"/>
          <w:szCs w:val="28"/>
          <w:highlight w:val="none"/>
        </w:rPr>
        <w:t xml:space="preserve">    </w:t>
      </w:r>
    </w:p>
    <w:p>
      <w:pPr>
        <w:adjustRightInd w:val="0"/>
        <w:snapToGrid w:val="0"/>
        <w:spacing w:line="480" w:lineRule="auto"/>
        <w:ind w:firstLine="4250" w:firstLineChars="1518"/>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24年5月</w:t>
      </w:r>
    </w:p>
    <w:p>
      <w:pPr>
        <w:pStyle w:val="96"/>
        <w:spacing w:beforeLines="50" w:afterLines="50" w:line="400" w:lineRule="exact"/>
        <w:jc w:val="center"/>
        <w:rPr>
          <w:rFonts w:ascii="宋体" w:hAnsi="宋体"/>
          <w:color w:val="auto"/>
          <w:highlight w:val="none"/>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fmt="decimal" w:start="1"/>
          <w:cols w:space="720" w:num="1"/>
          <w:docGrid w:linePitch="285" w:charSpace="0"/>
        </w:sectPr>
      </w:pPr>
    </w:p>
    <w:p>
      <w:pPr>
        <w:jc w:val="center"/>
        <w:rPr>
          <w:rFonts w:ascii="宋体" w:hAnsi="宋体"/>
          <w:color w:val="auto"/>
          <w:highlight w:val="none"/>
        </w:rPr>
      </w:pPr>
    </w:p>
    <w:p>
      <w:pPr>
        <w:pStyle w:val="103"/>
        <w:jc w:val="center"/>
        <w:rPr>
          <w:rFonts w:ascii="宋体" w:hAnsi="宋体"/>
          <w:b/>
          <w:bCs/>
          <w:color w:val="auto"/>
          <w:highlight w:val="none"/>
        </w:rPr>
      </w:pPr>
      <w:bookmarkStart w:id="0" w:name="_Toc20130"/>
      <w:bookmarkStart w:id="1" w:name="_Toc1184"/>
      <w:bookmarkStart w:id="2" w:name="_Toc152042287"/>
      <w:bookmarkStart w:id="3" w:name="_Toc144974479"/>
      <w:bookmarkStart w:id="4" w:name="_Toc152045511"/>
      <w:r>
        <w:rPr>
          <w:rFonts w:ascii="宋体" w:hAnsi="宋体"/>
          <w:b/>
          <w:bCs/>
          <w:color w:val="auto"/>
          <w:highlight w:val="none"/>
          <w:lang w:val="zh-CN"/>
        </w:rPr>
        <w:t>目  录</w:t>
      </w:r>
      <w:bookmarkEnd w:id="0"/>
      <w:bookmarkEnd w:id="1"/>
    </w:p>
    <w:p>
      <w:pPr>
        <w:pStyle w:val="28"/>
        <w:tabs>
          <w:tab w:val="right" w:leader="dot" w:pos="8630"/>
        </w:tabs>
        <w:jc w:val="center"/>
        <w:rPr>
          <w:rFonts w:ascii="宋体" w:hAnsi="宋体"/>
          <w:color w:val="auto"/>
          <w:highlight w:val="none"/>
        </w:rPr>
      </w:pPr>
    </w:p>
    <w:p>
      <w:pPr>
        <w:pStyle w:val="28"/>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480" w:lineRule="auto"/>
        <w:textAlignment w:val="auto"/>
        <w:rPr>
          <w:sz w:val="24"/>
          <w:szCs w:val="24"/>
        </w:rPr>
      </w:pPr>
      <w:r>
        <w:rPr>
          <w:rFonts w:ascii="宋体" w:hAnsi="宋体"/>
          <w:color w:val="auto"/>
          <w:szCs w:val="21"/>
          <w:highlight w:val="none"/>
        </w:rPr>
        <w:fldChar w:fldCharType="begin"/>
      </w:r>
      <w:r>
        <w:rPr>
          <w:rFonts w:ascii="宋体" w:hAnsi="宋体"/>
          <w:color w:val="auto"/>
          <w:szCs w:val="21"/>
          <w:highlight w:val="none"/>
        </w:rPr>
        <w:instrText xml:space="preserve">TOC \o "1-3" \h \u </w:instrText>
      </w:r>
      <w:r>
        <w:rPr>
          <w:rFonts w:ascii="宋体" w:hAnsi="宋体"/>
          <w:color w:val="auto"/>
          <w:szCs w:val="21"/>
          <w:highlight w:val="none"/>
        </w:rPr>
        <w:fldChar w:fldCharType="separate"/>
      </w:r>
      <w:r>
        <w:rPr>
          <w:rFonts w:ascii="宋体" w:hAnsi="宋体"/>
          <w:color w:val="auto"/>
          <w:sz w:val="24"/>
          <w:szCs w:val="24"/>
          <w:highlight w:val="none"/>
        </w:rPr>
        <w:fldChar w:fldCharType="begin"/>
      </w:r>
      <w:r>
        <w:rPr>
          <w:rFonts w:ascii="宋体" w:hAnsi="宋体"/>
          <w:sz w:val="24"/>
          <w:szCs w:val="24"/>
          <w:highlight w:val="none"/>
        </w:rPr>
        <w:instrText xml:space="preserve"> HYPERLINK \l _Toc16506 </w:instrText>
      </w:r>
      <w:r>
        <w:rPr>
          <w:rFonts w:ascii="宋体" w:hAnsi="宋体"/>
          <w:sz w:val="24"/>
          <w:szCs w:val="24"/>
          <w:highlight w:val="none"/>
        </w:rPr>
        <w:fldChar w:fldCharType="separate"/>
      </w:r>
      <w:r>
        <w:rPr>
          <w:rFonts w:ascii="宋体" w:hAnsi="宋体"/>
          <w:sz w:val="24"/>
          <w:szCs w:val="24"/>
          <w:highlight w:val="none"/>
        </w:rPr>
        <w:t>第一章</w:t>
      </w:r>
      <w:r>
        <w:rPr>
          <w:rFonts w:hint="eastAsia" w:ascii="宋体" w:hAnsi="宋体"/>
          <w:sz w:val="24"/>
          <w:szCs w:val="24"/>
          <w:highlight w:val="none"/>
        </w:rPr>
        <w:t>“揭榜挂帅”榜单</w:t>
      </w:r>
      <w:r>
        <w:rPr>
          <w:sz w:val="24"/>
          <w:szCs w:val="24"/>
        </w:rPr>
        <w:tab/>
      </w:r>
      <w:r>
        <w:rPr>
          <w:sz w:val="24"/>
          <w:szCs w:val="24"/>
        </w:rPr>
        <w:fldChar w:fldCharType="begin"/>
      </w:r>
      <w:r>
        <w:rPr>
          <w:sz w:val="24"/>
          <w:szCs w:val="24"/>
        </w:rPr>
        <w:instrText xml:space="preserve"> PAGEREF _Toc16506 \h </w:instrText>
      </w:r>
      <w:r>
        <w:rPr>
          <w:sz w:val="24"/>
          <w:szCs w:val="24"/>
        </w:rPr>
        <w:fldChar w:fldCharType="separate"/>
      </w:r>
      <w:r>
        <w:rPr>
          <w:sz w:val="24"/>
          <w:szCs w:val="24"/>
        </w:rPr>
        <w:t>2</w:t>
      </w:r>
      <w:r>
        <w:rPr>
          <w:sz w:val="24"/>
          <w:szCs w:val="24"/>
        </w:rPr>
        <w:fldChar w:fldCharType="end"/>
      </w:r>
      <w:r>
        <w:rPr>
          <w:rFonts w:ascii="宋体" w:hAnsi="宋体"/>
          <w:color w:val="auto"/>
          <w:sz w:val="24"/>
          <w:szCs w:val="24"/>
          <w:highlight w:val="none"/>
        </w:rPr>
        <w:fldChar w:fldCharType="end"/>
      </w:r>
    </w:p>
    <w:p>
      <w:pPr>
        <w:pStyle w:val="28"/>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48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_Toc7511 </w:instrText>
      </w:r>
      <w:r>
        <w:rPr>
          <w:rFonts w:ascii="宋体" w:hAnsi="宋体"/>
          <w:sz w:val="24"/>
          <w:szCs w:val="24"/>
          <w:highlight w:val="none"/>
        </w:rPr>
        <w:fldChar w:fldCharType="separate"/>
      </w:r>
      <w:r>
        <w:rPr>
          <w:rFonts w:hint="eastAsia" w:ascii="宋体" w:hAnsi="宋体"/>
          <w:sz w:val="24"/>
          <w:szCs w:val="24"/>
          <w:highlight w:val="none"/>
        </w:rPr>
        <w:t>第二章</w:t>
      </w:r>
      <w:r>
        <w:rPr>
          <w:rFonts w:hint="eastAsia" w:ascii="宋体" w:hAnsi="宋体"/>
          <w:sz w:val="24"/>
          <w:szCs w:val="24"/>
          <w:highlight w:val="none"/>
          <w:lang w:val="en-US" w:eastAsia="zh-CN"/>
        </w:rPr>
        <w:t xml:space="preserve"> 揭榜人须知</w:t>
      </w:r>
      <w:r>
        <w:rPr>
          <w:sz w:val="24"/>
          <w:szCs w:val="24"/>
        </w:rPr>
        <w:tab/>
      </w:r>
      <w:r>
        <w:rPr>
          <w:sz w:val="24"/>
          <w:szCs w:val="24"/>
        </w:rPr>
        <w:fldChar w:fldCharType="begin"/>
      </w:r>
      <w:r>
        <w:rPr>
          <w:sz w:val="24"/>
          <w:szCs w:val="24"/>
        </w:rPr>
        <w:instrText xml:space="preserve"> PAGEREF _Toc7511 \h </w:instrText>
      </w:r>
      <w:r>
        <w:rPr>
          <w:sz w:val="24"/>
          <w:szCs w:val="24"/>
        </w:rPr>
        <w:fldChar w:fldCharType="separate"/>
      </w:r>
      <w:r>
        <w:rPr>
          <w:sz w:val="24"/>
          <w:szCs w:val="24"/>
        </w:rPr>
        <w:t>8</w:t>
      </w:r>
      <w:r>
        <w:rPr>
          <w:sz w:val="24"/>
          <w:szCs w:val="24"/>
        </w:rPr>
        <w:fldChar w:fldCharType="end"/>
      </w:r>
      <w:r>
        <w:rPr>
          <w:rFonts w:ascii="宋体" w:hAnsi="宋体"/>
          <w:color w:val="auto"/>
          <w:sz w:val="24"/>
          <w:szCs w:val="24"/>
          <w:highlight w:val="none"/>
        </w:rPr>
        <w:fldChar w:fldCharType="end"/>
      </w:r>
    </w:p>
    <w:p>
      <w:pPr>
        <w:pStyle w:val="28"/>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48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_Toc20826 </w:instrText>
      </w:r>
      <w:r>
        <w:rPr>
          <w:rFonts w:ascii="宋体" w:hAnsi="宋体"/>
          <w:sz w:val="24"/>
          <w:szCs w:val="24"/>
          <w:highlight w:val="none"/>
        </w:rPr>
        <w:fldChar w:fldCharType="separate"/>
      </w:r>
      <w:r>
        <w:rPr>
          <w:rFonts w:hint="eastAsia" w:ascii="宋体" w:hAnsi="宋体"/>
          <w:sz w:val="24"/>
          <w:szCs w:val="24"/>
          <w:highlight w:val="none"/>
        </w:rPr>
        <w:t>第</w:t>
      </w:r>
      <w:r>
        <w:rPr>
          <w:rFonts w:hint="eastAsia" w:ascii="宋体" w:hAnsi="宋体"/>
          <w:sz w:val="24"/>
          <w:szCs w:val="24"/>
          <w:highlight w:val="none"/>
          <w:lang w:val="en-US" w:eastAsia="zh-CN"/>
        </w:rPr>
        <w:t>三</w:t>
      </w:r>
      <w:r>
        <w:rPr>
          <w:rFonts w:hint="eastAsia" w:ascii="宋体" w:hAnsi="宋体"/>
          <w:sz w:val="24"/>
          <w:szCs w:val="24"/>
          <w:highlight w:val="none"/>
        </w:rPr>
        <w:t>章</w:t>
      </w:r>
      <w:r>
        <w:rPr>
          <w:rFonts w:hint="eastAsia" w:ascii="宋体" w:hAnsi="宋体"/>
          <w:sz w:val="24"/>
          <w:szCs w:val="24"/>
          <w:highlight w:val="none"/>
          <w:lang w:val="en-US" w:eastAsia="zh-CN"/>
        </w:rPr>
        <w:t xml:space="preserve"> </w:t>
      </w:r>
      <w:r>
        <w:rPr>
          <w:rFonts w:hint="eastAsia" w:ascii="宋体" w:hAnsi="宋体"/>
          <w:sz w:val="24"/>
          <w:szCs w:val="24"/>
          <w:highlight w:val="none"/>
        </w:rPr>
        <w:t>评审办法</w:t>
      </w:r>
      <w:r>
        <w:rPr>
          <w:sz w:val="24"/>
          <w:szCs w:val="24"/>
        </w:rPr>
        <w:tab/>
      </w:r>
      <w:r>
        <w:rPr>
          <w:sz w:val="24"/>
          <w:szCs w:val="24"/>
        </w:rPr>
        <w:fldChar w:fldCharType="begin"/>
      </w:r>
      <w:r>
        <w:rPr>
          <w:sz w:val="24"/>
          <w:szCs w:val="24"/>
        </w:rPr>
        <w:instrText xml:space="preserve"> PAGEREF _Toc20826 \h </w:instrText>
      </w:r>
      <w:r>
        <w:rPr>
          <w:sz w:val="24"/>
          <w:szCs w:val="24"/>
        </w:rPr>
        <w:fldChar w:fldCharType="separate"/>
      </w:r>
      <w:r>
        <w:rPr>
          <w:sz w:val="24"/>
          <w:szCs w:val="24"/>
        </w:rPr>
        <w:t>11</w:t>
      </w:r>
      <w:r>
        <w:rPr>
          <w:sz w:val="24"/>
          <w:szCs w:val="24"/>
        </w:rPr>
        <w:fldChar w:fldCharType="end"/>
      </w:r>
      <w:r>
        <w:rPr>
          <w:rFonts w:ascii="宋体" w:hAnsi="宋体"/>
          <w:color w:val="auto"/>
          <w:sz w:val="24"/>
          <w:szCs w:val="24"/>
          <w:highlight w:val="none"/>
        </w:rPr>
        <w:fldChar w:fldCharType="end"/>
      </w:r>
    </w:p>
    <w:p>
      <w:pPr>
        <w:pStyle w:val="28"/>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48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_Toc1551 </w:instrText>
      </w:r>
      <w:r>
        <w:rPr>
          <w:rFonts w:ascii="宋体" w:hAnsi="宋体"/>
          <w:sz w:val="24"/>
          <w:szCs w:val="24"/>
          <w:highlight w:val="none"/>
        </w:rPr>
        <w:fldChar w:fldCharType="separate"/>
      </w:r>
      <w:r>
        <w:rPr>
          <w:rFonts w:hint="eastAsia" w:ascii="宋体" w:hAnsi="宋体"/>
          <w:sz w:val="24"/>
          <w:szCs w:val="24"/>
          <w:highlight w:val="none"/>
        </w:rPr>
        <w:t>第</w:t>
      </w:r>
      <w:r>
        <w:rPr>
          <w:rFonts w:hint="eastAsia" w:ascii="宋体" w:hAnsi="宋体"/>
          <w:sz w:val="24"/>
          <w:szCs w:val="24"/>
          <w:highlight w:val="none"/>
          <w:lang w:val="en-US" w:eastAsia="zh-CN"/>
        </w:rPr>
        <w:t>四</w:t>
      </w:r>
      <w:r>
        <w:rPr>
          <w:rFonts w:hint="eastAsia" w:ascii="宋体" w:hAnsi="宋体"/>
          <w:sz w:val="24"/>
          <w:szCs w:val="24"/>
          <w:highlight w:val="none"/>
        </w:rPr>
        <w:t>章揭榜响应文件格式</w:t>
      </w:r>
      <w:r>
        <w:rPr>
          <w:sz w:val="24"/>
          <w:szCs w:val="24"/>
        </w:rPr>
        <w:tab/>
      </w:r>
      <w:r>
        <w:rPr>
          <w:sz w:val="24"/>
          <w:szCs w:val="24"/>
        </w:rPr>
        <w:fldChar w:fldCharType="begin"/>
      </w:r>
      <w:r>
        <w:rPr>
          <w:sz w:val="24"/>
          <w:szCs w:val="24"/>
        </w:rPr>
        <w:instrText xml:space="preserve"> PAGEREF _Toc1551 \h </w:instrText>
      </w:r>
      <w:r>
        <w:rPr>
          <w:sz w:val="24"/>
          <w:szCs w:val="24"/>
        </w:rPr>
        <w:fldChar w:fldCharType="separate"/>
      </w:r>
      <w:r>
        <w:rPr>
          <w:sz w:val="24"/>
          <w:szCs w:val="24"/>
        </w:rPr>
        <w:t>16</w:t>
      </w:r>
      <w:r>
        <w:rPr>
          <w:sz w:val="24"/>
          <w:szCs w:val="24"/>
        </w:rPr>
        <w:fldChar w:fldCharType="end"/>
      </w:r>
      <w:r>
        <w:rPr>
          <w:rFonts w:ascii="宋体" w:hAnsi="宋体"/>
          <w:color w:val="auto"/>
          <w:sz w:val="24"/>
          <w:szCs w:val="24"/>
          <w:highlight w:val="none"/>
        </w:rPr>
        <w:fldChar w:fldCharType="end"/>
      </w:r>
    </w:p>
    <w:p>
      <w:pPr>
        <w:pStyle w:val="33"/>
        <w:tabs>
          <w:tab w:val="right" w:leader="dot" w:pos="9404"/>
        </w:tabs>
      </w:pPr>
    </w:p>
    <w:p>
      <w:pPr>
        <w:spacing w:line="720" w:lineRule="auto"/>
        <w:rPr>
          <w:rFonts w:ascii="宋体" w:hAnsi="宋体"/>
          <w:color w:val="auto"/>
          <w:szCs w:val="21"/>
          <w:highlight w:val="none"/>
        </w:rPr>
      </w:pPr>
      <w:r>
        <w:rPr>
          <w:rFonts w:ascii="宋体" w:hAnsi="宋体"/>
          <w:color w:val="auto"/>
          <w:szCs w:val="21"/>
          <w:highlight w:val="none"/>
        </w:rPr>
        <w:fldChar w:fldCharType="end"/>
      </w:r>
    </w:p>
    <w:p>
      <w:pPr>
        <w:rPr>
          <w:rFonts w:ascii="宋体" w:hAnsi="宋体"/>
          <w:color w:val="auto"/>
          <w:highlight w:val="none"/>
        </w:rPr>
        <w:sectPr>
          <w:footerReference r:id="rId8" w:type="default"/>
          <w:type w:val="nextColumn"/>
          <w:pgSz w:w="12240" w:h="15840"/>
          <w:pgMar w:top="1418" w:right="1418" w:bottom="1418" w:left="1418" w:header="720" w:footer="720" w:gutter="0"/>
          <w:pgNumType w:fmt="decimal" w:start="1"/>
          <w:cols w:space="720" w:num="1"/>
          <w:docGrid w:linePitch="285" w:charSpace="0"/>
        </w:sectPr>
      </w:pPr>
    </w:p>
    <w:p>
      <w:pPr>
        <w:pStyle w:val="2"/>
        <w:spacing w:line="240" w:lineRule="auto"/>
        <w:jc w:val="center"/>
        <w:rPr>
          <w:rFonts w:hint="eastAsia" w:ascii="宋体" w:hAnsi="宋体"/>
          <w:color w:val="auto"/>
          <w:sz w:val="32"/>
          <w:szCs w:val="32"/>
          <w:highlight w:val="none"/>
        </w:rPr>
      </w:pPr>
      <w:bookmarkStart w:id="5" w:name="_Toc10093"/>
      <w:bookmarkStart w:id="6" w:name="_Toc16506"/>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sz w:val="30"/>
          <w:szCs w:val="30"/>
          <w:highlight w:val="none"/>
          <w:lang w:val="en-US" w:eastAsia="zh-CN"/>
        </w:rPr>
      </w:pPr>
      <w:r>
        <w:rPr>
          <w:rFonts w:hint="eastAsia" w:ascii="宋体" w:hAnsi="宋体"/>
          <w:b/>
          <w:bCs/>
          <w:color w:val="auto"/>
          <w:sz w:val="30"/>
          <w:szCs w:val="30"/>
          <w:highlight w:val="none"/>
        </w:rPr>
        <w:t>河北高速公路集团有限公司青银分公司“高速云系统信创化适配迁移及数据资产化的研究”科技创新项目“揭榜挂帅”榜单</w:t>
      </w:r>
    </w:p>
    <w:bookmarkEnd w:id="2"/>
    <w:bookmarkEnd w:id="3"/>
    <w:bookmarkEnd w:id="4"/>
    <w:p>
      <w:pPr>
        <w:pStyle w:val="3"/>
        <w:spacing w:before="0" w:after="0" w:line="360" w:lineRule="auto"/>
        <w:rPr>
          <w:rFonts w:hint="eastAsia" w:ascii="宋体" w:hAnsi="宋体" w:eastAsia="宋体"/>
          <w:color w:val="auto"/>
          <w:sz w:val="24"/>
          <w:szCs w:val="24"/>
          <w:highlight w:val="none"/>
        </w:rPr>
      </w:pPr>
      <w:bookmarkStart w:id="7" w:name="_Toc17762"/>
      <w:bookmarkStart w:id="8" w:name="_Toc21281"/>
      <w:r>
        <w:rPr>
          <w:rFonts w:hint="eastAsia" w:ascii="宋体" w:hAnsi="宋体" w:eastAsia="宋体"/>
          <w:color w:val="auto"/>
          <w:sz w:val="24"/>
          <w:szCs w:val="24"/>
          <w:highlight w:val="none"/>
        </w:rPr>
        <w:t>一、项目基本情况</w:t>
      </w:r>
    </w:p>
    <w:bookmarkEnd w:id="7"/>
    <w:bookmarkEnd w:id="8"/>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1.1 项目概述</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信创方面，信创产业作为战略性新兴产业，国家不断出台相关政策对行业的发展进行支持。十四五规划中明确指出到2025年行政办公及电子政务系统要全部完成国产化替代。2022年9月底国资委下发79号文，全面指导并要求国央企落实信息化系统的信创国产化改造，文件部署了国央企信创国产化的具体要求和推进时间表，替换范围涵盖芯片、基础软件、操作系统、中间件等领域，要求央企、国企、地方国企全面落实信创国产化。</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2022年12月19日，《中共中央国务院关于构建数据基础制度更好发挥数据要素作用的意见》（简称“数据二十条”）对外发布，提出20条政策举措，包括建立保障权益、合规使用的数据产权制度，建立合规高效、场内外结合的数据要素流通和交易制度、探索数据质押融资等工作。2023年8月，财政部发布《企业数据资源相关会计处理暂行规定》明确表示企业数据资源可以入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1.2 项目研究的主要目的</w:t>
      </w:r>
    </w:p>
    <w:p>
      <w:pPr>
        <w:tabs>
          <w:tab w:val="left" w:pos="1283"/>
          <w:tab w:val="left" w:pos="1922"/>
        </w:tabs>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是研究高速行业典型应用系统（2个不同类型）如何顺利迁移到信创云环境下并能持续稳定运行，通过搭建基于国产化存储、计算、网络等基础软硬件的信创云架构，制定适配迁移技术路线，解决国产芯片、整机硬件以及操作系统与应用系统的技术适配等问题，形成信息化系统的信创体系标准。</w:t>
      </w:r>
    </w:p>
    <w:p>
      <w:pPr>
        <w:tabs>
          <w:tab w:val="left" w:pos="1283"/>
          <w:tab w:val="left" w:pos="1922"/>
        </w:tabs>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二是将围绕高速集团在高速公路收费数据和各个业务部门的业务数据，以及高速云上所进行的数据汇聚、数据治理、数据加工等工作，对相关数据资源进行开展数据资产化工作，完成数据资产入表的研究与应用。</w:t>
      </w:r>
    </w:p>
    <w:p>
      <w:pPr>
        <w:tabs>
          <w:tab w:val="left" w:pos="1283"/>
          <w:tab w:val="left" w:pos="1922"/>
        </w:tabs>
        <w:autoSpaceDE w:val="0"/>
        <w:autoSpaceDN w:val="0"/>
        <w:spacing w:line="360" w:lineRule="auto"/>
        <w:ind w:firstLine="480" w:firstLineChars="200"/>
        <w:jc w:val="left"/>
        <w:rPr>
          <w:rFonts w:ascii="宋体" w:hAnsi="宋体" w:cs="宋体"/>
          <w:b/>
          <w:bCs/>
          <w:color w:val="auto"/>
          <w:kern w:val="0"/>
          <w:sz w:val="24"/>
          <w:szCs w:val="24"/>
          <w:highlight w:val="none"/>
        </w:rPr>
      </w:pPr>
      <w:r>
        <w:rPr>
          <w:rFonts w:hint="eastAsia" w:ascii="宋体" w:hAnsi="宋体" w:cs="黑体"/>
          <w:color w:val="auto"/>
          <w:kern w:val="0"/>
          <w:sz w:val="24"/>
          <w:szCs w:val="24"/>
          <w:highlight w:val="none"/>
        </w:rPr>
        <w:t>1.3 主要研究内容</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1.3.1信息系统信创化适配迁移的研究</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统一管理传统IT基础资源，实现计算、存储、网络资源的统一云原生分布式调度与协同；支持x86、ARM等异构芯片的混合部署、统一管理；提供云原生安全中心等云上安全检测防护功能；提供平台部署、产品管理、监控运维能力。</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2）信创工控机全信创化设计，采用全金属外壳设计，低功耗，满足高速公路现场工作温度、防尘等环境要求。支持收费系统多种模式及使用场景：云站模式（远控、降级等），传统模式（ETC、MTC、ETC/MTC混合）。</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（3）国产化边缘计算设备整体结构采用无风扇设计，系统可靠性高，采用国产化ARM低功耗8核CPU，产品集成高性能深度学习加速引擎，满足工业级高低温环境运行和储藏要求。</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1.3.2信息系统数据资产化的研究</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主要以高速公路收费数据，和各个业务部门的业务数据，具有数据资产盘点及规划、合规和登记管理、数据评价管理、成本归集、后续计量、报表披露和资产台账功能，提供高效、安全、可靠的数据资产化路径。业务数据范围主要包括养护、出行、隧道、工程、科研创新、出行服务、道路救援等。</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1.4 主要技术指标（如形成专利、论文、专著等数量、指标及其水平，可推广和复制的新技术、新产品、新材料等）</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1.4.1信息系统信创化适配迁移</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（1）虚机并发创建，支持17分钟创建2500台虚机；支持最大4TB大内存虚机；管控系统开销不高于4台；用户体系最多支持五级部门。</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（2）信创工控机全信创化设计，搭载飞腾FT2000/4 CPU、麒麟公路行业版操作系统，设备底层安全可靠。内存≥8G，512G固态硬盘；具有8路隔离数字量输入和8路继电器输出接口，可与现有车道外设良好兼容；存储温度:-35℃—+80℃，工作温度:5℃—+45℃；支持7×24小时连续稳定工作。</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（3）国产化边缘计算设备支持15路1080P H.264/H.265 视频解码；支持3路视频与3路毫米波雷达融合算法分析；满足判别条件的动作从发生到成功识别低于12秒；报警时延从发生本地报警到后台接收到报警低于12秒。处理器CPU：8核 ARM 64-bit，GPU：支持H.264、H.265编解码；内存2*8G；存储128G；协议标准支持H.264、H.265编码，支持RTSP\ONVIF\HTTP\kafka等协议。</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1.4.2 信息系统数据资产化的研究</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在网络畅通的情况下：</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（1）系统确保7*24小时全天候高效、稳定运转，系统可靠性A&gt;=99%</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（2）局域网测试环境下，从点击链接到完整呈现在客户端所需时间稳定小于6秒。</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（3）非统计性查询响应时间≤3秒；</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（4）统计性查询响应时间十万条记录响应时间≤32秒；</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（5）系统中的点击、选中操作响应时间≤0.6秒，不能出现卡顿、等待的现象；</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1.5 主要经济指标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中国政府高度重视信创产业的发展，通过出台一系列政策支持国产化技术和产品的推广应用，特别是在操作系统、数据库、芯片等关键领域。研读国家政策文件要求：以信创芯片和操作系统的核心技术为主线，按照“严格控制增量，自然淘汰存量”的路径，全面选用信创芯片和操作系统等产品，充分利用已有网络和存储设备。国产信创云是我国信创工程推进的必然产物，长期看是必然趋势。随着“数字中国”建设的推进，信创产业需求正在全面打开，因此信创云的构建及对高速业务的支撑的研究具有极大的社会效益。信创替换范围涵盖芯片、操作系统、数据库中间件等领域，不同领域的信创软硬件也包含不同批次和质量的产品，且高速业务系统的迁移存在涉及范围广、业务跨度大、应用系统多、技术路线复杂、开发厂商多、业务连续性要求高等技术特点。因此在前期的信创软硬件选型和技术迁移上具备相当的复杂度，本课题信创云研究可以很大程度解决了国产硬件的架构差异性问题和国产基础软件的平台化问题，集团级业务系统迁移到信创云环境下的整个过程中的架构适配、迁移测试等方面研究成果可以提高集约化建设水平。通过信创云的建设，高速集团可以实现资源共享、按需分配，有效降低集团打造新质算力基础设施的建设成本、实施成本及管理成本，提高资源利用效率，可以为集团带来一定的经济效益，助力集团数字化转型。</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通过数据资源入表，从而全面反映集团的资产规模和实力，增加集团的资产规模。这有助于增强集团的市场竞争力，吸引更多的投资者和合作伙伴。资产入表有助于集团总部更加准确地了解公司的数据资产状况和经营情况，进而优化集团内部的资源配置。通过合理调配资金、人力等资源，可以实现集团内部的协同发展和整体效益最大化。企业数据资源入表可以提高企业资产规模，优化资产负债表。当投资者和金融机构看到集团拥有稳定且可靠的资产基础时，他们更愿意为集团提供融资支持，增加企业的授信额度，从而减轻集团的财务负担。通过资产入表，集团可以更好地识别数据合规风险。增强企业数据产权保护能力。通过高速集团数据资源入表工作，树立我省高速行业数据资产化标杆，一方面响应财政部与国资委关于加强企业数据资产管理的政策要求，二是成为河北省首家高速领域数据入表企业，为河北省国资企业数字化转型提供样板。</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b/>
          <w:bCs/>
          <w:color w:val="auto"/>
          <w:kern w:val="0"/>
          <w:sz w:val="24"/>
          <w:szCs w:val="24"/>
          <w:highlight w:val="none"/>
        </w:rPr>
      </w:pPr>
      <w:r>
        <w:rPr>
          <w:rFonts w:hint="eastAsia" w:ascii="宋体" w:hAnsi="宋体" w:cs="黑体"/>
          <w:color w:val="auto"/>
          <w:kern w:val="0"/>
          <w:sz w:val="24"/>
          <w:szCs w:val="24"/>
          <w:highlight w:val="none"/>
        </w:rPr>
        <w:t xml:space="preserve">1.6 </w:t>
      </w:r>
      <w:r>
        <w:rPr>
          <w:rFonts w:hint="eastAsia" w:asciiTheme="minorEastAsia" w:hAnsiTheme="minorEastAsia" w:eastAsiaTheme="minorEastAsia" w:cstheme="minorEastAsia"/>
          <w:b/>
          <w:bCs/>
          <w:color w:val="auto"/>
          <w:kern w:val="0"/>
          <w:sz w:val="24"/>
          <w:szCs w:val="24"/>
          <w:highlight w:val="none"/>
        </w:rPr>
        <w:t>项目研究进度里程碑目标要求</w:t>
      </w:r>
    </w:p>
    <w:tbl>
      <w:tblPr>
        <w:tblStyle w:val="41"/>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71"/>
        <w:gridCol w:w="2311"/>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171" w:type="dxa"/>
            <w:vAlign w:val="center"/>
          </w:tcPr>
          <w:p>
            <w:pPr>
              <w:widowControl/>
              <w:jc w:val="center"/>
              <w:rPr>
                <w:rFonts w:ascii="宋体" w:hAnsi="宋体"/>
                <w:color w:val="auto"/>
                <w:sz w:val="20"/>
                <w:szCs w:val="20"/>
              </w:rPr>
            </w:pPr>
            <w:r>
              <w:rPr>
                <w:rFonts w:ascii="宋体" w:hAnsi="宋体"/>
                <w:color w:val="auto"/>
                <w:sz w:val="20"/>
                <w:szCs w:val="20"/>
              </w:rPr>
              <w:t>阶段</w:t>
            </w:r>
          </w:p>
        </w:tc>
        <w:tc>
          <w:tcPr>
            <w:tcW w:w="2311" w:type="dxa"/>
            <w:vAlign w:val="center"/>
          </w:tcPr>
          <w:p>
            <w:pPr>
              <w:widowControl/>
              <w:jc w:val="center"/>
              <w:rPr>
                <w:rFonts w:ascii="宋体" w:hAnsi="宋体"/>
                <w:color w:val="auto"/>
                <w:sz w:val="20"/>
                <w:szCs w:val="20"/>
              </w:rPr>
            </w:pPr>
            <w:r>
              <w:rPr>
                <w:rFonts w:ascii="宋体" w:hAnsi="宋体"/>
                <w:color w:val="auto"/>
                <w:sz w:val="20"/>
                <w:szCs w:val="20"/>
              </w:rPr>
              <w:t>时间</w:t>
            </w:r>
          </w:p>
        </w:tc>
        <w:tc>
          <w:tcPr>
            <w:tcW w:w="5607" w:type="dxa"/>
            <w:vAlign w:val="center"/>
          </w:tcPr>
          <w:p>
            <w:pPr>
              <w:widowControl/>
              <w:jc w:val="center"/>
              <w:rPr>
                <w:rFonts w:ascii="宋体" w:hAnsi="宋体"/>
                <w:color w:val="auto"/>
                <w:sz w:val="20"/>
                <w:szCs w:val="20"/>
              </w:rPr>
            </w:pPr>
            <w:r>
              <w:rPr>
                <w:rFonts w:ascii="宋体" w:hAnsi="宋体"/>
                <w:color w:val="auto"/>
                <w:sz w:val="20"/>
                <w:szCs w:val="20"/>
              </w:rPr>
              <w:t>项目进度计划及目标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171" w:type="dxa"/>
            <w:vAlign w:val="center"/>
          </w:tcPr>
          <w:p>
            <w:pPr>
              <w:widowControl/>
              <w:jc w:val="center"/>
              <w:rPr>
                <w:rFonts w:ascii="宋体" w:hAnsi="宋体"/>
                <w:color w:val="auto"/>
                <w:sz w:val="20"/>
                <w:szCs w:val="20"/>
              </w:rPr>
            </w:pPr>
            <w:r>
              <w:rPr>
                <w:rFonts w:hint="eastAsia" w:ascii="宋体" w:hAnsi="宋体"/>
                <w:color w:val="auto"/>
                <w:sz w:val="20"/>
                <w:szCs w:val="20"/>
              </w:rPr>
              <w:t>第一阶段</w:t>
            </w:r>
          </w:p>
        </w:tc>
        <w:tc>
          <w:tcPr>
            <w:tcW w:w="2311" w:type="dxa"/>
            <w:vAlign w:val="center"/>
          </w:tcPr>
          <w:p>
            <w:pPr>
              <w:widowControl/>
              <w:jc w:val="center"/>
              <w:rPr>
                <w:rFonts w:hint="eastAsia" w:ascii="宋体" w:hAnsi="宋体"/>
                <w:color w:val="auto"/>
                <w:sz w:val="20"/>
                <w:szCs w:val="20"/>
              </w:rPr>
            </w:pPr>
            <w:r>
              <w:rPr>
                <w:rFonts w:hint="eastAsia" w:ascii="宋体" w:hAnsi="宋体" w:cs="宋体"/>
                <w:color w:val="auto"/>
                <w:sz w:val="20"/>
                <w:szCs w:val="20"/>
              </w:rPr>
              <w:t>2024年</w:t>
            </w:r>
            <w:r>
              <w:rPr>
                <w:rFonts w:ascii="宋体" w:hAnsi="宋体" w:cs="宋体"/>
                <w:color w:val="auto"/>
                <w:sz w:val="20"/>
                <w:szCs w:val="20"/>
              </w:rPr>
              <w:t>6</w:t>
            </w:r>
            <w:r>
              <w:rPr>
                <w:rFonts w:hint="eastAsia" w:ascii="宋体" w:hAnsi="宋体" w:cs="宋体"/>
                <w:color w:val="auto"/>
                <w:sz w:val="20"/>
                <w:szCs w:val="20"/>
              </w:rPr>
              <w:t>月</w:t>
            </w:r>
          </w:p>
        </w:tc>
        <w:tc>
          <w:tcPr>
            <w:tcW w:w="5607" w:type="dxa"/>
            <w:vAlign w:val="center"/>
          </w:tcPr>
          <w:p>
            <w:pPr>
              <w:widowControl/>
              <w:jc w:val="center"/>
              <w:rPr>
                <w:rFonts w:ascii="宋体" w:hAnsi="宋体"/>
                <w:color w:val="auto"/>
                <w:sz w:val="20"/>
                <w:szCs w:val="20"/>
              </w:rPr>
            </w:pPr>
            <w:r>
              <w:rPr>
                <w:rFonts w:hint="eastAsia" w:ascii="宋体" w:hAnsi="宋体"/>
                <w:color w:val="auto"/>
                <w:sz w:val="20"/>
                <w:szCs w:val="20"/>
              </w:rPr>
              <w:t>双方签订项目合同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171" w:type="dxa"/>
            <w:vMerge w:val="restart"/>
            <w:vAlign w:val="center"/>
          </w:tcPr>
          <w:p>
            <w:pPr>
              <w:jc w:val="center"/>
              <w:rPr>
                <w:rFonts w:ascii="宋体" w:hAnsi="宋体"/>
                <w:color w:val="auto"/>
                <w:sz w:val="20"/>
                <w:szCs w:val="20"/>
              </w:rPr>
            </w:pPr>
            <w:r>
              <w:rPr>
                <w:rFonts w:ascii="宋体" w:hAnsi="宋体"/>
                <w:color w:val="auto"/>
                <w:sz w:val="20"/>
                <w:szCs w:val="20"/>
              </w:rPr>
              <w:t>第</w:t>
            </w:r>
            <w:r>
              <w:rPr>
                <w:rFonts w:hint="eastAsia" w:ascii="宋体" w:hAnsi="宋体"/>
                <w:color w:val="auto"/>
                <w:sz w:val="20"/>
                <w:szCs w:val="20"/>
              </w:rPr>
              <w:t>二</w:t>
            </w:r>
            <w:r>
              <w:rPr>
                <w:rFonts w:ascii="宋体" w:hAnsi="宋体"/>
                <w:color w:val="auto"/>
                <w:sz w:val="20"/>
                <w:szCs w:val="20"/>
              </w:rPr>
              <w:t>阶段</w:t>
            </w:r>
          </w:p>
        </w:tc>
        <w:tc>
          <w:tcPr>
            <w:tcW w:w="2311" w:type="dxa"/>
            <w:vMerge w:val="restart"/>
            <w:vAlign w:val="center"/>
          </w:tcPr>
          <w:p>
            <w:pPr>
              <w:widowControl/>
              <w:rPr>
                <w:rFonts w:ascii="宋体" w:hAnsi="宋体" w:cs="宋体"/>
                <w:color w:val="auto"/>
                <w:sz w:val="20"/>
                <w:szCs w:val="20"/>
              </w:rPr>
            </w:pPr>
            <w:r>
              <w:rPr>
                <w:rFonts w:hint="eastAsia" w:ascii="宋体" w:hAnsi="宋体" w:cs="宋体"/>
                <w:color w:val="auto"/>
                <w:sz w:val="20"/>
                <w:szCs w:val="20"/>
              </w:rPr>
              <w:t>2024年</w:t>
            </w:r>
            <w:r>
              <w:rPr>
                <w:rFonts w:ascii="宋体" w:hAnsi="宋体" w:cs="宋体"/>
                <w:color w:val="auto"/>
                <w:sz w:val="20"/>
                <w:szCs w:val="20"/>
              </w:rPr>
              <w:t>6</w:t>
            </w:r>
            <w:r>
              <w:rPr>
                <w:rFonts w:hint="eastAsia" w:ascii="宋体" w:hAnsi="宋体" w:cs="宋体"/>
                <w:color w:val="auto"/>
                <w:sz w:val="20"/>
                <w:szCs w:val="20"/>
              </w:rPr>
              <w:t>月-2024年</w:t>
            </w:r>
            <w:r>
              <w:rPr>
                <w:rFonts w:ascii="宋体" w:hAnsi="宋体" w:cs="宋体"/>
                <w:color w:val="auto"/>
                <w:sz w:val="20"/>
                <w:szCs w:val="20"/>
              </w:rPr>
              <w:t>7</w:t>
            </w:r>
            <w:r>
              <w:rPr>
                <w:rFonts w:hint="eastAsia" w:ascii="宋体" w:hAnsi="宋体" w:cs="宋体"/>
                <w:color w:val="auto"/>
                <w:sz w:val="20"/>
                <w:szCs w:val="20"/>
              </w:rPr>
              <w:t>月</w:t>
            </w:r>
          </w:p>
        </w:tc>
        <w:tc>
          <w:tcPr>
            <w:tcW w:w="5607" w:type="dxa"/>
            <w:vAlign w:val="center"/>
          </w:tcPr>
          <w:p>
            <w:pPr>
              <w:rPr>
                <w:rFonts w:ascii="宋体" w:hAnsi="宋体"/>
                <w:color w:val="auto"/>
              </w:rPr>
            </w:pPr>
            <w:r>
              <w:rPr>
                <w:rFonts w:hint="eastAsia" w:ascii="宋体" w:hAnsi="宋体"/>
                <w:color w:val="auto"/>
              </w:rPr>
              <w:t>1</w:t>
            </w:r>
            <w:r>
              <w:rPr>
                <w:rFonts w:ascii="宋体" w:hAnsi="宋体"/>
                <w:color w:val="auto"/>
              </w:rPr>
              <w:t>.</w:t>
            </w:r>
            <w:r>
              <w:rPr>
                <w:rFonts w:hint="eastAsia" w:ascii="宋体" w:hAnsi="宋体"/>
                <w:color w:val="auto"/>
              </w:rPr>
              <w:t>信创云平台硬件设备采购、运输、安装调试。</w:t>
            </w:r>
          </w:p>
          <w:p>
            <w:pPr>
              <w:rPr>
                <w:rFonts w:ascii="宋体" w:hAnsi="宋体" w:cs="宋体"/>
                <w:bCs/>
                <w:color w:val="auto"/>
                <w:kern w:val="0"/>
                <w:sz w:val="20"/>
                <w:szCs w:val="20"/>
              </w:rPr>
            </w:pPr>
            <w:r>
              <w:rPr>
                <w:rFonts w:hint="eastAsia" w:ascii="宋体" w:hAnsi="宋体"/>
                <w:color w:val="auto"/>
              </w:rPr>
              <w:t>2</w:t>
            </w:r>
            <w:r>
              <w:rPr>
                <w:rFonts w:ascii="宋体" w:hAnsi="宋体"/>
                <w:color w:val="auto"/>
              </w:rPr>
              <w:t>.</w:t>
            </w:r>
            <w:r>
              <w:rPr>
                <w:rFonts w:hint="eastAsia" w:ascii="宋体" w:hAnsi="宋体" w:cs="宋体"/>
                <w:bCs/>
                <w:color w:val="auto"/>
                <w:kern w:val="0"/>
                <w:sz w:val="20"/>
                <w:szCs w:val="20"/>
              </w:rPr>
              <w:t>高速集团业务系统和</w:t>
            </w:r>
            <w:r>
              <w:rPr>
                <w:rFonts w:hint="eastAsia" w:ascii="宋体" w:hAnsi="宋体" w:cs="宋体"/>
                <w:bCs/>
                <w:color w:val="auto"/>
                <w:sz w:val="20"/>
                <w:szCs w:val="20"/>
              </w:rPr>
              <w:t>运维管理工作</w:t>
            </w:r>
            <w:r>
              <w:rPr>
                <w:rFonts w:hint="eastAsia" w:ascii="宋体" w:hAnsi="宋体" w:cs="宋体"/>
                <w:bCs/>
                <w:color w:val="auto"/>
                <w:kern w:val="0"/>
                <w:sz w:val="20"/>
                <w:szCs w:val="20"/>
              </w:rPr>
              <w:t>摸底调研，规划系统、运维现状调研内容与方式，完成专题信创适配测试业务系统的选型。</w:t>
            </w:r>
          </w:p>
          <w:p>
            <w:pPr>
              <w:rPr>
                <w:rFonts w:ascii="宋体" w:hAnsi="宋体"/>
                <w:color w:val="auto"/>
              </w:rPr>
            </w:pPr>
            <w:r>
              <w:rPr>
                <w:rFonts w:ascii="宋体" w:hAnsi="宋体"/>
                <w:color w:val="auto"/>
                <w:sz w:val="20"/>
                <w:szCs w:val="20"/>
              </w:rPr>
              <w:t>3.</w:t>
            </w:r>
            <w:r>
              <w:rPr>
                <w:rFonts w:hint="eastAsia" w:ascii="宋体" w:hAnsi="宋体"/>
                <w:color w:val="auto"/>
                <w:sz w:val="20"/>
                <w:szCs w:val="20"/>
              </w:rPr>
              <w:t>对高速集团进行全面的数据资产梳理的尽职调查，包括数据资产盘点与发现、数据合规尽调、资产管理情况调研。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171" w:type="dxa"/>
            <w:vMerge w:val="continue"/>
            <w:vAlign w:val="center"/>
          </w:tcPr>
          <w:p>
            <w:pPr>
              <w:jc w:val="center"/>
              <w:rPr>
                <w:rFonts w:ascii="宋体" w:hAnsi="宋体"/>
                <w:color w:val="auto"/>
                <w:sz w:val="20"/>
                <w:szCs w:val="20"/>
              </w:rPr>
            </w:pPr>
          </w:p>
        </w:tc>
        <w:tc>
          <w:tcPr>
            <w:tcW w:w="2311" w:type="dxa"/>
            <w:vMerge w:val="continue"/>
            <w:vAlign w:val="center"/>
          </w:tcPr>
          <w:p>
            <w:pPr>
              <w:widowControl/>
              <w:rPr>
                <w:rFonts w:ascii="宋体" w:hAnsi="宋体" w:cs="宋体"/>
                <w:b/>
                <w:color w:val="auto"/>
                <w:kern w:val="0"/>
                <w:sz w:val="20"/>
                <w:szCs w:val="20"/>
              </w:rPr>
            </w:pPr>
          </w:p>
        </w:tc>
        <w:tc>
          <w:tcPr>
            <w:tcW w:w="5607" w:type="dxa"/>
            <w:vAlign w:val="center"/>
          </w:tcPr>
          <w:p>
            <w:pPr>
              <w:widowControl/>
              <w:jc w:val="left"/>
              <w:rPr>
                <w:rFonts w:ascii="宋体" w:hAnsi="宋体" w:cs="宋体"/>
                <w:bCs/>
                <w:color w:val="auto"/>
                <w:kern w:val="0"/>
                <w:sz w:val="20"/>
                <w:szCs w:val="20"/>
              </w:rPr>
            </w:pPr>
            <w:r>
              <w:rPr>
                <w:rFonts w:hint="eastAsia" w:ascii="宋体" w:hAnsi="宋体" w:cs="宋体"/>
                <w:bCs/>
                <w:color w:val="auto"/>
                <w:kern w:val="0"/>
                <w:sz w:val="20"/>
                <w:szCs w:val="20"/>
              </w:rPr>
              <w:t>1</w:t>
            </w:r>
            <w:r>
              <w:rPr>
                <w:rFonts w:ascii="宋体" w:hAnsi="宋体" w:cs="宋体"/>
                <w:bCs/>
                <w:color w:val="auto"/>
                <w:kern w:val="0"/>
                <w:sz w:val="20"/>
                <w:szCs w:val="20"/>
              </w:rPr>
              <w:t>.评估业务系统现状，基于调研信息对应用系统进行优先级分类及</w:t>
            </w:r>
            <w:r>
              <w:rPr>
                <w:rFonts w:hint="eastAsia" w:ascii="宋体" w:hAnsi="宋体" w:cs="宋体"/>
                <w:bCs/>
                <w:color w:val="auto"/>
                <w:kern w:val="0"/>
                <w:sz w:val="20"/>
                <w:szCs w:val="20"/>
              </w:rPr>
              <w:t>信创</w:t>
            </w:r>
            <w:r>
              <w:rPr>
                <w:rFonts w:ascii="宋体" w:hAnsi="宋体" w:cs="宋体"/>
                <w:bCs/>
                <w:color w:val="auto"/>
                <w:kern w:val="0"/>
                <w:sz w:val="20"/>
                <w:szCs w:val="20"/>
              </w:rPr>
              <w:t>难易度评估，</w:t>
            </w:r>
            <w:r>
              <w:rPr>
                <w:rFonts w:hint="eastAsia" w:ascii="宋体" w:hAnsi="宋体" w:cs="宋体"/>
                <w:bCs/>
                <w:color w:val="auto"/>
                <w:kern w:val="0"/>
                <w:sz w:val="20"/>
                <w:szCs w:val="20"/>
              </w:rPr>
              <w:t>确定专题试点业务系统选型。</w:t>
            </w:r>
          </w:p>
          <w:p>
            <w:pPr>
              <w:rPr>
                <w:rFonts w:ascii="宋体" w:hAnsi="宋体"/>
                <w:color w:val="auto"/>
                <w:sz w:val="20"/>
                <w:szCs w:val="20"/>
              </w:rPr>
            </w:pPr>
            <w:r>
              <w:rPr>
                <w:rFonts w:hint="eastAsia" w:ascii="宋体" w:hAnsi="宋体"/>
                <w:color w:val="auto"/>
                <w:sz w:val="20"/>
                <w:szCs w:val="20"/>
              </w:rPr>
              <w:t>2</w:t>
            </w:r>
            <w:r>
              <w:rPr>
                <w:rFonts w:ascii="宋体" w:hAnsi="宋体"/>
                <w:color w:val="auto"/>
                <w:sz w:val="20"/>
                <w:szCs w:val="20"/>
              </w:rPr>
              <w:t>.</w:t>
            </w:r>
            <w:r>
              <w:rPr>
                <w:rFonts w:hint="eastAsia" w:ascii="宋体" w:hAnsi="宋体"/>
                <w:color w:val="auto"/>
                <w:sz w:val="20"/>
                <w:szCs w:val="20"/>
              </w:rPr>
              <w:t>针对高速集团所持数据进行数据资源入表和价值评估路径。</w:t>
            </w:r>
          </w:p>
          <w:p>
            <w:pPr>
              <w:rPr>
                <w:rFonts w:ascii="宋体" w:hAnsi="宋体"/>
                <w:color w:val="auto"/>
              </w:rPr>
            </w:pPr>
            <w:r>
              <w:rPr>
                <w:rFonts w:hint="eastAsia" w:ascii="宋体" w:hAnsi="宋体"/>
                <w:color w:val="auto"/>
              </w:rPr>
              <w:t>3</w:t>
            </w:r>
            <w:r>
              <w:rPr>
                <w:rFonts w:ascii="宋体" w:hAnsi="宋体"/>
                <w:color w:val="auto"/>
              </w:rPr>
              <w:t>.</w:t>
            </w:r>
            <w:r>
              <w:rPr>
                <w:rFonts w:hint="eastAsia" w:ascii="宋体" w:hAnsi="宋体"/>
                <w:color w:val="auto"/>
              </w:rPr>
              <w:t>工控机和边缘设备信创化的研发。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171" w:type="dxa"/>
            <w:vMerge w:val="continue"/>
            <w:vAlign w:val="center"/>
          </w:tcPr>
          <w:p>
            <w:pPr>
              <w:jc w:val="center"/>
              <w:rPr>
                <w:rFonts w:ascii="宋体" w:hAnsi="宋体"/>
                <w:color w:val="auto"/>
                <w:sz w:val="20"/>
                <w:szCs w:val="20"/>
              </w:rPr>
            </w:pPr>
          </w:p>
        </w:tc>
        <w:tc>
          <w:tcPr>
            <w:tcW w:w="2311" w:type="dxa"/>
            <w:vMerge w:val="restart"/>
            <w:vAlign w:val="center"/>
          </w:tcPr>
          <w:p>
            <w:pPr>
              <w:widowControl/>
              <w:rPr>
                <w:rFonts w:ascii="宋体" w:hAnsi="宋体" w:cs="宋体"/>
                <w:color w:val="auto"/>
                <w:sz w:val="20"/>
                <w:szCs w:val="20"/>
              </w:rPr>
            </w:pPr>
            <w:r>
              <w:rPr>
                <w:rFonts w:hint="eastAsia" w:ascii="宋体" w:hAnsi="宋体" w:cs="宋体"/>
                <w:color w:val="auto"/>
                <w:sz w:val="20"/>
                <w:szCs w:val="20"/>
              </w:rPr>
              <w:t>2024年</w:t>
            </w:r>
            <w:r>
              <w:rPr>
                <w:rFonts w:ascii="宋体" w:hAnsi="宋体" w:cs="宋体"/>
                <w:color w:val="auto"/>
                <w:sz w:val="20"/>
                <w:szCs w:val="20"/>
              </w:rPr>
              <w:t>8</w:t>
            </w:r>
            <w:r>
              <w:rPr>
                <w:rFonts w:hint="eastAsia" w:ascii="宋体" w:hAnsi="宋体" w:cs="宋体"/>
                <w:color w:val="auto"/>
                <w:sz w:val="20"/>
                <w:szCs w:val="20"/>
              </w:rPr>
              <w:t>月</w:t>
            </w:r>
            <w:r>
              <w:rPr>
                <w:rFonts w:hint="eastAsia" w:ascii="宋体" w:hAnsi="宋体" w:cs="宋体"/>
                <w:bCs/>
                <w:color w:val="auto"/>
                <w:kern w:val="0"/>
                <w:sz w:val="20"/>
                <w:szCs w:val="20"/>
              </w:rPr>
              <w:t>-2024年</w:t>
            </w:r>
            <w:r>
              <w:rPr>
                <w:rFonts w:ascii="宋体" w:hAnsi="宋体" w:cs="宋体"/>
                <w:bCs/>
                <w:color w:val="auto"/>
                <w:kern w:val="0"/>
                <w:sz w:val="20"/>
                <w:szCs w:val="20"/>
              </w:rPr>
              <w:t>9</w:t>
            </w:r>
            <w:r>
              <w:rPr>
                <w:rFonts w:hint="eastAsia" w:ascii="宋体" w:hAnsi="宋体" w:cs="宋体"/>
                <w:bCs/>
                <w:color w:val="auto"/>
                <w:kern w:val="0"/>
                <w:sz w:val="20"/>
                <w:szCs w:val="20"/>
              </w:rPr>
              <w:t>月</w:t>
            </w:r>
          </w:p>
        </w:tc>
        <w:tc>
          <w:tcPr>
            <w:tcW w:w="5607" w:type="dxa"/>
            <w:vAlign w:val="center"/>
          </w:tcPr>
          <w:p>
            <w:pPr>
              <w:widowControl/>
              <w:jc w:val="left"/>
              <w:rPr>
                <w:rFonts w:ascii="宋体" w:hAnsi="宋体" w:cs="宋体"/>
                <w:bCs/>
                <w:color w:val="auto"/>
                <w:sz w:val="20"/>
                <w:szCs w:val="20"/>
              </w:rPr>
            </w:pPr>
            <w:r>
              <w:rPr>
                <w:rFonts w:hint="eastAsia" w:ascii="宋体" w:hAnsi="宋体" w:cs="宋体"/>
                <w:bCs/>
                <w:color w:val="auto"/>
                <w:sz w:val="20"/>
                <w:szCs w:val="20"/>
              </w:rPr>
              <w:t>1</w:t>
            </w:r>
            <w:r>
              <w:rPr>
                <w:rFonts w:ascii="宋体" w:hAnsi="宋体" w:cs="宋体"/>
                <w:bCs/>
                <w:color w:val="auto"/>
                <w:sz w:val="20"/>
                <w:szCs w:val="20"/>
              </w:rPr>
              <w:t>.</w:t>
            </w:r>
            <w:r>
              <w:rPr>
                <w:rFonts w:hint="eastAsia" w:ascii="宋体" w:hAnsi="宋体" w:cs="宋体"/>
                <w:bCs/>
                <w:color w:val="auto"/>
                <w:sz w:val="20"/>
                <w:szCs w:val="20"/>
              </w:rPr>
              <w:t>针对试点业务系统，完成业务信创适配测试方案，包括：信创选型、资源规划、适配方案、功能及性能测试等。</w:t>
            </w:r>
          </w:p>
          <w:p>
            <w:pPr>
              <w:rPr>
                <w:rFonts w:ascii="宋体" w:hAnsi="宋体"/>
                <w:color w:val="auto"/>
                <w:sz w:val="20"/>
                <w:szCs w:val="20"/>
              </w:rPr>
            </w:pPr>
            <w:r>
              <w:rPr>
                <w:rFonts w:ascii="宋体" w:hAnsi="宋体"/>
                <w:color w:val="auto"/>
                <w:sz w:val="20"/>
                <w:szCs w:val="20"/>
              </w:rPr>
              <w:t>2.</w:t>
            </w:r>
            <w:r>
              <w:rPr>
                <w:rFonts w:hint="eastAsia" w:ascii="宋体" w:hAnsi="宋体"/>
                <w:color w:val="auto"/>
                <w:sz w:val="20"/>
                <w:szCs w:val="20"/>
              </w:rPr>
              <w:t>按照方案中所设计的路径节点，进行数据资产登记，并完成首批数据资产入表。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171" w:type="dxa"/>
            <w:vMerge w:val="continue"/>
            <w:vAlign w:val="center"/>
          </w:tcPr>
          <w:p>
            <w:pPr>
              <w:jc w:val="center"/>
              <w:rPr>
                <w:rFonts w:ascii="宋体" w:hAnsi="宋体"/>
                <w:color w:val="auto"/>
                <w:sz w:val="20"/>
                <w:szCs w:val="20"/>
              </w:rPr>
            </w:pPr>
          </w:p>
        </w:tc>
        <w:tc>
          <w:tcPr>
            <w:tcW w:w="2311" w:type="dxa"/>
            <w:vMerge w:val="continue"/>
            <w:vAlign w:val="center"/>
          </w:tcPr>
          <w:p>
            <w:pPr>
              <w:jc w:val="left"/>
              <w:rPr>
                <w:rFonts w:ascii="宋体" w:hAnsi="宋体" w:cs="宋体"/>
                <w:bCs/>
                <w:color w:val="auto"/>
                <w:kern w:val="0"/>
                <w:sz w:val="20"/>
                <w:szCs w:val="20"/>
              </w:rPr>
            </w:pPr>
          </w:p>
        </w:tc>
        <w:tc>
          <w:tcPr>
            <w:tcW w:w="5607" w:type="dxa"/>
            <w:vAlign w:val="center"/>
          </w:tcPr>
          <w:p>
            <w:pPr>
              <w:widowControl/>
              <w:jc w:val="left"/>
              <w:rPr>
                <w:rFonts w:ascii="宋体" w:hAnsi="宋体" w:cs="宋体"/>
                <w:bCs/>
                <w:color w:val="auto"/>
                <w:sz w:val="20"/>
                <w:szCs w:val="20"/>
              </w:rPr>
            </w:pPr>
            <w:r>
              <w:rPr>
                <w:rFonts w:hint="eastAsia" w:ascii="宋体" w:hAnsi="宋体" w:cs="宋体"/>
                <w:bCs/>
                <w:color w:val="auto"/>
                <w:sz w:val="20"/>
                <w:szCs w:val="20"/>
              </w:rPr>
              <w:t>1</w:t>
            </w:r>
            <w:r>
              <w:rPr>
                <w:rFonts w:ascii="宋体" w:hAnsi="宋体" w:cs="宋体"/>
                <w:bCs/>
                <w:color w:val="auto"/>
                <w:sz w:val="20"/>
                <w:szCs w:val="20"/>
              </w:rPr>
              <w:t>.</w:t>
            </w:r>
            <w:r>
              <w:rPr>
                <w:rFonts w:hint="eastAsia" w:ascii="宋体" w:hAnsi="宋体" w:cs="宋体"/>
                <w:bCs/>
                <w:color w:val="auto"/>
                <w:sz w:val="20"/>
                <w:szCs w:val="20"/>
              </w:rPr>
              <w:t>针对试点业务系统，协助完成国产化适配和测试，从功能性、运行性能、业务稳定性、安全性等方面进行测试验证。</w:t>
            </w:r>
          </w:p>
          <w:p>
            <w:pPr>
              <w:rPr>
                <w:rFonts w:ascii="宋体" w:hAnsi="宋体"/>
                <w:color w:val="auto"/>
                <w:sz w:val="20"/>
                <w:szCs w:val="20"/>
              </w:rPr>
            </w:pPr>
            <w:r>
              <w:rPr>
                <w:rFonts w:hint="eastAsia" w:ascii="宋体" w:hAnsi="宋体"/>
                <w:color w:val="auto"/>
                <w:sz w:val="20"/>
                <w:szCs w:val="20"/>
              </w:rPr>
              <w:t>2</w:t>
            </w:r>
            <w:r>
              <w:rPr>
                <w:rFonts w:ascii="宋体" w:hAnsi="宋体"/>
                <w:color w:val="auto"/>
                <w:sz w:val="20"/>
                <w:szCs w:val="20"/>
              </w:rPr>
              <w:t>.</w:t>
            </w:r>
            <w:r>
              <w:rPr>
                <w:rFonts w:hint="eastAsia" w:ascii="宋体" w:hAnsi="宋体"/>
                <w:color w:val="auto"/>
                <w:sz w:val="20"/>
                <w:szCs w:val="20"/>
              </w:rPr>
              <w:t>完成现状调研、问题分析、一体化运维管理框架、运维业务规划部分编制，完成运维组织架构、岗位职责、流程规划设计、运维支撑系统规划、应急管理章节编制。</w:t>
            </w:r>
          </w:p>
          <w:p>
            <w:pPr>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w:t>
            </w:r>
            <w:r>
              <w:rPr>
                <w:rFonts w:hint="eastAsia" w:ascii="宋体" w:hAnsi="宋体"/>
                <w:color w:val="auto"/>
                <w:sz w:val="20"/>
                <w:szCs w:val="20"/>
              </w:rPr>
              <w:t>按照数据入表方案中所设计的路径节点，完成数据合规、数据评价、价值评估等工作。</w:t>
            </w:r>
          </w:p>
          <w:p>
            <w:pPr>
              <w:rPr>
                <w:rFonts w:ascii="宋体" w:hAnsi="宋体"/>
                <w:color w:val="auto"/>
              </w:rPr>
            </w:pPr>
            <w:r>
              <w:rPr>
                <w:rFonts w:ascii="宋体" w:hAnsi="宋体"/>
                <w:color w:val="auto"/>
              </w:rPr>
              <w:t>4</w:t>
            </w:r>
            <w:r>
              <w:rPr>
                <w:rFonts w:hint="eastAsia" w:ascii="宋体" w:hAnsi="宋体"/>
                <w:color w:val="auto"/>
              </w:rPr>
              <w:t>.工控机和边缘设备信创化的适配、测试。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171" w:type="dxa"/>
            <w:vMerge w:val="continue"/>
            <w:vAlign w:val="center"/>
          </w:tcPr>
          <w:p>
            <w:pPr>
              <w:widowControl/>
              <w:jc w:val="center"/>
              <w:rPr>
                <w:rFonts w:ascii="宋体" w:hAnsi="宋体"/>
                <w:color w:val="auto"/>
                <w:sz w:val="20"/>
                <w:szCs w:val="20"/>
              </w:rPr>
            </w:pPr>
          </w:p>
        </w:tc>
        <w:tc>
          <w:tcPr>
            <w:tcW w:w="2311" w:type="dxa"/>
            <w:vMerge w:val="continue"/>
            <w:vAlign w:val="center"/>
          </w:tcPr>
          <w:p>
            <w:pPr>
              <w:widowControl/>
              <w:jc w:val="left"/>
              <w:rPr>
                <w:rFonts w:ascii="宋体" w:hAnsi="宋体" w:cs="宋体"/>
                <w:bCs/>
                <w:color w:val="auto"/>
                <w:kern w:val="0"/>
                <w:sz w:val="20"/>
                <w:szCs w:val="20"/>
              </w:rPr>
            </w:pPr>
          </w:p>
        </w:tc>
        <w:tc>
          <w:tcPr>
            <w:tcW w:w="5607" w:type="dxa"/>
            <w:vAlign w:val="center"/>
          </w:tcPr>
          <w:p>
            <w:pPr>
              <w:widowControl/>
              <w:jc w:val="left"/>
              <w:rPr>
                <w:rFonts w:ascii="宋体" w:hAnsi="宋体" w:cs="宋体"/>
                <w:bCs/>
                <w:color w:val="auto"/>
                <w:kern w:val="0"/>
                <w:sz w:val="20"/>
                <w:szCs w:val="20"/>
              </w:rPr>
            </w:pPr>
            <w:r>
              <w:rPr>
                <w:rFonts w:hint="eastAsia" w:ascii="宋体" w:hAnsi="宋体" w:cs="宋体"/>
                <w:bCs/>
                <w:color w:val="auto"/>
                <w:kern w:val="0"/>
                <w:sz w:val="20"/>
                <w:szCs w:val="20"/>
              </w:rPr>
              <w:t>1</w:t>
            </w:r>
            <w:r>
              <w:rPr>
                <w:rFonts w:ascii="宋体" w:hAnsi="宋体" w:cs="宋体"/>
                <w:bCs/>
                <w:color w:val="auto"/>
                <w:kern w:val="0"/>
                <w:sz w:val="20"/>
                <w:szCs w:val="20"/>
              </w:rPr>
              <w:t>.</w:t>
            </w:r>
            <w:r>
              <w:rPr>
                <w:rFonts w:hint="eastAsia" w:ascii="宋体" w:hAnsi="宋体" w:cs="宋体"/>
                <w:bCs/>
                <w:color w:val="auto"/>
                <w:kern w:val="0"/>
                <w:sz w:val="20"/>
                <w:szCs w:val="20"/>
              </w:rPr>
              <w:t>基于试点业务系统信创适配情况，总结集团业务系统在信创环境下的架构适配技术，进行专题研究及报告输出。</w:t>
            </w:r>
          </w:p>
          <w:p>
            <w:pPr>
              <w:widowControl/>
              <w:jc w:val="left"/>
              <w:rPr>
                <w:rFonts w:ascii="宋体" w:hAnsi="宋体" w:cs="宋体"/>
                <w:bCs/>
                <w:color w:val="auto"/>
                <w:kern w:val="0"/>
                <w:sz w:val="20"/>
                <w:szCs w:val="20"/>
              </w:rPr>
            </w:pPr>
            <w:r>
              <w:rPr>
                <w:rFonts w:hint="eastAsia" w:ascii="宋体" w:hAnsi="宋体" w:cs="宋体"/>
                <w:bCs/>
                <w:color w:val="auto"/>
                <w:kern w:val="0"/>
                <w:sz w:val="20"/>
                <w:szCs w:val="20"/>
              </w:rPr>
              <w:t>基于试点业务系统信创迁移测试情况，总结高速业务系统在信创环境下的迁移测试技术，进行专题研究及报告输出。</w:t>
            </w:r>
          </w:p>
          <w:p>
            <w:pPr>
              <w:widowControl/>
              <w:jc w:val="left"/>
              <w:rPr>
                <w:rFonts w:ascii="宋体" w:hAnsi="宋体" w:cs="宋体"/>
                <w:bCs/>
                <w:color w:val="auto"/>
                <w:kern w:val="0"/>
                <w:sz w:val="20"/>
                <w:szCs w:val="20"/>
              </w:rPr>
            </w:pPr>
            <w:r>
              <w:rPr>
                <w:rFonts w:hint="eastAsia" w:ascii="宋体" w:hAnsi="宋体" w:cs="宋体"/>
                <w:bCs/>
                <w:color w:val="auto"/>
                <w:kern w:val="0"/>
                <w:sz w:val="20"/>
                <w:szCs w:val="20"/>
              </w:rPr>
              <w:t>2</w:t>
            </w:r>
            <w:r>
              <w:rPr>
                <w:rFonts w:ascii="宋体" w:hAnsi="宋体" w:cs="宋体"/>
                <w:bCs/>
                <w:color w:val="auto"/>
                <w:kern w:val="0"/>
                <w:sz w:val="20"/>
                <w:szCs w:val="20"/>
              </w:rPr>
              <w:t>.</w:t>
            </w:r>
            <w:r>
              <w:rPr>
                <w:rFonts w:hint="eastAsia" w:ascii="宋体" w:hAnsi="宋体" w:cs="宋体"/>
                <w:bCs/>
                <w:color w:val="auto"/>
                <w:kern w:val="0"/>
                <w:sz w:val="20"/>
                <w:szCs w:val="20"/>
              </w:rPr>
              <w:t>基于高速业务系统台账和整体网络及安全现状，依据信创云的标准，形成高速行业的上云技术标准。</w:t>
            </w:r>
          </w:p>
          <w:p>
            <w:pPr>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w:t>
            </w:r>
            <w:r>
              <w:rPr>
                <w:rFonts w:hint="eastAsia" w:ascii="宋体" w:hAnsi="宋体"/>
                <w:color w:val="auto"/>
                <w:sz w:val="20"/>
                <w:szCs w:val="20"/>
              </w:rPr>
              <w:t>完成运维服务质量管理、考核、改进、预期成效章节编制</w:t>
            </w:r>
          </w:p>
          <w:p>
            <w:pPr>
              <w:rPr>
                <w:rFonts w:ascii="宋体" w:hAnsi="宋体"/>
                <w:color w:val="auto"/>
                <w:sz w:val="20"/>
                <w:szCs w:val="20"/>
              </w:rPr>
            </w:pPr>
            <w:r>
              <w:rPr>
                <w:rFonts w:hint="eastAsia" w:ascii="宋体" w:hAnsi="宋体"/>
                <w:color w:val="auto"/>
                <w:sz w:val="20"/>
                <w:szCs w:val="20"/>
              </w:rPr>
              <w:t>4</w:t>
            </w:r>
            <w:r>
              <w:rPr>
                <w:rFonts w:ascii="宋体" w:hAnsi="宋体"/>
                <w:color w:val="auto"/>
                <w:sz w:val="20"/>
                <w:szCs w:val="20"/>
              </w:rPr>
              <w:t>.</w:t>
            </w:r>
            <w:r>
              <w:rPr>
                <w:rFonts w:hint="eastAsia" w:ascii="宋体" w:hAnsi="宋体"/>
                <w:color w:val="auto"/>
                <w:sz w:val="20"/>
                <w:szCs w:val="20"/>
              </w:rPr>
              <w:t>数据资产入表形成项目总结报告，提出相应的改进意见。</w:t>
            </w:r>
          </w:p>
          <w:p>
            <w:pPr>
              <w:rPr>
                <w:rFonts w:ascii="宋体" w:hAnsi="宋体"/>
                <w:color w:val="auto"/>
              </w:rPr>
            </w:pPr>
            <w:r>
              <w:rPr>
                <w:rFonts w:ascii="宋体" w:hAnsi="宋体"/>
                <w:color w:val="auto"/>
              </w:rPr>
              <w:t>5.</w:t>
            </w:r>
            <w:r>
              <w:rPr>
                <w:rFonts w:hint="eastAsia" w:ascii="宋体" w:hAnsi="宋体"/>
                <w:color w:val="auto"/>
              </w:rPr>
              <w:t>工控机和边缘设备上线、运行。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171" w:type="dxa"/>
            <w:vAlign w:val="center"/>
          </w:tcPr>
          <w:p>
            <w:pPr>
              <w:widowControl/>
              <w:jc w:val="center"/>
              <w:rPr>
                <w:rFonts w:ascii="宋体" w:hAnsi="宋体"/>
                <w:color w:val="auto"/>
                <w:sz w:val="20"/>
                <w:szCs w:val="20"/>
              </w:rPr>
            </w:pPr>
            <w:r>
              <w:rPr>
                <w:rFonts w:hint="eastAsia" w:ascii="宋体" w:hAnsi="宋体"/>
                <w:color w:val="auto"/>
                <w:sz w:val="20"/>
                <w:szCs w:val="20"/>
              </w:rPr>
              <w:t>第三阶段</w:t>
            </w:r>
          </w:p>
        </w:tc>
        <w:tc>
          <w:tcPr>
            <w:tcW w:w="2311" w:type="dxa"/>
            <w:vAlign w:val="center"/>
          </w:tcPr>
          <w:p>
            <w:pPr>
              <w:widowControl/>
              <w:jc w:val="center"/>
              <w:rPr>
                <w:rFonts w:hint="eastAsia" w:ascii="宋体" w:hAnsi="宋体" w:cs="宋体"/>
                <w:bCs/>
                <w:color w:val="auto"/>
                <w:kern w:val="0"/>
                <w:sz w:val="20"/>
                <w:szCs w:val="20"/>
              </w:rPr>
            </w:pPr>
            <w:r>
              <w:rPr>
                <w:rFonts w:hint="eastAsia" w:ascii="宋体" w:hAnsi="宋体" w:cs="宋体"/>
                <w:bCs/>
                <w:color w:val="auto"/>
                <w:kern w:val="0"/>
                <w:sz w:val="20"/>
                <w:szCs w:val="20"/>
              </w:rPr>
              <w:t>2</w:t>
            </w:r>
            <w:r>
              <w:rPr>
                <w:rFonts w:ascii="宋体" w:hAnsi="宋体" w:cs="宋体"/>
                <w:bCs/>
                <w:color w:val="auto"/>
                <w:kern w:val="0"/>
                <w:sz w:val="20"/>
                <w:szCs w:val="20"/>
              </w:rPr>
              <w:t>024</w:t>
            </w:r>
            <w:r>
              <w:rPr>
                <w:rFonts w:hint="eastAsia" w:ascii="宋体" w:hAnsi="宋体" w:cs="宋体"/>
                <w:bCs/>
                <w:color w:val="auto"/>
                <w:kern w:val="0"/>
                <w:sz w:val="20"/>
                <w:szCs w:val="20"/>
              </w:rPr>
              <w:t>年</w:t>
            </w:r>
            <w:r>
              <w:rPr>
                <w:rFonts w:ascii="宋体" w:hAnsi="宋体" w:cs="宋体"/>
                <w:bCs/>
                <w:color w:val="auto"/>
                <w:kern w:val="0"/>
                <w:sz w:val="20"/>
                <w:szCs w:val="20"/>
              </w:rPr>
              <w:t>10</w:t>
            </w:r>
            <w:r>
              <w:rPr>
                <w:rFonts w:hint="eastAsia" w:ascii="宋体" w:hAnsi="宋体" w:cs="宋体"/>
                <w:bCs/>
                <w:color w:val="auto"/>
                <w:kern w:val="0"/>
                <w:sz w:val="20"/>
                <w:szCs w:val="20"/>
              </w:rPr>
              <w:t>月-</w:t>
            </w:r>
            <w:r>
              <w:rPr>
                <w:rFonts w:ascii="宋体" w:hAnsi="宋体" w:cs="宋体"/>
                <w:bCs/>
                <w:color w:val="auto"/>
                <w:kern w:val="0"/>
                <w:sz w:val="20"/>
                <w:szCs w:val="20"/>
              </w:rPr>
              <w:t>2025</w:t>
            </w:r>
            <w:r>
              <w:rPr>
                <w:rFonts w:hint="eastAsia" w:ascii="宋体" w:hAnsi="宋体" w:cs="宋体"/>
                <w:bCs/>
                <w:color w:val="auto"/>
                <w:kern w:val="0"/>
                <w:sz w:val="20"/>
                <w:szCs w:val="20"/>
              </w:rPr>
              <w:t>年</w:t>
            </w:r>
            <w:r>
              <w:rPr>
                <w:rFonts w:ascii="宋体" w:hAnsi="宋体" w:cs="宋体"/>
                <w:bCs/>
                <w:color w:val="auto"/>
                <w:kern w:val="0"/>
                <w:sz w:val="20"/>
                <w:szCs w:val="20"/>
              </w:rPr>
              <w:t>9</w:t>
            </w:r>
            <w:r>
              <w:rPr>
                <w:rFonts w:hint="eastAsia" w:ascii="宋体" w:hAnsi="宋体" w:cs="宋体"/>
                <w:bCs/>
                <w:color w:val="auto"/>
                <w:kern w:val="0"/>
                <w:sz w:val="20"/>
                <w:szCs w:val="20"/>
              </w:rPr>
              <w:t>月</w:t>
            </w:r>
          </w:p>
        </w:tc>
        <w:tc>
          <w:tcPr>
            <w:tcW w:w="5607" w:type="dxa"/>
            <w:vAlign w:val="center"/>
          </w:tcPr>
          <w:p>
            <w:pPr>
              <w:widowControl/>
              <w:jc w:val="left"/>
              <w:rPr>
                <w:rFonts w:ascii="宋体" w:hAnsi="宋体" w:cs="宋体"/>
                <w:color w:val="auto"/>
                <w:sz w:val="20"/>
                <w:szCs w:val="20"/>
              </w:rPr>
            </w:pPr>
            <w:r>
              <w:rPr>
                <w:rFonts w:hint="eastAsia" w:ascii="宋体" w:hAnsi="宋体" w:cs="宋体"/>
                <w:color w:val="auto"/>
                <w:sz w:val="20"/>
                <w:szCs w:val="20"/>
              </w:rPr>
              <w:t>1</w:t>
            </w:r>
            <w:r>
              <w:rPr>
                <w:rFonts w:ascii="宋体" w:hAnsi="宋体" w:cs="宋体"/>
                <w:color w:val="auto"/>
                <w:sz w:val="20"/>
                <w:szCs w:val="20"/>
              </w:rPr>
              <w:t>.</w:t>
            </w:r>
            <w:r>
              <w:rPr>
                <w:rFonts w:hint="eastAsia" w:ascii="宋体" w:hAnsi="宋体" w:cs="宋体"/>
                <w:color w:val="auto"/>
                <w:sz w:val="20"/>
                <w:szCs w:val="20"/>
              </w:rPr>
              <w:t>项目运维服务和成果研究</w:t>
            </w:r>
          </w:p>
        </w:tc>
      </w:tr>
    </w:tbl>
    <w:p>
      <w:pPr>
        <w:rPr>
          <w:color w:val="auto"/>
          <w:highlight w:val="none"/>
        </w:rPr>
      </w:pP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w:t>
      </w:r>
      <w:r>
        <w:rPr>
          <w:rFonts w:ascii="宋体" w:hAnsi="宋体" w:cs="黑体"/>
          <w:color w:val="auto"/>
          <w:kern w:val="0"/>
          <w:sz w:val="24"/>
          <w:szCs w:val="24"/>
          <w:highlight w:val="none"/>
        </w:rPr>
        <w:t>.7</w:t>
      </w:r>
      <w:r>
        <w:rPr>
          <w:rFonts w:hint="eastAsia" w:ascii="宋体" w:hAnsi="宋体" w:cs="黑体"/>
          <w:color w:val="auto"/>
          <w:kern w:val="0"/>
          <w:sz w:val="24"/>
          <w:szCs w:val="24"/>
          <w:highlight w:val="none"/>
        </w:rPr>
        <w:t>验收指标</w:t>
      </w:r>
    </w:p>
    <w:p>
      <w:pPr>
        <w:spacing w:line="360" w:lineRule="auto"/>
        <w:ind w:firstLine="420" w:firstLineChars="200"/>
        <w:rPr>
          <w:rFonts w:ascii="宋体" w:hAnsi="宋体"/>
          <w:color w:val="auto"/>
          <w:highlight w:val="none"/>
        </w:rPr>
      </w:pPr>
      <w:r>
        <w:rPr>
          <w:rFonts w:hint="eastAsia" w:ascii="宋体" w:hAnsi="宋体"/>
          <w:color w:val="auto"/>
          <w:highlight w:val="none"/>
        </w:rPr>
        <w:t>1.信息系统信创化适配迁移</w:t>
      </w:r>
    </w:p>
    <w:p>
      <w:pPr>
        <w:spacing w:line="360" w:lineRule="auto"/>
        <w:ind w:firstLine="420" w:firstLineChars="200"/>
        <w:rPr>
          <w:rFonts w:ascii="宋体" w:hAnsi="宋体"/>
          <w:color w:val="auto"/>
          <w:highlight w:val="none"/>
        </w:rPr>
      </w:pPr>
      <w:r>
        <w:rPr>
          <w:rFonts w:hint="eastAsia" w:ascii="宋体" w:hAnsi="宋体"/>
          <w:color w:val="auto"/>
          <w:highlight w:val="none"/>
        </w:rPr>
        <w:t>（1）高速业务系统在信创云环境下的架构适配技术研究报告，1份</w:t>
      </w:r>
    </w:p>
    <w:p>
      <w:pPr>
        <w:spacing w:line="360" w:lineRule="auto"/>
        <w:ind w:firstLine="420" w:firstLineChars="200"/>
        <w:rPr>
          <w:rFonts w:ascii="宋体" w:hAnsi="宋体"/>
          <w:color w:val="auto"/>
          <w:highlight w:val="none"/>
        </w:rPr>
      </w:pPr>
      <w:r>
        <w:rPr>
          <w:rFonts w:hint="eastAsia" w:ascii="宋体" w:hAnsi="宋体"/>
          <w:color w:val="auto"/>
          <w:highlight w:val="none"/>
        </w:rPr>
        <w:t>（2）高速业务系统在信创云环境下的迁移测试技术研究报告，1份</w:t>
      </w:r>
    </w:p>
    <w:p>
      <w:pPr>
        <w:spacing w:line="360" w:lineRule="auto"/>
        <w:ind w:firstLine="420" w:firstLineChars="200"/>
        <w:rPr>
          <w:rFonts w:ascii="宋体" w:hAnsi="宋体"/>
          <w:color w:val="auto"/>
          <w:highlight w:val="none"/>
        </w:rPr>
      </w:pPr>
      <w:r>
        <w:rPr>
          <w:rFonts w:hint="eastAsia" w:ascii="宋体" w:hAnsi="宋体"/>
          <w:color w:val="auto"/>
          <w:highlight w:val="none"/>
        </w:rPr>
        <w:t>（3）集团级信创云建设方案和实施标准，1份</w:t>
      </w:r>
    </w:p>
    <w:p>
      <w:pPr>
        <w:spacing w:line="360" w:lineRule="auto"/>
        <w:ind w:firstLine="420" w:firstLineChars="200"/>
        <w:rPr>
          <w:rFonts w:ascii="宋体" w:hAnsi="宋体"/>
          <w:color w:val="auto"/>
          <w:highlight w:val="none"/>
        </w:rPr>
      </w:pPr>
      <w:r>
        <w:rPr>
          <w:rFonts w:hint="eastAsia" w:ascii="宋体" w:hAnsi="宋体"/>
          <w:color w:val="auto"/>
          <w:highlight w:val="none"/>
        </w:rPr>
        <w:t>（4）高速业务系统上信创云的技术标准，1份</w:t>
      </w:r>
    </w:p>
    <w:p>
      <w:pPr>
        <w:spacing w:line="360" w:lineRule="auto"/>
        <w:ind w:firstLine="420" w:firstLineChars="200"/>
        <w:rPr>
          <w:rFonts w:ascii="宋体" w:hAnsi="宋体"/>
          <w:color w:val="auto"/>
          <w:highlight w:val="none"/>
        </w:rPr>
      </w:pPr>
      <w:r>
        <w:rPr>
          <w:rFonts w:hint="eastAsia" w:ascii="宋体" w:hAnsi="宋体"/>
          <w:color w:val="auto"/>
          <w:highlight w:val="none"/>
        </w:rPr>
        <w:t>（5）集团级信创云运营服务体系标准，1份</w:t>
      </w:r>
    </w:p>
    <w:p>
      <w:pPr>
        <w:spacing w:line="360" w:lineRule="auto"/>
        <w:ind w:firstLine="420" w:firstLineChars="200"/>
        <w:rPr>
          <w:rFonts w:ascii="宋体" w:hAnsi="宋体"/>
          <w:color w:val="auto"/>
          <w:highlight w:val="none"/>
        </w:rPr>
      </w:pPr>
      <w:r>
        <w:rPr>
          <w:rFonts w:hint="eastAsia" w:ascii="宋体" w:hAnsi="宋体"/>
          <w:color w:val="auto"/>
          <w:highlight w:val="none"/>
        </w:rPr>
        <w:t>（6）集团级信创云运维服务体系设计标准，1份</w:t>
      </w:r>
    </w:p>
    <w:p>
      <w:pPr>
        <w:spacing w:line="360" w:lineRule="auto"/>
        <w:ind w:firstLine="420" w:firstLineChars="200"/>
        <w:rPr>
          <w:rFonts w:ascii="宋体" w:hAnsi="宋体"/>
          <w:color w:val="auto"/>
          <w:highlight w:val="none"/>
        </w:rPr>
      </w:pPr>
      <w:r>
        <w:rPr>
          <w:rFonts w:hint="eastAsia" w:ascii="宋体" w:hAnsi="宋体"/>
          <w:color w:val="auto"/>
          <w:highlight w:val="none"/>
        </w:rPr>
        <w:t>（7）基于信创云环境下高速业务等保合规体系标准，1份</w:t>
      </w:r>
    </w:p>
    <w:p>
      <w:pPr>
        <w:spacing w:line="360" w:lineRule="auto"/>
        <w:ind w:firstLine="420" w:firstLineChars="200"/>
        <w:rPr>
          <w:rFonts w:ascii="宋体" w:hAnsi="宋体"/>
          <w:color w:val="auto"/>
          <w:highlight w:val="none"/>
        </w:rPr>
      </w:pPr>
      <w:r>
        <w:rPr>
          <w:rFonts w:hint="eastAsia" w:ascii="宋体" w:hAnsi="宋体"/>
          <w:color w:val="auto"/>
          <w:highlight w:val="none"/>
        </w:rPr>
        <w:t>（8）基于信创云环境下高速业务密码合规体系标准，1份</w:t>
      </w:r>
    </w:p>
    <w:p>
      <w:pPr>
        <w:spacing w:line="360" w:lineRule="auto"/>
        <w:ind w:firstLine="420" w:firstLineChars="200"/>
        <w:rPr>
          <w:rFonts w:ascii="宋体" w:hAnsi="宋体"/>
          <w:color w:val="auto"/>
          <w:highlight w:val="none"/>
        </w:rPr>
      </w:pPr>
      <w:r>
        <w:rPr>
          <w:rFonts w:hint="eastAsia" w:ascii="宋体" w:hAnsi="宋体"/>
          <w:color w:val="auto"/>
          <w:highlight w:val="none"/>
        </w:rPr>
        <w:t>（9）搭建信创云测试平台，包括信创云软件平台、存储、服务器、安全设备、网络设备等软硬件设备。保证不低于一种业务应用子系统(“高速云”一期系统中的系统)的正常运行。</w:t>
      </w:r>
    </w:p>
    <w:p>
      <w:pPr>
        <w:spacing w:line="360" w:lineRule="auto"/>
        <w:ind w:firstLine="420" w:firstLineChars="200"/>
        <w:rPr>
          <w:rFonts w:ascii="宋体" w:hAnsi="宋体"/>
          <w:color w:val="auto"/>
          <w:highlight w:val="none"/>
        </w:rPr>
      </w:pPr>
      <w:r>
        <w:rPr>
          <w:rFonts w:hint="eastAsia" w:ascii="宋体" w:hAnsi="宋体"/>
          <w:color w:val="auto"/>
          <w:highlight w:val="none"/>
        </w:rPr>
        <w:t>（10）边缘设备信创化的研发</w:t>
      </w:r>
    </w:p>
    <w:p>
      <w:pPr>
        <w:spacing w:line="360" w:lineRule="auto"/>
        <w:ind w:firstLine="420" w:firstLineChars="200"/>
        <w:rPr>
          <w:rFonts w:ascii="宋体" w:hAnsi="宋体"/>
          <w:color w:val="auto"/>
          <w:highlight w:val="none"/>
        </w:rPr>
      </w:pPr>
      <w:r>
        <w:rPr>
          <w:rFonts w:hint="eastAsia" w:ascii="宋体" w:hAnsi="宋体"/>
          <w:color w:val="auto"/>
          <w:highlight w:val="none"/>
        </w:rPr>
        <w:t>1）信创国产化工控机4台</w:t>
      </w:r>
    </w:p>
    <w:p>
      <w:pPr>
        <w:spacing w:line="360" w:lineRule="auto"/>
        <w:ind w:firstLine="420" w:firstLineChars="200"/>
        <w:rPr>
          <w:rFonts w:ascii="宋体" w:hAnsi="宋体"/>
          <w:color w:val="auto"/>
          <w:highlight w:val="none"/>
        </w:rPr>
      </w:pPr>
      <w:r>
        <w:rPr>
          <w:rFonts w:hint="eastAsia" w:ascii="宋体" w:hAnsi="宋体"/>
          <w:color w:val="auto"/>
          <w:highlight w:val="none"/>
        </w:rPr>
        <w:t>2）MEC信创国产化边缘计算设备，4套</w:t>
      </w:r>
    </w:p>
    <w:p>
      <w:pPr>
        <w:spacing w:line="360" w:lineRule="auto"/>
        <w:ind w:firstLine="420" w:firstLineChars="200"/>
        <w:rPr>
          <w:rFonts w:ascii="宋体" w:hAnsi="宋体"/>
          <w:color w:val="auto"/>
          <w:highlight w:val="none"/>
        </w:rPr>
      </w:pPr>
      <w:r>
        <w:rPr>
          <w:rFonts w:hint="eastAsia" w:ascii="宋体" w:hAnsi="宋体"/>
          <w:color w:val="auto"/>
          <w:highlight w:val="none"/>
        </w:rPr>
        <w:t>2. 信息系统数据资产化的研究</w:t>
      </w:r>
    </w:p>
    <w:p>
      <w:pPr>
        <w:spacing w:line="360" w:lineRule="auto"/>
        <w:ind w:firstLine="420" w:firstLineChars="200"/>
        <w:rPr>
          <w:rFonts w:ascii="宋体" w:hAnsi="宋体"/>
          <w:color w:val="auto"/>
          <w:highlight w:val="none"/>
        </w:rPr>
      </w:pPr>
      <w:r>
        <w:rPr>
          <w:rFonts w:hint="eastAsia" w:ascii="宋体" w:hAnsi="宋体"/>
          <w:color w:val="auto"/>
          <w:highlight w:val="none"/>
        </w:rPr>
        <w:t>（1）《数据资产现状尽职调查报告》(含数据资产清单)</w:t>
      </w:r>
    </w:p>
    <w:p>
      <w:pPr>
        <w:spacing w:line="360" w:lineRule="auto"/>
        <w:ind w:firstLine="420" w:firstLineChars="200"/>
        <w:rPr>
          <w:rFonts w:ascii="宋体" w:hAnsi="宋体"/>
          <w:color w:val="auto"/>
          <w:highlight w:val="none"/>
        </w:rPr>
      </w:pPr>
      <w:r>
        <w:rPr>
          <w:rFonts w:hint="eastAsia" w:ascii="宋体" w:hAnsi="宋体"/>
          <w:color w:val="auto"/>
          <w:highlight w:val="none"/>
        </w:rPr>
        <w:t>（2）《数据资产化综合方案》</w:t>
      </w:r>
    </w:p>
    <w:p>
      <w:pPr>
        <w:spacing w:line="360" w:lineRule="auto"/>
        <w:ind w:firstLine="420" w:firstLineChars="200"/>
        <w:rPr>
          <w:rFonts w:ascii="宋体" w:hAnsi="宋体"/>
          <w:color w:val="auto"/>
          <w:highlight w:val="none"/>
        </w:rPr>
      </w:pPr>
      <w:r>
        <w:rPr>
          <w:rFonts w:hint="eastAsia" w:ascii="宋体" w:hAnsi="宋体"/>
          <w:color w:val="auto"/>
          <w:highlight w:val="none"/>
        </w:rPr>
        <w:t>（3）《数据资产合规法律评估报告》（由律所出具）</w:t>
      </w:r>
    </w:p>
    <w:p>
      <w:pPr>
        <w:spacing w:line="360" w:lineRule="auto"/>
        <w:ind w:firstLine="420" w:firstLineChars="200"/>
        <w:rPr>
          <w:rFonts w:ascii="宋体" w:hAnsi="宋体"/>
          <w:color w:val="auto"/>
          <w:highlight w:val="none"/>
        </w:rPr>
      </w:pPr>
      <w:r>
        <w:rPr>
          <w:rFonts w:hint="eastAsia" w:ascii="宋体" w:hAnsi="宋体"/>
          <w:color w:val="auto"/>
          <w:highlight w:val="none"/>
        </w:rPr>
        <w:t>（4）《数据资产登记证书》（由全国数据资产登记服务平台出具）</w:t>
      </w:r>
    </w:p>
    <w:p>
      <w:pPr>
        <w:spacing w:line="360" w:lineRule="auto"/>
        <w:ind w:firstLine="420" w:firstLineChars="200"/>
        <w:rPr>
          <w:rFonts w:ascii="宋体" w:hAnsi="宋体"/>
          <w:color w:val="auto"/>
          <w:highlight w:val="none"/>
        </w:rPr>
      </w:pPr>
      <w:r>
        <w:rPr>
          <w:rFonts w:hint="eastAsia" w:ascii="宋体" w:hAnsi="宋体"/>
          <w:color w:val="auto"/>
          <w:highlight w:val="none"/>
        </w:rPr>
        <w:t>（5）《数据资源入表评价报告》</w:t>
      </w:r>
    </w:p>
    <w:p>
      <w:pPr>
        <w:spacing w:line="360" w:lineRule="auto"/>
        <w:ind w:firstLine="420" w:firstLineChars="200"/>
        <w:rPr>
          <w:rFonts w:ascii="宋体" w:hAnsi="宋体"/>
          <w:color w:val="auto"/>
          <w:highlight w:val="none"/>
        </w:rPr>
      </w:pPr>
      <w:r>
        <w:rPr>
          <w:rFonts w:hint="eastAsia" w:ascii="宋体" w:hAnsi="宋体"/>
          <w:color w:val="auto"/>
          <w:highlight w:val="none"/>
        </w:rPr>
        <w:t>（6）《入表财务凭证》（由外审机构确认）</w:t>
      </w:r>
    </w:p>
    <w:p>
      <w:pPr>
        <w:spacing w:line="360" w:lineRule="auto"/>
        <w:ind w:firstLine="420" w:firstLineChars="200"/>
        <w:rPr>
          <w:rFonts w:ascii="宋体" w:hAnsi="宋体"/>
          <w:color w:val="auto"/>
          <w:highlight w:val="none"/>
        </w:rPr>
      </w:pPr>
      <w:r>
        <w:rPr>
          <w:rFonts w:hint="eastAsia" w:ascii="宋体" w:hAnsi="宋体"/>
          <w:color w:val="auto"/>
          <w:highlight w:val="none"/>
        </w:rPr>
        <w:t>（7）《数据资产价值评估报告》(由资产评估机构出具）</w:t>
      </w:r>
    </w:p>
    <w:p>
      <w:pPr>
        <w:spacing w:line="360" w:lineRule="auto"/>
        <w:ind w:firstLine="420" w:firstLineChars="200"/>
        <w:rPr>
          <w:rFonts w:ascii="宋体" w:hAnsi="宋体"/>
          <w:color w:val="auto"/>
          <w:highlight w:val="none"/>
        </w:rPr>
      </w:pPr>
      <w:r>
        <w:rPr>
          <w:rFonts w:hint="eastAsia" w:ascii="宋体" w:hAnsi="宋体"/>
          <w:color w:val="auto"/>
          <w:highlight w:val="none"/>
        </w:rPr>
        <w:t>（8）《项目总结报告》</w:t>
      </w:r>
    </w:p>
    <w:p>
      <w:pPr>
        <w:spacing w:line="360" w:lineRule="auto"/>
        <w:ind w:firstLine="420" w:firstLineChars="200"/>
        <w:rPr>
          <w:rFonts w:ascii="宋体" w:hAnsi="宋体"/>
          <w:color w:val="auto"/>
          <w:highlight w:val="none"/>
        </w:rPr>
      </w:pPr>
      <w:r>
        <w:rPr>
          <w:rFonts w:hint="eastAsia" w:ascii="宋体" w:hAnsi="宋体"/>
          <w:color w:val="auto"/>
          <w:highlight w:val="none"/>
        </w:rPr>
        <w:t>（9）数据资源入表平台软件</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w:t>
      </w:r>
      <w:r>
        <w:rPr>
          <w:rFonts w:ascii="宋体" w:hAnsi="宋体" w:cs="黑体"/>
          <w:color w:val="auto"/>
          <w:kern w:val="0"/>
          <w:sz w:val="24"/>
          <w:szCs w:val="24"/>
          <w:highlight w:val="none"/>
        </w:rPr>
        <w:t>.8</w:t>
      </w:r>
      <w:r>
        <w:rPr>
          <w:rFonts w:hint="eastAsia" w:ascii="宋体" w:hAnsi="宋体" w:cs="黑体"/>
          <w:color w:val="auto"/>
          <w:kern w:val="0"/>
          <w:sz w:val="24"/>
          <w:szCs w:val="24"/>
          <w:highlight w:val="none"/>
        </w:rPr>
        <w:t>项目验收付款</w:t>
      </w:r>
    </w:p>
    <w:tbl>
      <w:tblPr>
        <w:tblStyle w:val="4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2"/>
        <w:gridCol w:w="3445"/>
        <w:gridCol w:w="4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blHeader/>
          <w:jc w:val="center"/>
        </w:trPr>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2"/>
                <w:highlight w:val="none"/>
              </w:rPr>
            </w:pPr>
            <w:r>
              <w:rPr>
                <w:rFonts w:hint="eastAsia" w:ascii="宋体" w:hAnsi="宋体"/>
                <w:sz w:val="22"/>
                <w:highlight w:val="none"/>
              </w:rPr>
              <w:t>阶段</w:t>
            </w:r>
          </w:p>
        </w:tc>
        <w:tc>
          <w:tcPr>
            <w:tcW w:w="34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2"/>
                <w:highlight w:val="none"/>
              </w:rPr>
            </w:pPr>
            <w:r>
              <w:rPr>
                <w:rFonts w:hint="eastAsia" w:ascii="宋体" w:hAnsi="宋体"/>
                <w:sz w:val="22"/>
                <w:highlight w:val="none"/>
              </w:rPr>
              <w:t>付款条件</w:t>
            </w:r>
          </w:p>
        </w:tc>
        <w:tc>
          <w:tcPr>
            <w:tcW w:w="43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2"/>
                <w:highlight w:val="none"/>
              </w:rPr>
            </w:pPr>
            <w:r>
              <w:rPr>
                <w:rFonts w:hint="eastAsia" w:ascii="宋体" w:hAnsi="宋体"/>
                <w:sz w:val="22"/>
                <w:highlight w:val="none"/>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2"/>
                <w:highlight w:val="none"/>
              </w:rPr>
            </w:pPr>
            <w:r>
              <w:rPr>
                <w:rFonts w:hint="eastAsia" w:ascii="宋体" w:hAnsi="宋体"/>
                <w:szCs w:val="21"/>
                <w:highlight w:val="none"/>
              </w:rPr>
              <w:t>第一阶段</w:t>
            </w:r>
          </w:p>
        </w:tc>
        <w:tc>
          <w:tcPr>
            <w:tcW w:w="344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双方合同签订之日起7日内</w:t>
            </w:r>
          </w:p>
        </w:tc>
        <w:tc>
          <w:tcPr>
            <w:tcW w:w="43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highlight w:val="none"/>
              </w:rPr>
            </w:pPr>
            <w:r>
              <w:rPr>
                <w:rFonts w:hint="eastAsia" w:ascii="宋体" w:hAnsi="宋体"/>
                <w:sz w:val="22"/>
                <w:highlight w:val="none"/>
              </w:rPr>
              <w:t>河北高速公路集团有限公司向揭榜方支付高速集团配套资金总额的50%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2"/>
                <w:highlight w:val="none"/>
              </w:rPr>
            </w:pPr>
            <w:r>
              <w:rPr>
                <w:rFonts w:hint="eastAsia" w:ascii="宋体" w:hAnsi="宋体"/>
                <w:szCs w:val="21"/>
                <w:highlight w:val="none"/>
              </w:rPr>
              <w:t>第二阶段</w:t>
            </w:r>
          </w:p>
        </w:tc>
        <w:tc>
          <w:tcPr>
            <w:tcW w:w="344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完成高速集团信创云10项验收交付物，数字资产入表工作9项验收交付物。</w:t>
            </w:r>
          </w:p>
        </w:tc>
        <w:tc>
          <w:tcPr>
            <w:tcW w:w="43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highlight w:val="none"/>
              </w:rPr>
            </w:pPr>
            <w:r>
              <w:rPr>
                <w:rFonts w:hint="eastAsia" w:ascii="宋体" w:hAnsi="宋体"/>
                <w:sz w:val="22"/>
                <w:highlight w:val="none"/>
              </w:rPr>
              <w:t>河北高速公路集团有限公司向揭榜方支付高速集团配套资金总额的40%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2"/>
                <w:highlight w:val="none"/>
              </w:rPr>
            </w:pPr>
            <w:r>
              <w:rPr>
                <w:rFonts w:hint="eastAsia" w:ascii="宋体" w:hAnsi="宋体"/>
                <w:szCs w:val="21"/>
                <w:highlight w:val="none"/>
              </w:rPr>
              <w:t>第三阶段</w:t>
            </w:r>
          </w:p>
        </w:tc>
        <w:tc>
          <w:tcPr>
            <w:tcW w:w="344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2"/>
                <w:highlight w:val="none"/>
              </w:rPr>
            </w:pPr>
            <w:r>
              <w:rPr>
                <w:rFonts w:hint="eastAsia" w:ascii="宋体" w:hAnsi="宋体" w:cs="宋体"/>
                <w:sz w:val="22"/>
                <w:highlight w:val="none"/>
              </w:rPr>
              <w:t>双方共同完成本项目研究成果后</w:t>
            </w:r>
          </w:p>
        </w:tc>
        <w:tc>
          <w:tcPr>
            <w:tcW w:w="43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2"/>
                <w:highlight w:val="none"/>
              </w:rPr>
            </w:pPr>
            <w:r>
              <w:rPr>
                <w:rFonts w:hint="eastAsia" w:ascii="宋体" w:hAnsi="宋体"/>
                <w:sz w:val="22"/>
                <w:highlight w:val="none"/>
              </w:rPr>
              <w:t>河北高速公路集团有限公司向揭榜方支付高速集团配套资金总额的10%</w:t>
            </w:r>
          </w:p>
        </w:tc>
      </w:tr>
    </w:tbl>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rPr>
      </w:pPr>
    </w:p>
    <w:p>
      <w:pPr>
        <w:tabs>
          <w:tab w:val="left" w:pos="1283"/>
          <w:tab w:val="left" w:pos="1922"/>
        </w:tabs>
        <w:autoSpaceDE w:val="0"/>
        <w:autoSpaceDN w:val="0"/>
        <w:spacing w:line="360" w:lineRule="auto"/>
        <w:ind w:firstLine="480" w:firstLineChars="200"/>
        <w:jc w:val="left"/>
        <w:rPr>
          <w:rFonts w:hint="default" w:ascii="宋体" w:hAnsi="宋体" w:eastAsia="宋体" w:cs="黑体"/>
          <w:color w:val="auto"/>
          <w:kern w:val="0"/>
          <w:sz w:val="24"/>
          <w:szCs w:val="24"/>
          <w:highlight w:val="none"/>
          <w:lang w:val="en-US" w:eastAsia="zh-CN"/>
        </w:rPr>
      </w:pPr>
      <w:r>
        <w:rPr>
          <w:rFonts w:hint="eastAsia" w:ascii="宋体" w:hAnsi="宋体" w:cs="黑体"/>
          <w:color w:val="auto"/>
          <w:kern w:val="0"/>
          <w:sz w:val="24"/>
          <w:szCs w:val="24"/>
          <w:highlight w:val="none"/>
        </w:rPr>
        <w:t>1.</w:t>
      </w:r>
      <w:r>
        <w:rPr>
          <w:rFonts w:hint="eastAsia" w:ascii="宋体" w:hAnsi="宋体" w:cs="黑体"/>
          <w:color w:val="auto"/>
          <w:kern w:val="0"/>
          <w:sz w:val="24"/>
          <w:szCs w:val="24"/>
          <w:highlight w:val="none"/>
          <w:lang w:val="en-US" w:eastAsia="zh-CN"/>
        </w:rPr>
        <w:t>7设备参数要求</w:t>
      </w:r>
    </w:p>
    <w:p>
      <w:pPr>
        <w:spacing w:line="360" w:lineRule="auto"/>
        <w:ind w:firstLine="459"/>
        <w:jc w:val="center"/>
        <w:rPr>
          <w:rFonts w:ascii="宋体" w:hAnsi="宋体"/>
          <w:color w:val="auto"/>
          <w:spacing w:val="-2"/>
          <w:sz w:val="24"/>
          <w:szCs w:val="24"/>
          <w:highlight w:val="none"/>
        </w:rPr>
      </w:pPr>
      <w:r>
        <w:rPr>
          <w:rFonts w:hint="eastAsia" w:ascii="宋体" w:hAnsi="宋体"/>
          <w:color w:val="auto"/>
          <w:spacing w:val="-2"/>
          <w:sz w:val="24"/>
          <w:szCs w:val="24"/>
          <w:highlight w:val="none"/>
        </w:rPr>
        <w:t>主要设备技术要求</w:t>
      </w:r>
    </w:p>
    <w:tbl>
      <w:tblPr>
        <w:tblStyle w:val="41"/>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080"/>
        <w:gridCol w:w="5260"/>
        <w:gridCol w:w="78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526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项目内容</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存储设备</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分布式存储机箱，2U机架式，无CPU、内存、硬盘、网卡及RAID卡，最多支持12块3.5英寸SATA HDD数据盘。含标准三年维保服务。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鲲鹏920处理器-5220-32核/2.6G</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32GB DDR4内存。</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2.5英寸企业级SATA SSD硬盘，480GB，DWPD≥1。</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3.5英寸企业级SATA HDD硬盘，7.2K RPM，8TB</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2.5英寸企业级NVMe SSD硬盘，1.6TB，DWPD≥3。</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双端口10Gb网卡，光口，配置2个SFP。支持TCP/IP，支持RoCE</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四端口1Gb网卡，电口。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8通道RAID卡，支持RAID 0/1及JBOD，无缓存。</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服务器密码机</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RSA2048密钥生成≥80对/秒</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SM2密钥生成≥50000对/秒</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SM2签名运算速度≥110000次/秒</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SM2验签名运算速度≥25000次/秒</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SM3摘要运算≥2000Mbps</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SM4加解密运算速度≥3000Mbps</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RSA2048签名运算速度≥5000次/秒</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RSA2048验签名运算速度≥90000次/秒</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AES256运算速度≥850Mbps</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NTP 服务器</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服务器外观：2U</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网卡：10GE(SPF+)&gt;=2  1GE(RJ45)&gt;=2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电源： 1+1冗余电源设计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IO接口：USB接口数量&gt;=2 VGA口&gt;=1 Serial Console&gt;=1</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授时模块：支持单/多模北斗授时  支持单/多模GPS授时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守时模块：铷原子钟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守时精度：=14000次/s</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协议支持 NTP：V1/V2/V3/V4、SNTP、SNMP、UDP、Telnet、IP、TCP</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用户容量：&gt;=4W</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加密协议：MD5&amp;证书</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天线勘探与部署：厂商支持部署</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避雷器：厂商支持部署</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防火墙-10G</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硬件规格：标准1U机箱，冗余热插拔电源，万兆接口数量4个（默认配置4个多模光模块），千兆电口数量 8个，接口扩展支持2个接口扩展槽，默认包含三年的硬件维保；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网络层吞吐量20Gbps，IPS吞吐量7Gbps，安全功能全开吞吐量2.5Gbps，并发连接数800万，新建连接数（CPS）30万，SSL VPN默认包含用户和并发数100个，访问控制策略 ≥ 10000，黑名单数 ≥ 50000；3年全功能模块升级订阅服务包（含应用识别库、病毒防护特征库、入侵防御特征库升级订阅服务）包含设备首次安装调试，三年硬件维修服务。</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国密安全网关-5200</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国际RSA2048位新建连接数2500（单向）&amp;2000（双向），国密SM2新建连接数5000（单向）&amp;3000（双向），国际算法加密吞吐5000 Mbps，国密算法加密吞吐2000 Mbps；最大并发连接数国际算法6W，最大并发连接数国密算法5W，TPS国际算法6W，TPS国密算法2W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2U标准机架，网络接口:6个千兆电口，2 个万兆光口；固态硬盘256GB，冗余热插拔电源，扩展槽:≥2 个接口扩展槽；默认包含三年的硬件维保</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动态口令认证系统-硬件令牌</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无需与主机连接，挑战应答令牌， 提供 6 位或 8 位的动态令牌码;令 牌内电路不可读，无法破解、篡改 和复制。符合密码模块二级要求。</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计算机型（鲲鹏）服务器</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机架式，2路服务器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CPU：Kunpeng 920 7260 64C 2.60GHz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内存：512GB（16×32GB），DDR4-2933 ECC REG RDIMM或更高频率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硬盘：SATA SSD 480G ×1</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SATA SSD：市场主流品牌，企业级SSD硬盘，带掉电保护功能：即有连续数据写入的情况下，异常掉电不丢数据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SAS卡：12Gb 3008 8i Raid0 1 JBOD 半高 SAS卡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网卡：1×双口10Gb SFP+ 万兆连接网口（含模块），主控芯片型号Mellanox ConnectX-4（MCX4121A-XCHT）；1×1GbE千兆IPMI管理口；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电源：220VAC/240HVDC交直流兼容电源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提供3年原厂保修服务，3年上门服务，硬盘不返还服务</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管控机型（海光3代）服务器</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机架式，2路服务器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CPU：Hygon 7360 24C 2.20GHz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内存：512GB（16×32GB），DDR4-3200 ECC REG RDIMM或更高频率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硬盘：SATA SSD 480G × 1；NVME SSD 3.84T * 1；</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SATA SSD：市场主流品牌，企业级SSD硬盘，带掉电保护功能：即有连续数据写入的情况下，异常掉电不丢数据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SAS卡：12Gb 3008 8i Raid0 1 JBOD 半高 SAS卡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网卡：1×双口10Gb SFP+ 万兆连接网口（含模块），主控芯片型号Intel 82599、Intel X710或Mellanox ConnectX-4（MCX4121A-XCAT 或 MCX4121A-XCHT）；1×1GbE千兆IPMI管理口；板载 2×1GbE千兆端口；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电源：220VAC/240HVDC交直流兼容电源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提供3年原厂保修服务，3年上门服务，硬盘不返还服务</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计算机型（海光3代）服务器</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机架式，2路服务器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CPU：Hygon 7360 24C 2.20GHz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内存：512GB（16×32GB），DDR4-3200 ECC REG RDIMM或更高频率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硬盘：SATA SSD 480G × 1；</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SATA SSD：市场主流品牌，企业级SSD硬盘，带掉电保护功能：即有连续数据写入的情况下，异常掉电不丢数据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SAS卡：12Gb 3008 8i Raid0 1 JBOD 半高 SAS卡；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网卡：1×双口10Gb SFP+ 万兆连接网口（含模块），主控芯片型号Intel 82599、Intel X710或Mellanox ConnectX-4（MCX4121A-XCAT 或 MCX4121A-XCHT）；1×1GbE千兆IPMI管理口；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电源：220VAC/240HVDC交直流兼容电源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提供3年原厂保修服务，3年上门服务，硬盘不返还服务</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网络机型（海光3代）服务器</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机架式，2路服务器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CPU：Hygon 7380 32C 2.2GHz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内存：256GB（16×16GB），DDR4-3200 ECC REG RDIMM或更高频率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硬盘：SATA SSD 480G × 1；</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SATASSD：市场主流品牌，企业级SSD硬盘，带掉电保护功能：即有连续数据写入的情况下，异常掉电不丢数据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SAS卡：12Gb 3008 8i Raid0 1 JBOD 半高 SAS卡；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网卡：3×双口10Gb SFP+ 万兆连接网口（含模块），主控芯片型号Intel 82599、Intel X710或Mellanox ConnectX-4（MCX4121A-XCAT 或 MCX4121A-XCHT）；1×1GbE千兆IPMI管理口；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电源：220VAC/240HVDC交直流兼容电源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提供3年原厂保修服务，3年上门服务，硬盘不返还服务</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高性能数据机型（海光3代）服务器</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机架式，2路服务器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CPU：Hygon 7360 24C 2.20GHz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内存：512GB（16×32GB），DDR4-3200 ECC REG RDIMM或更高频率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硬盘：SATA SSD 480G × 1；NVME SSD 3.84T * 4；</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SATA SSD：市场主流品牌，企业级SSD硬盘，带掉电保护功能：即有连续数据写入的情况下，异常掉电不丢数据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SAS卡：12Gb 3008 8i Raid0 1 JBOD 半高 SAS卡；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网卡：1×双口10Gb SFP+ 万兆连接网口（含模块），主控芯片型号Intel 82599、Intel X710或Mellanox ConnectX-4（MCX4121A-XCAT 或 MCX4121A-XCHT）；1×1GbE千兆IPMI管理口；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电源：220VAC/240HVDC交直流兼容电源 × 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提供3年原厂保修服务，3年上门服务，硬盘不返还服务</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堡垒机服务器</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描述：2U,机架式安装并配置安装导轨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CPU：1颗Intel_4314_Xeon_2.4GHz_16C</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内存：32G DDR4-2933/3200</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系统盘：1块480GB 企业级SATA SSD硬盘</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数据盘：1块4T SATA HDD数据盘；</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网络：2*1GbE千兆连接网口；2*10Gb SFP+ 万兆连接网口（含模块）</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电源：冗余电源</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含三年维保， 7×24×4H，及首次上架安装。</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堡垒机-应用发布服务器</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描述：2U,机架式安装并配置安装导轨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CPU：1颗Intel_4314_Xeon_2.4GHz_16C</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内存：32G DDR4-2933/3200</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系统盘：1块480GB 企业级SATA SSD硬盘</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数据盘：1块4T SATA HDD数据盘；</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网络：2*1GbE千兆连接网口；2*10Gb SFP+ 万兆连接网口（含模块）</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电源：冗余电源</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含三年维保， 7×24×4H，及首次上架安装。</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国产化交换机-10G业务接</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交换机-万兆</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L3以太</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交换机主机,</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持48个SFP+端</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,8个QSFP28端</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电源;</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 * 250W 交流电源模块（电源</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板侧出</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5 * H3C </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扇模块(</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扇侧出</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 * QSFP+ 40G光模块(850nm,100m,SR4,</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持1分4)</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48 * SFP+ 万兆模块(850nm,300m,LC)</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 * 40G QSFP+ to 40G QSFP+10m AOC</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交换容量：4.8Tbps/96Tbps；包转发率2000Mpps；</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支持VxLAN二层和三层网关，支持VxLAN Bridging和Routing</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支持动态、静态、黑洞MAC地址表项；支持MAC地址自动学习和老化；支持源MAC地址过滤</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国产化交换机-带外接</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交换机</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L3以太</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交换机主机,</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持48个10/100/1000BASE-T电</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,6个1G/10G</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BASE-X SFP Plus端</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电源;</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 * 可插拔AC(70W)电源模块</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交换容量：672Gbps/6.72Tbps；包转发率207Mpps</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支持集中式MAC地址认证、802.1x认证、PORTAL认证；支持VxLAN，支持基于MAC/协议/IP子网/策略/端口的VLAN</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商用交换机_10/25G汇聚交换机</w:t>
            </w:r>
          </w:p>
        </w:tc>
        <w:tc>
          <w:tcPr>
            <w:tcW w:w="5260" w:type="dxa"/>
            <w:shd w:val="clear" w:color="auto" w:fill="auto"/>
            <w:vAlign w:val="bottom"/>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L3以太</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交换机主机,</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持32个QSFP28端</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 * 650W 交流电源模块（电源</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板侧进</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5 * H3C </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扇模块(</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扇侧出</w:t>
            </w:r>
            <w:r>
              <w:rPr>
                <w:rFonts w:hint="eastAsia" w:ascii="微软雅黑" w:hAnsi="微软雅黑" w:eastAsia="微软雅黑" w:cs="微软雅黑"/>
                <w:color w:val="auto"/>
                <w:kern w:val="0"/>
                <w:szCs w:val="21"/>
                <w:highlight w:val="none"/>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交换容量6.4Tbps/64Tbps；包转发率2030Mpps/7200Mpps；</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支持VxLAN二层和三层网关；支持动态、静态、黑洞MAC地址表项；支持MAC地址自动学习和老化；支持源MAC地址过滤</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国产数据库</w:t>
            </w:r>
          </w:p>
        </w:tc>
        <w:tc>
          <w:tcPr>
            <w:tcW w:w="5260"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国产数据库，用于数据安全存储和管理的数据库产品。主要功能包括：数据储存、访问控制、身份鉴别、安全审计和数据备份恢复等功能。</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国产操作系统</w:t>
            </w:r>
          </w:p>
        </w:tc>
        <w:tc>
          <w:tcPr>
            <w:tcW w:w="5260"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适应虚拟化、云计算、大数据、工业互联网时代对主机系统可靠性、安全性、性能、扩展性和 实时性的需求，依据 CMMI 5 级标准研制的提供内生安全、云原生支持、国产平台深入优化、高性能、易管理的新一代自主服务器操作系统。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1、飞腾、龙芯、兆芯、海光、申威、鲲鹏系列CPU；</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2、广泛的硬件适配；</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3、国内外主流软件支持； 含一年远程服务；</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信创工控机</w:t>
            </w:r>
          </w:p>
        </w:tc>
        <w:tc>
          <w:tcPr>
            <w:tcW w:w="5260"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全信创化设计，搭载飞腾FT2000/4 CPU、麒麟公路行业版操作系统，设备底层安全可靠。</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内存≥8G，512G固态硬盘</w:t>
            </w:r>
            <w:r>
              <w:rPr>
                <w:rFonts w:hint="eastAsia" w:ascii="宋体" w:hAnsi="宋体" w:cs="宋体"/>
                <w:color w:val="auto"/>
                <w:kern w:val="0"/>
                <w:szCs w:val="21"/>
                <w:highlight w:val="none"/>
              </w:rPr>
              <w:br w:type="textWrapping"/>
            </w:r>
            <w:r>
              <w:rPr>
                <w:rFonts w:ascii="宋体" w:hAnsi="宋体" w:cs="宋体"/>
                <w:color w:val="auto"/>
                <w:kern w:val="0"/>
                <w:szCs w:val="21"/>
                <w:highlight w:val="none"/>
              </w:rPr>
              <w:t>l</w:t>
            </w:r>
            <w:r>
              <w:rPr>
                <w:rFonts w:hint="eastAsia" w:ascii="宋体" w:hAnsi="宋体" w:cs="宋体"/>
                <w:color w:val="auto"/>
                <w:kern w:val="0"/>
                <w:szCs w:val="21"/>
                <w:highlight w:val="none"/>
              </w:rPr>
              <w:t>支持收费系统多种模式及使用场景：云站模式（远控、降级等），传统模式（ETC、MTC、ETC/MTC混合）。</w:t>
            </w:r>
            <w:r>
              <w:rPr>
                <w:rFonts w:hint="eastAsia" w:ascii="宋体" w:hAnsi="宋体" w:cs="宋体"/>
                <w:color w:val="auto"/>
                <w:kern w:val="0"/>
                <w:szCs w:val="21"/>
                <w:highlight w:val="none"/>
              </w:rPr>
              <w:br w:type="textWrapping"/>
            </w:r>
            <w:r>
              <w:rPr>
                <w:rFonts w:ascii="宋体" w:hAnsi="宋体" w:cs="宋体"/>
                <w:color w:val="auto"/>
                <w:kern w:val="0"/>
                <w:szCs w:val="21"/>
                <w:highlight w:val="none"/>
              </w:rPr>
              <w:t>l</w:t>
            </w:r>
            <w:r>
              <w:rPr>
                <w:rFonts w:hint="eastAsia" w:ascii="宋体" w:hAnsi="宋体" w:cs="宋体"/>
                <w:color w:val="auto"/>
                <w:kern w:val="0"/>
                <w:szCs w:val="21"/>
                <w:highlight w:val="none"/>
              </w:rPr>
              <w:t>丰富的外部接口：串口、USB、VGA、HDMI、音频、以太网口，8路隔离数字量输入和8路继电器输出接口，可与现有车道外设良好兼容；支持外接显示器、键盘鼠标。</w:t>
            </w:r>
            <w:r>
              <w:rPr>
                <w:rFonts w:hint="eastAsia" w:ascii="宋体" w:hAnsi="宋体" w:cs="宋体"/>
                <w:color w:val="auto"/>
                <w:kern w:val="0"/>
                <w:szCs w:val="21"/>
                <w:highlight w:val="none"/>
              </w:rPr>
              <w:br w:type="textWrapping"/>
            </w:r>
            <w:r>
              <w:rPr>
                <w:rFonts w:ascii="宋体" w:hAnsi="宋体" w:cs="宋体"/>
                <w:color w:val="auto"/>
                <w:kern w:val="0"/>
                <w:szCs w:val="21"/>
                <w:highlight w:val="none"/>
              </w:rPr>
              <w:t>l</w:t>
            </w:r>
            <w:r>
              <w:rPr>
                <w:rFonts w:hint="eastAsia" w:ascii="宋体" w:hAnsi="宋体" w:cs="宋体"/>
                <w:color w:val="auto"/>
                <w:kern w:val="0"/>
                <w:szCs w:val="21"/>
                <w:highlight w:val="none"/>
              </w:rPr>
              <w:t>采用全金属外壳无风扇设计，满足高速公路现场工作温度、防尘等环境要求。</w:t>
            </w:r>
            <w:r>
              <w:rPr>
                <w:rFonts w:hint="eastAsia" w:ascii="宋体" w:hAnsi="宋体" w:cs="宋体"/>
                <w:color w:val="auto"/>
                <w:kern w:val="0"/>
                <w:szCs w:val="21"/>
                <w:highlight w:val="none"/>
              </w:rPr>
              <w:br w:type="textWrapping"/>
            </w:r>
            <w:r>
              <w:rPr>
                <w:rFonts w:ascii="宋体" w:hAnsi="宋体" w:cs="宋体"/>
                <w:color w:val="auto"/>
                <w:kern w:val="0"/>
                <w:szCs w:val="21"/>
                <w:highlight w:val="none"/>
              </w:rPr>
              <w:t>l</w:t>
            </w:r>
            <w:r>
              <w:rPr>
                <w:rFonts w:hint="eastAsia" w:ascii="宋体" w:hAnsi="宋体" w:cs="宋体"/>
                <w:color w:val="auto"/>
                <w:kern w:val="0"/>
                <w:szCs w:val="21"/>
                <w:highlight w:val="none"/>
              </w:rPr>
              <w:t>支持7×24小时连续稳定工作</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国产化MEC边缘计算设备</w:t>
            </w:r>
          </w:p>
        </w:tc>
        <w:tc>
          <w:tcPr>
            <w:tcW w:w="5260"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国产化边缘计算设备整体结构采用无风扇设计，系统可靠性高，采用国产化ARM低功耗8核CPU，产品集成高性能深度学习加速引擎，满足工业级高低温环境运行和储藏要求。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处理器CPU：8核 ARM 64-bit，GPU：支持H.264、H.265编解码</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内存2*8G；存储128G；</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协议标准支持H.264、H.265编码，支持RTSP\ONVIF\HTTP\kafka等协议</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信创云平台</w:t>
            </w:r>
          </w:p>
        </w:tc>
        <w:tc>
          <w:tcPr>
            <w:tcW w:w="5260"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统一管理传统IT基础资源，实现计算、存储、网络资源的统一云原生分布式调度与协同；支持x86、ARM等异构芯片的混合部署、统一管理；提供云原生安全中心等云上安全检测防护功能；提供平台部署、产品管理、监控运维能力。</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0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2080"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数据资产可视化平台</w:t>
            </w:r>
          </w:p>
        </w:tc>
        <w:tc>
          <w:tcPr>
            <w:tcW w:w="5260"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具有数据资产盘点及规划、合规和登记管理、数据评价管理、成本归集、后续计量、报表披露和资产台账功能，提供高效、安全、可靠的数据资产化路径。</w:t>
            </w:r>
          </w:p>
        </w:tc>
        <w:tc>
          <w:tcPr>
            <w:tcW w:w="78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20" w:type="dxa"/>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bl>
    <w:p>
      <w:pPr>
        <w:pStyle w:val="3"/>
        <w:spacing w:before="0" w:after="0" w:line="360" w:lineRule="auto"/>
        <w:rPr>
          <w:rFonts w:ascii="宋体" w:hAnsi="宋体" w:eastAsia="宋体"/>
          <w:color w:val="auto"/>
          <w:sz w:val="24"/>
          <w:szCs w:val="24"/>
          <w:highlight w:val="none"/>
        </w:rPr>
      </w:pPr>
      <w:bookmarkStart w:id="9" w:name="_Toc21174"/>
      <w:r>
        <w:rPr>
          <w:rFonts w:hint="eastAsia" w:ascii="宋体" w:hAnsi="宋体" w:eastAsia="宋体"/>
          <w:color w:val="auto"/>
          <w:sz w:val="24"/>
          <w:szCs w:val="24"/>
          <w:highlight w:val="none"/>
        </w:rPr>
        <w:t>二、揭榜资质要求</w:t>
      </w:r>
      <w:bookmarkEnd w:id="9"/>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 揭榜团队资质要求</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（1）揭榜团队须为在中华人民共和国境内注册、具有独立法人资格的企事业单位。</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（2）揭榜团队应了解行业最新动态，具有信息化类技术研发、软件开发或相关项目承担经验。</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揭榜团队及项目负责人具备良好的社会信用，近3年（2021年5月1日至今）无不良信用记录或重大违法行为。保证所提供申报项目信息的真实性，严格遵循科研诚信等有关规定，并对信息虚假导致的后果承担责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（5）揭榜团队负责人应为项目承担单位在职人员，揭榜攻关期间原则上不得更换和调离。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（6）揭榜团队需自带配套资金进行揭榜，自带配套资金比例为榜单金额的40%。</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olor w:val="auto"/>
          <w:sz w:val="24"/>
          <w:szCs w:val="24"/>
          <w:highlight w:val="none"/>
        </w:rPr>
        <w:t>2.2</w:t>
      </w:r>
      <w:r>
        <w:rPr>
          <w:rFonts w:hint="eastAsia" w:ascii="宋体" w:hAnsi="宋体" w:cs="黑体"/>
          <w:color w:val="auto"/>
          <w:kern w:val="0"/>
          <w:sz w:val="24"/>
          <w:szCs w:val="24"/>
          <w:highlight w:val="none"/>
        </w:rPr>
        <w:t xml:space="preserve"> 本次“揭榜挂帅”</w:t>
      </w:r>
      <w:r>
        <w:rPr>
          <w:rFonts w:hint="eastAsia" w:ascii="宋体" w:hAnsi="宋体" w:cs="黑体"/>
          <w:color w:val="auto"/>
          <w:kern w:val="0"/>
          <w:sz w:val="24"/>
          <w:szCs w:val="24"/>
          <w:highlight w:val="none"/>
          <w:u w:val="single"/>
        </w:rPr>
        <w:t xml:space="preserve"> 接受 </w:t>
      </w:r>
      <w:r>
        <w:rPr>
          <w:rFonts w:hint="eastAsia" w:ascii="宋体" w:hAnsi="宋体" w:cs="黑体"/>
          <w:color w:val="auto"/>
          <w:kern w:val="0"/>
          <w:sz w:val="24"/>
          <w:szCs w:val="24"/>
          <w:highlight w:val="none"/>
        </w:rPr>
        <w:t>联合体揭榜。牵头单位为1家，联合体成员不超过4家。</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联合申报时的要求：</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（1）项目中研究内容需两家或两家以上单位联合完成的，揭榜团队须在资质、业绩方面符合揭榜人相应的要求。</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凡联合体报名的，报名时须提交联合体协议书，协议书中要明确牵头单位和成员单位及其分工和权利义务。牵头单位在项目中负责项目的整体组织实施，并对其他联合单位完成内容负连带责任，其他成员单位按照分工承担相应责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（3）鼓励企业、金融机构、科技服务机构、高校、科研院所及新型研发机构等以联合体方式申报。</w:t>
      </w:r>
    </w:p>
    <w:p>
      <w:pPr>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三、揭榜要求及流程</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（一）揭榜要求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揭榜人须符合本章第二条要求。揭榜人及其相关人员应符合</w:t>
      </w:r>
      <w:r>
        <w:rPr>
          <w:rFonts w:hint="eastAsia" w:ascii="宋体" w:hAnsi="宋体"/>
          <w:color w:val="auto"/>
          <w:sz w:val="24"/>
          <w:szCs w:val="28"/>
          <w:highlight w:val="none"/>
          <w:lang w:val="en-US" w:eastAsia="zh-CN"/>
        </w:rPr>
        <w:t>本</w:t>
      </w:r>
      <w:r>
        <w:rPr>
          <w:rFonts w:hint="eastAsia" w:ascii="宋体" w:hAnsi="宋体"/>
          <w:color w:val="auto"/>
          <w:sz w:val="24"/>
          <w:szCs w:val="28"/>
          <w:highlight w:val="none"/>
        </w:rPr>
        <w:t>项目具体要求。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（二）揭榜报名流程</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凡有意揭榜者，请于2024年5月</w:t>
      </w:r>
      <w:r>
        <w:rPr>
          <w:rFonts w:hint="eastAsia" w:ascii="宋体" w:hAnsi="宋体"/>
          <w:color w:val="auto"/>
          <w:sz w:val="24"/>
          <w:szCs w:val="28"/>
          <w:highlight w:val="none"/>
          <w:lang w:val="en-US" w:eastAsia="zh-CN"/>
        </w:rPr>
        <w:t>29</w:t>
      </w:r>
      <w:r>
        <w:rPr>
          <w:rFonts w:hint="eastAsia" w:ascii="宋体" w:hAnsi="宋体"/>
          <w:color w:val="auto"/>
          <w:sz w:val="24"/>
          <w:szCs w:val="28"/>
          <w:highlight w:val="none"/>
        </w:rPr>
        <w:t>日</w:t>
      </w:r>
      <w:r>
        <w:rPr>
          <w:rFonts w:hint="eastAsia" w:ascii="宋体" w:hAnsi="宋体"/>
          <w:color w:val="auto"/>
          <w:sz w:val="24"/>
          <w:szCs w:val="28"/>
          <w:highlight w:val="none"/>
          <w:lang w:val="en-US" w:eastAsia="zh-CN"/>
        </w:rPr>
        <w:t>17</w:t>
      </w:r>
      <w:r>
        <w:rPr>
          <w:rFonts w:hint="eastAsia" w:ascii="宋体" w:hAnsi="宋体"/>
          <w:color w:val="auto"/>
          <w:sz w:val="24"/>
          <w:szCs w:val="28"/>
          <w:highlight w:val="none"/>
        </w:rPr>
        <w:t>时00分至2024年</w:t>
      </w:r>
      <w:r>
        <w:rPr>
          <w:rFonts w:hint="eastAsia" w:ascii="宋体" w:hAnsi="宋体"/>
          <w:color w:val="auto"/>
          <w:sz w:val="24"/>
          <w:szCs w:val="28"/>
          <w:highlight w:val="none"/>
          <w:lang w:val="en-US" w:eastAsia="zh-CN"/>
        </w:rPr>
        <w:t>6</w:t>
      </w:r>
      <w:r>
        <w:rPr>
          <w:rFonts w:hint="eastAsia" w:ascii="宋体" w:hAnsi="宋体"/>
          <w:color w:val="auto"/>
          <w:sz w:val="24"/>
          <w:szCs w:val="28"/>
          <w:highlight w:val="none"/>
        </w:rPr>
        <w:t>月</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日17时00分（北京时间，下同），携带《揭榜挂帅报名表》（附件1</w:t>
      </w:r>
      <w:r>
        <w:rPr>
          <w:rFonts w:ascii="宋体" w:hAnsi="宋体"/>
          <w:color w:val="auto"/>
          <w:sz w:val="24"/>
          <w:szCs w:val="28"/>
          <w:highlight w:val="none"/>
        </w:rPr>
        <w:t>）</w:t>
      </w:r>
      <w:r>
        <w:rPr>
          <w:rFonts w:hint="eastAsia" w:ascii="宋体" w:hAnsi="宋体"/>
          <w:color w:val="auto"/>
          <w:sz w:val="24"/>
          <w:szCs w:val="28"/>
          <w:highlight w:val="none"/>
        </w:rPr>
        <w:t>及所要求的相关资料装订一套送至石家庄高新区黄河大道136号石家庄科技中心2号楼22层2201室或将资料扫彩色描件发送至代理机构邮箱1835763884@qq.com，</w:t>
      </w:r>
      <w:r>
        <w:rPr>
          <w:rFonts w:hint="eastAsia" w:ascii="宋体" w:hAnsi="宋体"/>
          <w:color w:val="auto"/>
          <w:sz w:val="24"/>
          <w:szCs w:val="28"/>
          <w:highlight w:val="none"/>
          <w:lang w:val="en-US" w:eastAsia="zh-CN"/>
        </w:rPr>
        <w:t>并获取相关资料（如有</w:t>
      </w:r>
      <w:bookmarkStart w:id="90" w:name="_GoBack"/>
      <w:bookmarkEnd w:id="90"/>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w:t>
      </w:r>
    </w:p>
    <w:p>
      <w:pPr>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联合体参与</w:t>
      </w:r>
      <w:r>
        <w:rPr>
          <w:rFonts w:hint="eastAsia" w:ascii="宋体" w:hAnsi="宋体" w:eastAsia="宋体"/>
          <w:b/>
          <w:bCs/>
          <w:color w:val="auto"/>
          <w:sz w:val="24"/>
          <w:szCs w:val="28"/>
          <w:highlight w:val="none"/>
          <w:lang w:val="en-US" w:eastAsia="zh-CN"/>
        </w:rPr>
        <w:t>本</w:t>
      </w:r>
      <w:r>
        <w:rPr>
          <w:rFonts w:hint="eastAsia" w:ascii="宋体" w:hAnsi="宋体"/>
          <w:b/>
          <w:bCs/>
          <w:color w:val="auto"/>
          <w:sz w:val="24"/>
          <w:szCs w:val="28"/>
          <w:highlight w:val="none"/>
        </w:rPr>
        <w:t>项目</w:t>
      </w:r>
      <w:r>
        <w:rPr>
          <w:rFonts w:hint="eastAsia" w:ascii="宋体" w:hAnsi="宋体" w:eastAsia="宋体"/>
          <w:b/>
          <w:bCs/>
          <w:color w:val="auto"/>
          <w:sz w:val="24"/>
          <w:szCs w:val="28"/>
          <w:highlight w:val="none"/>
          <w:lang w:val="en-US" w:eastAsia="zh-CN"/>
        </w:rPr>
        <w:t>的</w:t>
      </w:r>
      <w:r>
        <w:rPr>
          <w:rFonts w:hint="eastAsia" w:ascii="宋体" w:hAnsi="宋体"/>
          <w:b/>
          <w:bCs/>
          <w:color w:val="auto"/>
          <w:sz w:val="24"/>
          <w:szCs w:val="28"/>
          <w:highlight w:val="none"/>
        </w:rPr>
        <w:t>，由联合体牵头人负责</w:t>
      </w:r>
      <w:r>
        <w:rPr>
          <w:rFonts w:hint="eastAsia" w:ascii="宋体" w:hAnsi="宋体" w:eastAsia="宋体"/>
          <w:b/>
          <w:bCs/>
          <w:color w:val="auto"/>
          <w:sz w:val="24"/>
          <w:szCs w:val="28"/>
          <w:highlight w:val="none"/>
          <w:lang w:val="en-US" w:eastAsia="zh-CN"/>
        </w:rPr>
        <w:t>本</w:t>
      </w:r>
      <w:r>
        <w:rPr>
          <w:rFonts w:hint="eastAsia" w:ascii="宋体" w:hAnsi="宋体"/>
          <w:b/>
          <w:bCs/>
          <w:color w:val="auto"/>
          <w:sz w:val="24"/>
          <w:szCs w:val="28"/>
          <w:highlight w:val="none"/>
        </w:rPr>
        <w:t>项目的揭榜报名。</w:t>
      </w:r>
    </w:p>
    <w:p>
      <w:pPr>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四、揭榜响应文件要求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揭榜响应文件应按照揭榜指南文件给出的格式及签字盖章要求编制并装订成册，正本一份，副本</w:t>
      </w:r>
      <w:r>
        <w:rPr>
          <w:rFonts w:hint="eastAsia" w:ascii="宋体" w:hAnsi="宋体"/>
          <w:color w:val="auto"/>
          <w:sz w:val="24"/>
          <w:szCs w:val="28"/>
          <w:highlight w:val="none"/>
          <w:lang w:val="en-US" w:eastAsia="zh-CN"/>
        </w:rPr>
        <w:t>七</w:t>
      </w:r>
      <w:r>
        <w:rPr>
          <w:rFonts w:hint="eastAsia" w:ascii="宋体" w:hAnsi="宋体"/>
          <w:color w:val="auto"/>
          <w:sz w:val="24"/>
          <w:szCs w:val="28"/>
          <w:highlight w:val="none"/>
        </w:rPr>
        <w:t>份，同时报送电子版文件</w:t>
      </w:r>
      <w:r>
        <w:rPr>
          <w:rFonts w:hint="eastAsia" w:ascii="宋体" w:hAnsi="宋体"/>
          <w:color w:val="auto"/>
          <w:sz w:val="24"/>
          <w:szCs w:val="28"/>
          <w:highlight w:val="none"/>
          <w:lang w:val="en-US" w:eastAsia="zh-CN"/>
        </w:rPr>
        <w:t>U盘</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U盘内应</w:t>
      </w:r>
      <w:r>
        <w:rPr>
          <w:rFonts w:hint="eastAsia" w:ascii="宋体" w:hAnsi="宋体"/>
          <w:color w:val="auto"/>
          <w:sz w:val="24"/>
          <w:szCs w:val="28"/>
          <w:highlight w:val="none"/>
        </w:rPr>
        <w:t>包括系统演示文件、揭榜响应文件word版本及盖章后的扫描版等），所有文件封包在一个密封袋。</w:t>
      </w:r>
    </w:p>
    <w:p>
      <w:pPr>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五、揭榜响应文件的递交</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揭榜响应文件递交截止时间：</w:t>
      </w:r>
      <w:r>
        <w:rPr>
          <w:rFonts w:ascii="宋体" w:hAnsi="宋体"/>
          <w:color w:val="auto"/>
          <w:sz w:val="24"/>
          <w:szCs w:val="28"/>
          <w:highlight w:val="none"/>
        </w:rPr>
        <w:t>2024年</w:t>
      </w:r>
      <w:r>
        <w:rPr>
          <w:rFonts w:hint="eastAsia" w:ascii="宋体" w:hAnsi="宋体"/>
          <w:color w:val="auto"/>
          <w:sz w:val="24"/>
          <w:szCs w:val="28"/>
          <w:highlight w:val="none"/>
          <w:lang w:val="en-US" w:eastAsia="zh-CN"/>
        </w:rPr>
        <w:t>6</w:t>
      </w:r>
      <w:r>
        <w:rPr>
          <w:rFonts w:ascii="宋体" w:hAnsi="宋体"/>
          <w:color w:val="auto"/>
          <w:sz w:val="24"/>
          <w:szCs w:val="28"/>
          <w:highlight w:val="none"/>
        </w:rPr>
        <w:t>月</w:t>
      </w:r>
      <w:r>
        <w:rPr>
          <w:rFonts w:hint="eastAsia" w:ascii="宋体" w:hAnsi="宋体"/>
          <w:color w:val="auto"/>
          <w:sz w:val="24"/>
          <w:szCs w:val="28"/>
          <w:highlight w:val="none"/>
          <w:lang w:val="en-US" w:eastAsia="zh-CN"/>
        </w:rPr>
        <w:t>11</w:t>
      </w:r>
      <w:r>
        <w:rPr>
          <w:rFonts w:ascii="宋体" w:hAnsi="宋体"/>
          <w:color w:val="auto"/>
          <w:sz w:val="24"/>
          <w:szCs w:val="28"/>
          <w:highlight w:val="none"/>
        </w:rPr>
        <w:t>日</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 xml:space="preserve"> </w:t>
      </w:r>
      <w:r>
        <w:rPr>
          <w:rFonts w:ascii="宋体" w:hAnsi="宋体"/>
          <w:color w:val="auto"/>
          <w:sz w:val="24"/>
          <w:szCs w:val="28"/>
          <w:highlight w:val="none"/>
        </w:rPr>
        <w:t>时</w:t>
      </w:r>
      <w:r>
        <w:rPr>
          <w:rFonts w:hint="eastAsia" w:ascii="宋体" w:hAnsi="宋体"/>
          <w:color w:val="auto"/>
          <w:sz w:val="24"/>
          <w:szCs w:val="28"/>
          <w:highlight w:val="none"/>
          <w:lang w:val="en-US" w:eastAsia="zh-CN"/>
        </w:rPr>
        <w:t>30</w:t>
      </w:r>
      <w:r>
        <w:rPr>
          <w:rFonts w:ascii="宋体" w:hAnsi="宋体"/>
          <w:color w:val="auto"/>
          <w:sz w:val="24"/>
          <w:szCs w:val="28"/>
          <w:highlight w:val="none"/>
        </w:rPr>
        <w:t>分</w:t>
      </w:r>
      <w:r>
        <w:rPr>
          <w:rFonts w:hint="eastAsia" w:ascii="宋体" w:hAnsi="宋体"/>
          <w:color w:val="auto"/>
          <w:sz w:val="24"/>
          <w:szCs w:val="28"/>
          <w:highlight w:val="none"/>
        </w:rPr>
        <w:t>。揭榜人</w:t>
      </w:r>
      <w:r>
        <w:rPr>
          <w:rFonts w:ascii="宋体" w:hAnsi="宋体"/>
          <w:color w:val="auto"/>
          <w:sz w:val="24"/>
          <w:szCs w:val="28"/>
          <w:highlight w:val="none"/>
        </w:rPr>
        <w:t>须</w:t>
      </w:r>
      <w:r>
        <w:rPr>
          <w:rFonts w:hint="eastAsia" w:ascii="宋体" w:hAnsi="宋体"/>
          <w:color w:val="auto"/>
          <w:sz w:val="24"/>
          <w:szCs w:val="28"/>
          <w:highlight w:val="none"/>
        </w:rPr>
        <w:t>在揭榜响应文件递交截止时间前</w:t>
      </w:r>
      <w:r>
        <w:rPr>
          <w:rFonts w:ascii="宋体" w:hAnsi="宋体"/>
          <w:color w:val="auto"/>
          <w:sz w:val="24"/>
          <w:szCs w:val="28"/>
          <w:highlight w:val="none"/>
        </w:rPr>
        <w:t>将项目</w:t>
      </w:r>
      <w:r>
        <w:rPr>
          <w:rFonts w:hint="eastAsia" w:ascii="宋体" w:hAnsi="宋体"/>
          <w:color w:val="auto"/>
          <w:sz w:val="24"/>
          <w:szCs w:val="28"/>
          <w:highlight w:val="none"/>
        </w:rPr>
        <w:t>揭榜响应文件</w:t>
      </w:r>
      <w:r>
        <w:rPr>
          <w:rFonts w:ascii="宋体" w:hAnsi="宋体"/>
          <w:color w:val="auto"/>
          <w:sz w:val="24"/>
          <w:szCs w:val="28"/>
          <w:highlight w:val="none"/>
        </w:rPr>
        <w:t>递交至</w:t>
      </w:r>
      <w:r>
        <w:rPr>
          <w:rFonts w:hint="eastAsia" w:ascii="宋体" w:hAnsi="宋体"/>
          <w:color w:val="auto"/>
          <w:sz w:val="24"/>
          <w:szCs w:val="28"/>
          <w:highlight w:val="none"/>
        </w:rPr>
        <w:t>石家庄高新区黄河大道136号石家庄科技中心2号楼22层2201室，逾期递交的将予以拒收</w:t>
      </w:r>
      <w:r>
        <w:rPr>
          <w:rFonts w:ascii="宋体" w:hAnsi="宋体"/>
          <w:color w:val="auto"/>
          <w:sz w:val="24"/>
          <w:szCs w:val="28"/>
          <w:highlight w:val="none"/>
        </w:rPr>
        <w:t>。</w:t>
      </w:r>
    </w:p>
    <w:p>
      <w:pPr>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六、</w:t>
      </w:r>
      <w:r>
        <w:rPr>
          <w:rFonts w:ascii="宋体" w:hAnsi="宋体"/>
          <w:b/>
          <w:bCs/>
          <w:color w:val="auto"/>
          <w:sz w:val="24"/>
          <w:szCs w:val="28"/>
          <w:highlight w:val="none"/>
        </w:rPr>
        <w:t>发布媒介</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本次“揭榜挂帅”榜单及结果在河北高速公路集团有限公司网站（http://www.hbgs.com.cn)上发布。</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用户单位：河北高速公路集团有限公司青银分公司</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联</w:t>
      </w: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系</w:t>
      </w: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人：</w:t>
      </w:r>
      <w:r>
        <w:rPr>
          <w:rFonts w:hint="eastAsia" w:ascii="宋体" w:hAnsi="宋体" w:eastAsia="宋体"/>
          <w:color w:val="auto"/>
          <w:sz w:val="24"/>
          <w:szCs w:val="28"/>
          <w:highlight w:val="none"/>
          <w:lang w:val="en-US" w:eastAsia="zh-CN"/>
        </w:rPr>
        <w:t>王晶</w:t>
      </w:r>
      <w:r>
        <w:rPr>
          <w:rFonts w:ascii="宋体" w:hAnsi="宋体"/>
          <w:color w:val="auto"/>
          <w:sz w:val="24"/>
          <w:szCs w:val="28"/>
          <w:highlight w:val="none"/>
        </w:rPr>
        <w:t xml:space="preserve">  </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联系电话：</w:t>
      </w:r>
      <w:r>
        <w:rPr>
          <w:rFonts w:hint="eastAsia" w:ascii="宋体" w:hAnsi="宋体" w:eastAsia="宋体"/>
          <w:color w:val="auto"/>
          <w:sz w:val="24"/>
          <w:szCs w:val="28"/>
          <w:highlight w:val="none"/>
          <w:lang w:val="en-US" w:eastAsia="zh-CN"/>
        </w:rPr>
        <w:t>15333215545</w:t>
      </w:r>
    </w:p>
    <w:p>
      <w:pPr>
        <w:spacing w:line="360" w:lineRule="auto"/>
        <w:ind w:firstLine="420" w:firstLineChars="200"/>
        <w:rPr>
          <w:rFonts w:ascii="宋体" w:hAnsi="宋体"/>
          <w:color w:val="auto"/>
          <w:highlight w:val="none"/>
        </w:rPr>
      </w:pPr>
    </w:p>
    <w:p>
      <w:pPr>
        <w:widowControl/>
        <w:snapToGrid w:val="0"/>
        <w:spacing w:line="36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代理机构：河北高速集团工程咨询有限公司</w:t>
      </w:r>
    </w:p>
    <w:p>
      <w:pPr>
        <w:topLinePunct/>
        <w:autoSpaceDE w:val="0"/>
        <w:autoSpaceDN w:val="0"/>
        <w:spacing w:line="360" w:lineRule="auto"/>
        <w:ind w:firstLine="480" w:firstLineChars="200"/>
        <w:jc w:val="left"/>
        <w:rPr>
          <w:rFonts w:ascii="宋体" w:hAnsi="宋体" w:cs="仿宋_GB2312"/>
          <w:bCs/>
          <w:color w:val="auto"/>
          <w:kern w:val="0"/>
          <w:sz w:val="24"/>
          <w:szCs w:val="24"/>
          <w:highlight w:val="none"/>
        </w:rPr>
      </w:pPr>
      <w:r>
        <w:rPr>
          <w:rFonts w:ascii="宋体" w:hAnsi="宋体" w:cs="仿宋_GB2312"/>
          <w:bCs/>
          <w:color w:val="auto"/>
          <w:kern w:val="0"/>
          <w:sz w:val="24"/>
          <w:szCs w:val="24"/>
          <w:highlight w:val="none"/>
        </w:rPr>
        <w:t>地    址：</w:t>
      </w:r>
      <w:r>
        <w:rPr>
          <w:rFonts w:hint="eastAsia" w:ascii="宋体" w:hAnsi="宋体" w:cs="仿宋_GB2312"/>
          <w:bCs/>
          <w:color w:val="auto"/>
          <w:kern w:val="0"/>
          <w:sz w:val="24"/>
          <w:szCs w:val="24"/>
          <w:highlight w:val="none"/>
        </w:rPr>
        <w:t>石家庄高新区黄河大道136号石家庄科技中心2号楼22层</w:t>
      </w:r>
      <w:r>
        <w:rPr>
          <w:rFonts w:ascii="宋体" w:hAnsi="宋体" w:cs="仿宋_GB2312"/>
          <w:bCs/>
          <w:color w:val="auto"/>
          <w:kern w:val="0"/>
          <w:sz w:val="24"/>
          <w:szCs w:val="24"/>
          <w:highlight w:val="none"/>
        </w:rPr>
        <w:t xml:space="preserve">  </w:t>
      </w:r>
      <w:r>
        <w:rPr>
          <w:rFonts w:ascii="宋体" w:hAnsi="宋体" w:cs="仿宋_GB2312"/>
          <w:bCs/>
          <w:color w:val="auto"/>
          <w:kern w:val="0"/>
          <w:sz w:val="24"/>
          <w:szCs w:val="24"/>
          <w:highlight w:val="none"/>
        </w:rPr>
        <w:tab/>
      </w:r>
      <w:r>
        <w:rPr>
          <w:rFonts w:ascii="宋体" w:hAnsi="宋体" w:cs="仿宋_GB2312"/>
          <w:bCs/>
          <w:color w:val="auto"/>
          <w:kern w:val="0"/>
          <w:sz w:val="24"/>
          <w:szCs w:val="24"/>
          <w:highlight w:val="none"/>
        </w:rPr>
        <w:t xml:space="preserve">    </w:t>
      </w:r>
    </w:p>
    <w:p>
      <w:pPr>
        <w:topLinePunct/>
        <w:autoSpaceDE w:val="0"/>
        <w:autoSpaceDN w:val="0"/>
        <w:spacing w:line="360" w:lineRule="auto"/>
        <w:ind w:firstLine="480" w:firstLineChars="200"/>
        <w:jc w:val="left"/>
        <w:rPr>
          <w:rFonts w:ascii="宋体" w:hAnsi="宋体" w:cs="仿宋_GB2312"/>
          <w:bCs/>
          <w:color w:val="auto"/>
          <w:kern w:val="0"/>
          <w:sz w:val="24"/>
          <w:szCs w:val="24"/>
          <w:highlight w:val="none"/>
        </w:rPr>
      </w:pPr>
      <w:r>
        <w:rPr>
          <w:rFonts w:ascii="宋体" w:hAnsi="宋体" w:cs="仿宋_GB2312"/>
          <w:bCs/>
          <w:color w:val="auto"/>
          <w:kern w:val="0"/>
          <w:sz w:val="24"/>
          <w:szCs w:val="24"/>
          <w:highlight w:val="none"/>
        </w:rPr>
        <w:t>邮    编：0</w:t>
      </w:r>
      <w:r>
        <w:rPr>
          <w:rFonts w:hint="eastAsia" w:ascii="宋体" w:hAnsi="宋体" w:cs="仿宋_GB2312"/>
          <w:bCs/>
          <w:color w:val="auto"/>
          <w:kern w:val="0"/>
          <w:sz w:val="24"/>
          <w:szCs w:val="24"/>
          <w:highlight w:val="none"/>
        </w:rPr>
        <w:t>50</w:t>
      </w:r>
      <w:r>
        <w:rPr>
          <w:rFonts w:ascii="宋体" w:hAnsi="宋体" w:cs="仿宋_GB2312"/>
          <w:bCs/>
          <w:color w:val="auto"/>
          <w:kern w:val="0"/>
          <w:sz w:val="24"/>
          <w:szCs w:val="24"/>
          <w:highlight w:val="none"/>
        </w:rPr>
        <w:t xml:space="preserve">000                            </w:t>
      </w:r>
    </w:p>
    <w:p>
      <w:pPr>
        <w:topLinePunct/>
        <w:autoSpaceDE w:val="0"/>
        <w:autoSpaceDN w:val="0"/>
        <w:spacing w:line="360" w:lineRule="auto"/>
        <w:ind w:firstLine="480" w:firstLineChars="200"/>
        <w:jc w:val="left"/>
        <w:rPr>
          <w:rFonts w:ascii="宋体" w:hAnsi="宋体" w:cs="仿宋_GB2312"/>
          <w:bCs/>
          <w:color w:val="auto"/>
          <w:kern w:val="0"/>
          <w:sz w:val="24"/>
          <w:szCs w:val="24"/>
          <w:highlight w:val="none"/>
        </w:rPr>
      </w:pPr>
      <w:r>
        <w:rPr>
          <w:rFonts w:ascii="宋体" w:hAnsi="宋体" w:cs="仿宋_GB2312"/>
          <w:bCs/>
          <w:color w:val="auto"/>
          <w:kern w:val="0"/>
          <w:sz w:val="24"/>
          <w:szCs w:val="24"/>
          <w:highlight w:val="none"/>
        </w:rPr>
        <w:t>联 系 人：</w:t>
      </w:r>
      <w:r>
        <w:rPr>
          <w:rFonts w:hint="eastAsia" w:ascii="宋体" w:hAnsi="宋体" w:cs="仿宋_GB2312"/>
          <w:bCs/>
          <w:color w:val="auto"/>
          <w:kern w:val="0"/>
          <w:sz w:val="24"/>
          <w:szCs w:val="24"/>
          <w:highlight w:val="none"/>
        </w:rPr>
        <w:t>张德祥、张光磊、张宁</w:t>
      </w:r>
      <w:r>
        <w:rPr>
          <w:rFonts w:ascii="宋体" w:hAnsi="宋体" w:cs="仿宋_GB2312"/>
          <w:bCs/>
          <w:color w:val="auto"/>
          <w:kern w:val="0"/>
          <w:sz w:val="24"/>
          <w:szCs w:val="24"/>
          <w:highlight w:val="none"/>
        </w:rPr>
        <w:t xml:space="preserve">       </w:t>
      </w:r>
    </w:p>
    <w:p>
      <w:pPr>
        <w:pStyle w:val="17"/>
        <w:spacing w:after="0" w:line="360" w:lineRule="auto"/>
        <w:ind w:firstLine="480" w:firstLineChars="200"/>
        <w:rPr>
          <w:rFonts w:ascii="宋体" w:hAnsi="宋体" w:cs="仿宋_GB2312"/>
          <w:bCs/>
          <w:color w:val="auto"/>
          <w:kern w:val="0"/>
          <w:sz w:val="24"/>
          <w:szCs w:val="24"/>
          <w:highlight w:val="none"/>
        </w:rPr>
      </w:pPr>
      <w:r>
        <w:rPr>
          <w:rFonts w:ascii="宋体" w:hAnsi="宋体" w:cs="仿宋_GB2312"/>
          <w:bCs/>
          <w:color w:val="auto"/>
          <w:kern w:val="0"/>
          <w:sz w:val="24"/>
          <w:szCs w:val="24"/>
          <w:highlight w:val="none"/>
        </w:rPr>
        <w:t>电    话：</w:t>
      </w:r>
      <w:r>
        <w:rPr>
          <w:rFonts w:hint="eastAsia" w:ascii="宋体" w:hAnsi="宋体" w:cs="仿宋_GB2312"/>
          <w:bCs/>
          <w:color w:val="auto"/>
          <w:kern w:val="0"/>
          <w:sz w:val="24"/>
          <w:szCs w:val="24"/>
          <w:highlight w:val="none"/>
        </w:rPr>
        <w:t>18932539796 13229867006</w:t>
      </w:r>
    </w:p>
    <w:p>
      <w:pPr>
        <w:pStyle w:val="17"/>
        <w:spacing w:after="0" w:line="360" w:lineRule="auto"/>
        <w:ind w:firstLine="480" w:firstLineChars="200"/>
        <w:rPr>
          <w:rFonts w:ascii="宋体" w:hAnsi="宋体" w:cs="仿宋_GB2312"/>
          <w:bCs/>
          <w:color w:val="auto"/>
          <w:kern w:val="0"/>
          <w:sz w:val="24"/>
          <w:szCs w:val="24"/>
          <w:highlight w:val="none"/>
        </w:rPr>
      </w:pPr>
    </w:p>
    <w:p>
      <w:pPr>
        <w:pStyle w:val="17"/>
        <w:spacing w:after="0" w:line="360" w:lineRule="auto"/>
        <w:ind w:firstLine="480" w:firstLineChars="200"/>
        <w:rPr>
          <w:rFonts w:hint="default" w:ascii="宋体" w:hAnsi="宋体" w:eastAsia="宋体" w:cs="仿宋_GB2312"/>
          <w:bCs/>
          <w:color w:val="auto"/>
          <w:kern w:val="0"/>
          <w:sz w:val="24"/>
          <w:szCs w:val="24"/>
          <w:highlight w:val="none"/>
          <w:lang w:val="en-US" w:eastAsia="zh-CN"/>
        </w:rPr>
      </w:pPr>
    </w:p>
    <w:p>
      <w:pPr>
        <w:pStyle w:val="18"/>
        <w:rPr>
          <w:rFonts w:hint="default" w:ascii="宋体" w:hAnsi="宋体" w:eastAsia="宋体" w:cs="仿宋_GB2312"/>
          <w:bCs/>
          <w:color w:val="auto"/>
          <w:kern w:val="0"/>
          <w:sz w:val="24"/>
          <w:szCs w:val="24"/>
          <w:highlight w:val="none"/>
          <w:lang w:val="en-US" w:eastAsia="zh-CN"/>
        </w:rPr>
      </w:pPr>
    </w:p>
    <w:p>
      <w:pPr>
        <w:spacing w:line="400" w:lineRule="exact"/>
        <w:rPr>
          <w:rFonts w:hint="eastAsia" w:ascii="宋体" w:hAnsi="宋体"/>
          <w:color w:val="auto"/>
          <w:sz w:val="24"/>
          <w:szCs w:val="24"/>
          <w:highlight w:val="none"/>
          <w:lang w:val="en-US" w:eastAsia="zh-CN"/>
        </w:rPr>
      </w:pPr>
    </w:p>
    <w:p>
      <w:pPr>
        <w:spacing w:line="400" w:lineRule="exac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30" w:type="dxa"/>
            <w:gridSpan w:val="5"/>
            <w:vAlign w:val="center"/>
          </w:tcPr>
          <w:p>
            <w:pPr>
              <w:spacing w:line="58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揭榜</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tc>
        <w:tc>
          <w:tcPr>
            <w:tcW w:w="7230" w:type="dxa"/>
            <w:gridSpan w:val="5"/>
            <w:vAlign w:val="center"/>
          </w:tcPr>
          <w:p>
            <w:pPr>
              <w:spacing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（联合体只填写联合体牵头人名称）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pPr>
              <w:spacing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560" w:type="dxa"/>
            <w:vMerge w:val="restart"/>
            <w:vAlign w:val="center"/>
          </w:tcPr>
          <w:p>
            <w:pPr>
              <w:spacing w:line="580" w:lineRule="exact"/>
              <w:jc w:val="center"/>
              <w:rPr>
                <w:rFonts w:hint="eastAsia" w:ascii="宋体" w:hAnsi="宋体" w:eastAsia="宋体" w:cs="宋体"/>
                <w:color w:val="auto"/>
                <w:sz w:val="21"/>
                <w:szCs w:val="21"/>
                <w:highlight w:val="none"/>
              </w:rPr>
            </w:pPr>
          </w:p>
        </w:tc>
        <w:tc>
          <w:tcPr>
            <w:tcW w:w="992" w:type="dxa"/>
            <w:vMerge w:val="restart"/>
            <w:vAlign w:val="center"/>
          </w:tcPr>
          <w:p>
            <w:pPr>
              <w:spacing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276" w:type="dxa"/>
            <w:vMerge w:val="restart"/>
            <w:vAlign w:val="center"/>
          </w:tcPr>
          <w:p>
            <w:pPr>
              <w:spacing w:line="580" w:lineRule="exact"/>
              <w:jc w:val="center"/>
              <w:rPr>
                <w:rFonts w:hint="eastAsia" w:ascii="宋体" w:hAnsi="宋体" w:eastAsia="宋体" w:cs="宋体"/>
                <w:color w:val="auto"/>
                <w:sz w:val="21"/>
                <w:szCs w:val="21"/>
                <w:highlight w:val="none"/>
              </w:rPr>
            </w:pPr>
          </w:p>
        </w:tc>
        <w:tc>
          <w:tcPr>
            <w:tcW w:w="1417" w:type="dxa"/>
            <w:vAlign w:val="center"/>
          </w:tcPr>
          <w:p>
            <w:pPr>
              <w:spacing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985" w:type="dxa"/>
            <w:vAlign w:val="center"/>
          </w:tcPr>
          <w:p>
            <w:pPr>
              <w:spacing w:line="400" w:lineRule="exact"/>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pPr>
              <w:spacing w:line="580" w:lineRule="exact"/>
              <w:jc w:val="center"/>
              <w:rPr>
                <w:rFonts w:hint="eastAsia" w:ascii="宋体" w:hAnsi="宋体" w:eastAsia="宋体" w:cs="宋体"/>
                <w:color w:val="auto"/>
                <w:szCs w:val="21"/>
                <w:highlight w:val="none"/>
              </w:rPr>
            </w:pPr>
          </w:p>
        </w:tc>
        <w:tc>
          <w:tcPr>
            <w:tcW w:w="1560" w:type="dxa"/>
            <w:vMerge w:val="continue"/>
            <w:vAlign w:val="center"/>
          </w:tcPr>
          <w:p>
            <w:pPr>
              <w:spacing w:line="580" w:lineRule="exact"/>
              <w:jc w:val="center"/>
              <w:rPr>
                <w:rFonts w:hint="eastAsia" w:ascii="宋体" w:hAnsi="宋体" w:eastAsia="宋体" w:cs="宋体"/>
                <w:color w:val="auto"/>
                <w:szCs w:val="21"/>
                <w:highlight w:val="none"/>
              </w:rPr>
            </w:pPr>
          </w:p>
        </w:tc>
        <w:tc>
          <w:tcPr>
            <w:tcW w:w="992" w:type="dxa"/>
            <w:vMerge w:val="continue"/>
            <w:vAlign w:val="center"/>
          </w:tcPr>
          <w:p>
            <w:pPr>
              <w:spacing w:line="580" w:lineRule="exact"/>
              <w:jc w:val="center"/>
              <w:rPr>
                <w:rFonts w:hint="eastAsia" w:ascii="宋体" w:hAnsi="宋体" w:eastAsia="宋体" w:cs="宋体"/>
                <w:color w:val="auto"/>
                <w:szCs w:val="21"/>
                <w:highlight w:val="none"/>
              </w:rPr>
            </w:pPr>
          </w:p>
        </w:tc>
        <w:tc>
          <w:tcPr>
            <w:tcW w:w="1276" w:type="dxa"/>
            <w:vMerge w:val="continue"/>
            <w:vAlign w:val="center"/>
          </w:tcPr>
          <w:p>
            <w:pPr>
              <w:spacing w:line="580" w:lineRule="exact"/>
              <w:jc w:val="center"/>
              <w:rPr>
                <w:rFonts w:hint="eastAsia" w:ascii="宋体" w:hAnsi="宋体" w:eastAsia="宋体" w:cs="宋体"/>
                <w:color w:val="auto"/>
                <w:szCs w:val="21"/>
                <w:highlight w:val="none"/>
              </w:rPr>
            </w:pPr>
          </w:p>
        </w:tc>
        <w:tc>
          <w:tcPr>
            <w:tcW w:w="1417" w:type="dxa"/>
            <w:vAlign w:val="center"/>
          </w:tcPr>
          <w:p>
            <w:pPr>
              <w:spacing w:line="5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电子邮箱</w:t>
            </w:r>
          </w:p>
        </w:tc>
        <w:tc>
          <w:tcPr>
            <w:tcW w:w="1985" w:type="dxa"/>
            <w:vAlign w:val="center"/>
          </w:tcPr>
          <w:p>
            <w:pPr>
              <w:spacing w:line="58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10" w:type="dxa"/>
            <w:vAlign w:val="center"/>
          </w:tcPr>
          <w:p>
            <w:pPr>
              <w:spacing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联合体其他成员</w:t>
            </w:r>
          </w:p>
        </w:tc>
        <w:tc>
          <w:tcPr>
            <w:tcW w:w="7230" w:type="dxa"/>
            <w:gridSpan w:val="5"/>
            <w:vAlign w:val="center"/>
          </w:tcPr>
          <w:p>
            <w:pPr>
              <w:spacing w:line="400" w:lineRule="exact"/>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before="100" w:beforeAutospacing="1" w:after="100" w:afterAutospacing="1"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1560" w:type="dxa"/>
            <w:vAlign w:val="center"/>
          </w:tcPr>
          <w:p>
            <w:pPr>
              <w:spacing w:before="100" w:beforeAutospacing="1" w:after="100" w:afterAutospacing="1" w:line="580" w:lineRule="exact"/>
              <w:jc w:val="left"/>
              <w:rPr>
                <w:rFonts w:hint="eastAsia" w:ascii="宋体" w:hAnsi="宋体" w:eastAsia="宋体" w:cs="宋体"/>
                <w:color w:val="auto"/>
                <w:sz w:val="21"/>
                <w:szCs w:val="21"/>
                <w:highlight w:val="none"/>
              </w:rPr>
            </w:pPr>
          </w:p>
        </w:tc>
        <w:tc>
          <w:tcPr>
            <w:tcW w:w="992" w:type="dxa"/>
            <w:vAlign w:val="center"/>
          </w:tcPr>
          <w:p>
            <w:pPr>
              <w:spacing w:before="100" w:beforeAutospacing="1" w:after="100" w:afterAutospacing="1" w:line="5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276" w:type="dxa"/>
            <w:vAlign w:val="center"/>
          </w:tcPr>
          <w:p>
            <w:pPr>
              <w:spacing w:before="100" w:beforeAutospacing="1" w:after="100" w:afterAutospacing="1" w:line="580" w:lineRule="exact"/>
              <w:jc w:val="left"/>
              <w:rPr>
                <w:rFonts w:hint="eastAsia" w:ascii="宋体" w:hAnsi="宋体" w:eastAsia="宋体" w:cs="宋体"/>
                <w:color w:val="auto"/>
                <w:sz w:val="21"/>
                <w:szCs w:val="21"/>
                <w:highlight w:val="none"/>
              </w:rPr>
            </w:pPr>
          </w:p>
        </w:tc>
        <w:tc>
          <w:tcPr>
            <w:tcW w:w="1417" w:type="dxa"/>
            <w:vAlign w:val="center"/>
          </w:tcPr>
          <w:p>
            <w:pPr>
              <w:spacing w:before="100" w:beforeAutospacing="1" w:after="100" w:afterAutospacing="1" w:line="5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985" w:type="dxa"/>
            <w:vAlign w:val="center"/>
          </w:tcPr>
          <w:p>
            <w:pPr>
              <w:spacing w:before="100" w:beforeAutospacing="1" w:after="100" w:afterAutospacing="1" w:line="580" w:lineRule="exact"/>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pPr>
              <w:spacing w:before="100" w:beforeAutospacing="1" w:after="100" w:afterAutospacing="1"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需提供附件</w:t>
            </w:r>
          </w:p>
        </w:tc>
        <w:tc>
          <w:tcPr>
            <w:tcW w:w="7230" w:type="dxa"/>
            <w:gridSpan w:val="5"/>
            <w:vAlign w:val="center"/>
          </w:tcPr>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所有成员的</w:t>
            </w:r>
            <w:r>
              <w:rPr>
                <w:rFonts w:hint="eastAsia" w:ascii="宋体" w:hAnsi="宋体" w:eastAsia="宋体" w:cs="宋体"/>
                <w:color w:val="auto"/>
                <w:sz w:val="21"/>
                <w:szCs w:val="21"/>
                <w:highlight w:val="none"/>
              </w:rPr>
              <w:t xml:space="preserve">营业执照副本或事业单位法人证书副本复印件（加盖公章）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pPr>
              <w:spacing w:before="100" w:beforeAutospacing="1" w:after="100" w:afterAutospacing="1"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项目负责人承诺</w:t>
            </w:r>
          </w:p>
        </w:tc>
        <w:tc>
          <w:tcPr>
            <w:tcW w:w="7230" w:type="dxa"/>
            <w:gridSpan w:val="5"/>
            <w:vAlign w:val="center"/>
          </w:tcPr>
          <w:p>
            <w:pPr>
              <w:spacing w:before="100" w:beforeAutospacing="1" w:after="100" w:afterAutospacing="1"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本人承诺，以上所填内容属实。若有不实，愿意接受所带来的不良影响。</w:t>
            </w:r>
          </w:p>
          <w:p>
            <w:pPr>
              <w:spacing w:line="5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pPr>
              <w:spacing w:before="100" w:beforeAutospacing="1" w:after="100" w:afterAutospacing="1" w:line="5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揭榜</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（牵头人）单位意见</w:t>
            </w:r>
          </w:p>
        </w:tc>
        <w:tc>
          <w:tcPr>
            <w:tcW w:w="7230" w:type="dxa"/>
            <w:gridSpan w:val="5"/>
            <w:vAlign w:val="center"/>
          </w:tcPr>
          <w:p>
            <w:pPr>
              <w:spacing w:before="100" w:beforeAutospacing="1" w:after="100" w:afterAutospacing="1"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情况属实，同意</w:t>
            </w:r>
            <w:r>
              <w:rPr>
                <w:rFonts w:hint="eastAsia" w:ascii="宋体" w:hAnsi="宋体" w:eastAsia="宋体" w:cs="宋体"/>
                <w:color w:val="auto"/>
                <w:sz w:val="21"/>
                <w:szCs w:val="21"/>
                <w:highlight w:val="none"/>
                <w:lang w:val="en-US" w:eastAsia="zh-CN"/>
              </w:rPr>
              <w:t>报名</w:t>
            </w:r>
            <w:r>
              <w:rPr>
                <w:rFonts w:hint="eastAsia" w:ascii="宋体" w:hAnsi="宋体" w:eastAsia="宋体" w:cs="宋体"/>
                <w:color w:val="auto"/>
                <w:sz w:val="21"/>
                <w:szCs w:val="21"/>
                <w:highlight w:val="none"/>
              </w:rPr>
              <w:t>。</w:t>
            </w:r>
          </w:p>
          <w:p>
            <w:pPr>
              <w:spacing w:line="5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（盖章）</w:t>
            </w:r>
          </w:p>
          <w:p>
            <w:pPr>
              <w:spacing w:line="5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bl>
    <w:p>
      <w:pPr>
        <w:spacing w:line="400" w:lineRule="exact"/>
        <w:rPr>
          <w:rFonts w:ascii="宋体" w:hAnsi="宋体"/>
          <w:color w:val="auto"/>
          <w:highlight w:val="none"/>
        </w:rPr>
      </w:pPr>
      <w:r>
        <w:rPr>
          <w:rFonts w:ascii="宋体" w:hAnsi="宋体"/>
          <w:color w:val="auto"/>
          <w:highlight w:val="none"/>
        </w:rPr>
        <w:br w:type="page"/>
      </w:r>
    </w:p>
    <w:p>
      <w:pPr>
        <w:pStyle w:val="2"/>
        <w:spacing w:line="240" w:lineRule="auto"/>
        <w:jc w:val="center"/>
        <w:rPr>
          <w:rFonts w:hint="default" w:ascii="宋体" w:hAnsi="宋体"/>
          <w:color w:val="auto"/>
          <w:sz w:val="32"/>
          <w:szCs w:val="32"/>
          <w:highlight w:val="none"/>
          <w:lang w:val="en-US" w:eastAsia="zh-CN"/>
        </w:rPr>
      </w:pPr>
      <w:bookmarkStart w:id="10" w:name="_Toc24590"/>
      <w:bookmarkStart w:id="11" w:name="_Toc7511"/>
      <w:r>
        <w:rPr>
          <w:rFonts w:hint="eastAsia" w:ascii="宋体" w:hAnsi="宋体"/>
          <w:color w:val="auto"/>
          <w:sz w:val="32"/>
          <w:szCs w:val="32"/>
          <w:highlight w:val="none"/>
        </w:rPr>
        <w:t>第二章</w:t>
      </w:r>
      <w:r>
        <w:rPr>
          <w:rFonts w:hint="eastAsia" w:ascii="宋体" w:hAnsi="宋体"/>
          <w:color w:val="auto"/>
          <w:sz w:val="32"/>
          <w:szCs w:val="32"/>
          <w:highlight w:val="none"/>
          <w:lang w:val="en-US" w:eastAsia="zh-CN"/>
        </w:rPr>
        <w:t xml:space="preserve"> 揭榜人须知</w:t>
      </w:r>
      <w:bookmarkEnd w:id="10"/>
      <w:bookmarkEnd w:id="11"/>
    </w:p>
    <w:tbl>
      <w:tblPr>
        <w:tblStyle w:val="41"/>
        <w:tblW w:w="9872" w:type="dxa"/>
        <w:jc w:val="center"/>
        <w:tblLayout w:type="fixed"/>
        <w:tblCellMar>
          <w:top w:w="0" w:type="dxa"/>
          <w:left w:w="108" w:type="dxa"/>
          <w:bottom w:w="0" w:type="dxa"/>
          <w:right w:w="108" w:type="dxa"/>
        </w:tblCellMar>
      </w:tblPr>
      <w:tblGrid>
        <w:gridCol w:w="1086"/>
        <w:gridCol w:w="3575"/>
        <w:gridCol w:w="5211"/>
      </w:tblGrid>
      <w:tr>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编列内容</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bCs/>
                <w:color w:val="auto"/>
                <w:sz w:val="21"/>
                <w:szCs w:val="21"/>
                <w:highlight w:val="none"/>
                <w:lang w:eastAsia="zh-CN"/>
              </w:rPr>
            </w:pPr>
            <w:r>
              <w:rPr>
                <w:rFonts w:hint="eastAsia" w:cs="宋体" w:asciiTheme="minorEastAsia" w:hAnsiTheme="minorEastAsia" w:eastAsiaTheme="minorEastAsia"/>
                <w:bCs/>
                <w:color w:val="auto"/>
                <w:sz w:val="21"/>
                <w:szCs w:val="21"/>
                <w:highlight w:val="none"/>
                <w:lang w:val="en-US" w:eastAsia="zh-CN"/>
              </w:rPr>
              <w:t>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构成《揭榜指南文件》的</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bCs/>
                <w:color w:val="auto"/>
                <w:sz w:val="21"/>
                <w:szCs w:val="21"/>
                <w:highlight w:val="none"/>
                <w:lang w:eastAsia="zh-CN"/>
              </w:rPr>
            </w:pPr>
            <w:r>
              <w:rPr>
                <w:rFonts w:hint="eastAsia" w:cs="宋体" w:asciiTheme="minorEastAsia" w:hAnsiTheme="minorEastAsia" w:eastAsiaTheme="minorEastAsia"/>
                <w:bCs/>
                <w:color w:val="auto"/>
                <w:sz w:val="21"/>
                <w:szCs w:val="21"/>
                <w:highlight w:val="none"/>
                <w:lang w:val="en-US" w:eastAsia="zh-CN"/>
              </w:rPr>
              <w:t>2</w:t>
            </w:r>
          </w:p>
        </w:tc>
        <w:tc>
          <w:tcPr>
            <w:tcW w:w="3575"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时间：递交截止时间前</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日</w:t>
            </w:r>
          </w:p>
        </w:tc>
      </w:tr>
      <w:tr>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形式：</w:t>
            </w:r>
            <w:r>
              <w:rPr>
                <w:rFonts w:hint="eastAsia" w:cs="宋体" w:asciiTheme="minorEastAsia" w:hAnsiTheme="minorEastAsia" w:eastAsiaTheme="minorEastAsia"/>
                <w:color w:val="auto"/>
                <w:sz w:val="21"/>
                <w:szCs w:val="21"/>
                <w:highlight w:val="none"/>
                <w:lang w:val="en-US" w:eastAsia="zh-CN"/>
              </w:rPr>
              <w:t>电子邮件，邮箱地址：1835763884@qq.com</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bCs/>
                <w:color w:val="auto"/>
                <w:sz w:val="21"/>
                <w:szCs w:val="21"/>
                <w:highlight w:val="none"/>
                <w:lang w:eastAsia="zh-CN"/>
              </w:rPr>
            </w:pPr>
            <w:r>
              <w:rPr>
                <w:rFonts w:hint="eastAsia" w:cs="宋体" w:asciiTheme="minorEastAsia" w:hAnsiTheme="minorEastAsia" w:eastAsiaTheme="minorEastAsia"/>
                <w:bCs/>
                <w:color w:val="auto"/>
                <w:sz w:val="21"/>
                <w:szCs w:val="21"/>
                <w:highlight w:val="none"/>
                <w:lang w:val="en-US" w:eastAsia="zh-CN"/>
              </w:rPr>
              <w:t>3</w:t>
            </w:r>
          </w:p>
        </w:tc>
        <w:tc>
          <w:tcPr>
            <w:tcW w:w="3575"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bCs/>
                <w:color w:val="auto"/>
                <w:sz w:val="21"/>
                <w:szCs w:val="21"/>
                <w:highlight w:val="none"/>
                <w:lang w:eastAsia="zh-CN"/>
              </w:rPr>
            </w:pPr>
            <w:r>
              <w:rPr>
                <w:rFonts w:hint="eastAsia" w:cs="宋体" w:asciiTheme="minorEastAsia" w:hAnsiTheme="minorEastAsia" w:eastAsiaTheme="minorEastAsia"/>
                <w:bCs/>
                <w:color w:val="auto"/>
                <w:sz w:val="21"/>
                <w:szCs w:val="21"/>
                <w:highlight w:val="none"/>
                <w:lang w:val="en-US" w:eastAsia="zh-CN"/>
              </w:rPr>
              <w:t>4</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bCs/>
                <w:color w:val="auto"/>
                <w:sz w:val="21"/>
                <w:szCs w:val="21"/>
                <w:highlight w:val="none"/>
                <w:lang w:eastAsia="zh-CN"/>
              </w:rPr>
            </w:pPr>
            <w:r>
              <w:rPr>
                <w:rFonts w:hint="eastAsia" w:cs="宋体" w:asciiTheme="minorEastAsia" w:hAnsiTheme="minorEastAsia" w:eastAsiaTheme="minorEastAsia"/>
                <w:bCs/>
                <w:color w:val="auto"/>
                <w:sz w:val="21"/>
                <w:szCs w:val="21"/>
                <w:highlight w:val="none"/>
                <w:lang w:val="en-US" w:eastAsia="zh-CN"/>
              </w:rPr>
              <w:t>5</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bCs/>
                <w:color w:val="auto"/>
                <w:sz w:val="21"/>
                <w:szCs w:val="21"/>
                <w:highlight w:val="none"/>
                <w:lang w:eastAsia="zh-CN"/>
              </w:rPr>
            </w:pPr>
            <w:r>
              <w:rPr>
                <w:rFonts w:hint="eastAsia" w:cs="宋体" w:asciiTheme="minorEastAsia" w:hAnsiTheme="minorEastAsia" w:eastAsiaTheme="minorEastAsia"/>
                <w:bCs/>
                <w:color w:val="auto"/>
                <w:sz w:val="21"/>
                <w:szCs w:val="21"/>
                <w:highlight w:val="none"/>
                <w:lang w:val="en-US" w:eastAsia="zh-CN"/>
              </w:rPr>
              <w:t>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bCs/>
                <w:color w:val="auto"/>
                <w:sz w:val="21"/>
                <w:szCs w:val="21"/>
                <w:highlight w:val="none"/>
                <w:lang w:eastAsia="zh-CN"/>
              </w:rPr>
            </w:pPr>
            <w:r>
              <w:rPr>
                <w:rFonts w:hint="eastAsia" w:cs="宋体" w:asciiTheme="minorEastAsia" w:hAnsiTheme="minorEastAsia" w:eastAsiaTheme="minorEastAsia"/>
                <w:bCs/>
                <w:color w:val="auto"/>
                <w:sz w:val="21"/>
                <w:szCs w:val="21"/>
                <w:highlight w:val="none"/>
                <w:lang w:val="en-US" w:eastAsia="zh-CN"/>
              </w:rPr>
              <w:t>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构成《揭榜响应文件》的其他资料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bCs/>
                <w:color w:val="auto"/>
                <w:sz w:val="21"/>
                <w:szCs w:val="21"/>
                <w:highlight w:val="none"/>
                <w:lang w:eastAsia="zh-CN"/>
              </w:rPr>
            </w:pPr>
            <w:r>
              <w:rPr>
                <w:rFonts w:hint="eastAsia" w:cs="宋体" w:asciiTheme="minorEastAsia" w:hAnsiTheme="minorEastAsia" w:eastAsiaTheme="minorEastAsia"/>
                <w:bCs/>
                <w:color w:val="auto"/>
                <w:sz w:val="21"/>
                <w:szCs w:val="21"/>
                <w:highlight w:val="none"/>
                <w:lang w:val="en-US" w:eastAsia="zh-CN"/>
              </w:rPr>
              <w:t>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eastAsia="宋体" w:cs="黑体" w:asciiTheme="minorEastAsia" w:hAnsiTheme="minorEastAsia"/>
                <w:bCs/>
                <w:color w:val="auto"/>
                <w:kern w:val="2"/>
                <w:sz w:val="21"/>
                <w:szCs w:val="21"/>
                <w:highlight w:val="none"/>
                <w:lang w:val="en-US" w:eastAsia="zh-CN" w:bidi="ar-SA"/>
              </w:rPr>
            </w:pPr>
            <w:r>
              <w:rPr>
                <w:rFonts w:hint="eastAsia" w:ascii="宋体" w:hAnsi="宋体"/>
                <w:color w:val="auto"/>
                <w:sz w:val="24"/>
                <w:szCs w:val="24"/>
                <w:highlight w:val="none"/>
              </w:rPr>
              <w:t>800.94万元。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bCs/>
                <w:color w:val="auto"/>
                <w:sz w:val="21"/>
                <w:szCs w:val="21"/>
                <w:highlight w:val="none"/>
                <w:lang w:eastAsia="zh-CN"/>
              </w:rPr>
            </w:pPr>
            <w:r>
              <w:rPr>
                <w:rFonts w:hint="eastAsia" w:cs="宋体" w:asciiTheme="minorEastAsia" w:hAnsiTheme="minorEastAsia" w:eastAsiaTheme="minorEastAsia"/>
                <w:bCs/>
                <w:color w:val="auto"/>
                <w:sz w:val="21"/>
                <w:szCs w:val="21"/>
                <w:highlight w:val="none"/>
                <w:lang w:val="en-US" w:eastAsia="zh-CN"/>
              </w:rPr>
              <w:t>9</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报价应包含完成本项目范围涉及的全部费用。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10</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90天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证明资料要</w:t>
            </w:r>
            <w:r>
              <w:rPr>
                <w:rFonts w:hint="eastAsia" w:cs="宋体" w:asciiTheme="minorEastAsia" w:hAnsiTheme="minorEastAsia" w:eastAsiaTheme="minorEastAsia"/>
                <w:color w:val="auto"/>
                <w:sz w:val="21"/>
                <w:szCs w:val="21"/>
                <w:highlight w:val="none"/>
              </w:rPr>
              <w:t>求</w:t>
            </w:r>
          </w:p>
        </w:tc>
        <w:tc>
          <w:tcPr>
            <w:tcW w:w="5211" w:type="dxa"/>
            <w:tcBorders>
              <w:top w:val="single" w:color="auto" w:sz="4" w:space="0"/>
              <w:left w:val="single" w:color="auto" w:sz="4" w:space="0"/>
              <w:bottom w:val="single" w:color="auto" w:sz="4" w:space="0"/>
              <w:right w:val="single" w:color="auto" w:sz="4" w:space="0"/>
            </w:tcBorders>
            <w:vAlign w:val="center"/>
          </w:tcPr>
          <w:p>
            <w:pPr>
              <w:pStyle w:val="16"/>
              <w:topLinePunct/>
              <w:spacing w:line="400" w:lineRule="exact"/>
              <w:rPr>
                <w:rFonts w:hint="eastAsia" w:cs="宋体" w:asciiTheme="minorEastAsia" w:hAnsiTheme="minorEastAsia" w:eastAsiaTheme="minorEastAsia"/>
                <w:color w:val="auto"/>
                <w:sz w:val="21"/>
                <w:szCs w:val="21"/>
                <w:highlight w:val="none"/>
              </w:rPr>
            </w:pPr>
            <w:bookmarkStart w:id="12" w:name="_Toc384308207"/>
            <w:bookmarkStart w:id="13" w:name="_Toc361508582"/>
            <w:bookmarkStart w:id="14" w:name="_Toc352691470"/>
            <w:bookmarkStart w:id="15" w:name="_Toc300834946"/>
            <w:bookmarkStart w:id="16" w:name="_Toc1789"/>
            <w:bookmarkStart w:id="17" w:name="_Toc369531512"/>
            <w:r>
              <w:rPr>
                <w:rFonts w:hint="eastAsia" w:cs="宋体" w:asciiTheme="minorEastAsia" w:hAnsiTheme="minorEastAsia" w:eastAsiaTheme="minorEastAsia"/>
                <w:color w:val="auto"/>
                <w:sz w:val="21"/>
                <w:szCs w:val="21"/>
                <w:highlight w:val="none"/>
              </w:rPr>
              <w:t>《揭榜响应文件》所附证书证件要求均为原件扫描件，揭榜方须对其所附证件的真实性、有效性、清晰性、完整性负责。</w:t>
            </w:r>
          </w:p>
          <w:p>
            <w:pPr>
              <w:spacing w:line="360" w:lineRule="auto"/>
              <w:rPr>
                <w:rFonts w:hint="default"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团队人员证件：</w:t>
            </w:r>
            <w:r>
              <w:rPr>
                <w:rFonts w:hint="eastAsia" w:ascii="宋体" w:hAnsi="宋体"/>
                <w:color w:val="auto"/>
                <w:sz w:val="21"/>
                <w:szCs w:val="21"/>
                <w:highlight w:val="none"/>
              </w:rPr>
              <w:t>应附身份证、职称证、学历证，人才类别有效证明（国内外顶尖人才、国家级领军人才、地方级领军人才、地方级优秀人才、其他类别人才）。作为项目负责人或主研人员参与过的类似科技创新项目须附合同协议书</w:t>
            </w:r>
            <w:r>
              <w:rPr>
                <w:rFonts w:hint="eastAsia" w:ascii="宋体" w:hAnsi="宋体"/>
                <w:color w:val="auto"/>
                <w:sz w:val="21"/>
                <w:szCs w:val="21"/>
                <w:highlight w:val="none"/>
                <w:lang w:val="en-US" w:eastAsia="zh-CN"/>
              </w:rPr>
              <w:t>或任务书</w:t>
            </w:r>
            <w:r>
              <w:rPr>
                <w:rFonts w:hint="eastAsia" w:ascii="宋体" w:hAnsi="宋体"/>
                <w:color w:val="auto"/>
                <w:sz w:val="21"/>
                <w:szCs w:val="21"/>
                <w:highlight w:val="none"/>
              </w:rPr>
              <w:t>复印件（本响应文件复印件均指彩色扫描输出件，下同）、项目鉴定证书复印件、项目获奖证书复印件。</w:t>
            </w:r>
          </w:p>
        </w:tc>
      </w:tr>
      <w:bookmarkEnd w:id="12"/>
      <w:bookmarkEnd w:id="13"/>
      <w:bookmarkEnd w:id="14"/>
      <w:bookmarkEnd w:id="15"/>
      <w:bookmarkEnd w:id="16"/>
      <w:bookmarkEnd w:id="17"/>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12</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hint="default"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13</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一正</w:t>
            </w:r>
            <w:r>
              <w:rPr>
                <w:rFonts w:hint="eastAsia" w:cs="黑体" w:asciiTheme="minorEastAsia" w:hAnsiTheme="minorEastAsia" w:eastAsiaTheme="minorEastAsia"/>
                <w:bCs/>
                <w:color w:val="auto"/>
                <w:sz w:val="21"/>
                <w:szCs w:val="21"/>
                <w:highlight w:val="none"/>
                <w:lang w:val="en-US" w:eastAsia="zh-CN"/>
              </w:rPr>
              <w:t>七</w:t>
            </w:r>
            <w:r>
              <w:rPr>
                <w:rFonts w:hint="eastAsia" w:cs="黑体" w:asciiTheme="minorEastAsia" w:hAnsiTheme="minorEastAsia" w:eastAsiaTheme="minorEastAsia"/>
                <w:bCs/>
                <w:color w:val="auto"/>
                <w:sz w:val="21"/>
                <w:szCs w:val="21"/>
                <w:highlight w:val="none"/>
              </w:rPr>
              <w:t>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14</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符合第四章揭榜响应文件签字盖章要求。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15</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项目名称：</w:t>
            </w:r>
          </w:p>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揭榜人名称：</w:t>
            </w:r>
          </w:p>
          <w:p>
            <w:pPr>
              <w:spacing w:line="400" w:lineRule="exact"/>
              <w:jc w:val="left"/>
              <w:rPr>
                <w:rFonts w:ascii="Calibri" w:hAnsi="Calibri" w:eastAsia="宋体" w:cs="Times New Roman"/>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及揭榜人认为需要载明的其他信息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评审委员会的组建</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仿宋" w:asciiTheme="minorEastAsia" w:hAnsiTheme="minorEastAsia" w:eastAsiaTheme="minorEastAsia"/>
                <w:bCs/>
                <w:color w:val="auto"/>
                <w:sz w:val="21"/>
                <w:szCs w:val="21"/>
                <w:highlight w:val="none"/>
              </w:rPr>
              <w:t>评榜委员会由7</w:t>
            </w:r>
            <w:r>
              <w:rPr>
                <w:rFonts w:hint="eastAsia" w:cs="仿宋" w:asciiTheme="minorEastAsia" w:hAnsiTheme="minorEastAsia" w:eastAsiaTheme="minorEastAsia"/>
                <w:bCs/>
                <w:color w:val="auto"/>
                <w:sz w:val="21"/>
                <w:szCs w:val="21"/>
                <w:highlight w:val="none"/>
                <w:lang w:val="en-US" w:eastAsia="zh-CN"/>
              </w:rPr>
              <w:t>-9</w:t>
            </w:r>
            <w:r>
              <w:rPr>
                <w:rFonts w:hint="eastAsia" w:cs="仿宋" w:asciiTheme="minorEastAsia" w:hAnsiTheme="minorEastAsia" w:eastAsiaTheme="minorEastAsia"/>
                <w:bCs/>
                <w:color w:val="auto"/>
                <w:sz w:val="21"/>
                <w:szCs w:val="21"/>
                <w:highlight w:val="none"/>
              </w:rPr>
              <w:t>人组成，其中用户单位</w:t>
            </w:r>
            <w:r>
              <w:rPr>
                <w:rFonts w:hint="eastAsia" w:cs="仿宋" w:asciiTheme="minorEastAsia" w:hAnsiTheme="minorEastAsia" w:eastAsiaTheme="minorEastAsia"/>
                <w:bCs/>
                <w:color w:val="auto"/>
                <w:sz w:val="21"/>
                <w:szCs w:val="21"/>
                <w:highlight w:val="none"/>
                <w:lang w:val="en-US" w:eastAsia="zh-CN"/>
              </w:rPr>
              <w:t>2</w:t>
            </w:r>
            <w:r>
              <w:rPr>
                <w:rFonts w:hint="eastAsia" w:cs="仿宋" w:asciiTheme="minorEastAsia" w:hAnsiTheme="minorEastAsia" w:eastAsiaTheme="minorEastAsia"/>
                <w:bCs/>
                <w:color w:val="auto"/>
                <w:sz w:val="21"/>
                <w:szCs w:val="21"/>
                <w:highlight w:val="none"/>
              </w:rPr>
              <w:t>人，外部专家由</w:t>
            </w:r>
            <w:r>
              <w:rPr>
                <w:rFonts w:hint="eastAsia" w:ascii="宋体" w:hAnsi="宋体"/>
                <w:color w:val="auto"/>
                <w:sz w:val="21"/>
                <w:szCs w:val="21"/>
                <w:highlight w:val="none"/>
              </w:rPr>
              <w:t>河北高速公路集团有限公司</w:t>
            </w:r>
            <w:r>
              <w:rPr>
                <w:rFonts w:hint="eastAsia" w:cs="仿宋" w:asciiTheme="minorEastAsia" w:hAnsiTheme="minorEastAsia" w:eastAsiaTheme="minorEastAsia"/>
                <w:bCs/>
                <w:color w:val="auto"/>
                <w:sz w:val="21"/>
                <w:szCs w:val="21"/>
                <w:highlight w:val="none"/>
              </w:rPr>
              <w:t>相关部室推荐的项目研究、应用领域知名专家和大学教授组成。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榜单公示媒介及期限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公示媒介：</w:t>
            </w:r>
            <w:r>
              <w:rPr>
                <w:rFonts w:hint="eastAsia" w:cs="宋体" w:asciiTheme="minorEastAsia" w:hAnsiTheme="minorEastAsia" w:eastAsiaTheme="minorEastAsia"/>
                <w:color w:val="auto"/>
                <w:spacing w:val="-6"/>
                <w:sz w:val="21"/>
                <w:szCs w:val="21"/>
                <w:highlight w:val="none"/>
              </w:rPr>
              <w:t>发布“揭榜挂帅”公告同一媒介</w:t>
            </w:r>
            <w:r>
              <w:rPr>
                <w:rFonts w:hint="eastAsia" w:cs="宋体" w:asciiTheme="minorEastAsia" w:hAnsiTheme="minorEastAsia" w:eastAsiaTheme="minorEastAsia"/>
                <w:color w:val="auto"/>
                <w:sz w:val="21"/>
                <w:szCs w:val="21"/>
                <w:highlight w:val="none"/>
              </w:rPr>
              <w:t>。</w:t>
            </w:r>
          </w:p>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公示期限：</w:t>
            </w:r>
            <w:r>
              <w:rPr>
                <w:rFonts w:hint="eastAsia" w:cs="宋体" w:asciiTheme="minorEastAsia" w:hAnsiTheme="minorEastAsia" w:eastAsiaTheme="minorEastAsia"/>
                <w:color w:val="auto"/>
                <w:sz w:val="21"/>
                <w:szCs w:val="21"/>
                <w:highlight w:val="none"/>
                <w:u w:val="single"/>
                <w:lang w:val="en-US" w:eastAsia="zh-CN"/>
              </w:rPr>
              <w:t>5</w:t>
            </w:r>
            <w:r>
              <w:rPr>
                <w:rFonts w:hint="eastAsia" w:cs="宋体" w:asciiTheme="minorEastAsia" w:hAnsiTheme="minorEastAsia" w:eastAsiaTheme="minorEastAsia"/>
                <w:color w:val="auto"/>
                <w:sz w:val="21"/>
                <w:szCs w:val="21"/>
                <w:highlight w:val="none"/>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19</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pPr>
              <w:pStyle w:val="16"/>
              <w:topLinePunct/>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20</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pPr>
              <w:jc w:val="left"/>
              <w:rPr>
                <w:rFonts w:cs="黑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w:t>
            </w:r>
          </w:p>
        </w:tc>
        <w:tc>
          <w:tcPr>
            <w:tcW w:w="35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cs="黑体" w:asciiTheme="minorEastAsia" w:hAnsiTheme="minorEastAsia" w:eastAsiaTheme="minorEastAsia"/>
                <w:bCs/>
                <w:color w:val="auto"/>
                <w:sz w:val="21"/>
                <w:szCs w:val="21"/>
                <w:highlight w:val="none"/>
                <w:lang w:val="en-US" w:eastAsia="zh-CN"/>
              </w:rPr>
            </w:pPr>
            <w:r>
              <w:rPr>
                <w:rFonts w:hint="eastAsia" w:cs="黑体" w:asciiTheme="minorEastAsia" w:hAnsiTheme="minorEastAsia" w:eastAsiaTheme="minorEastAsia"/>
                <w:bCs/>
                <w:color w:val="auto"/>
                <w:sz w:val="21"/>
                <w:szCs w:val="21"/>
                <w:highlight w:val="none"/>
                <w:lang w:val="en-US" w:eastAsia="zh-CN"/>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cs="黑体" w:asciiTheme="minorEastAsia" w:hAnsiTheme="minorEastAsia" w:eastAsiaTheme="minorEastAsia"/>
                <w:bCs/>
                <w:color w:val="auto"/>
                <w:sz w:val="21"/>
                <w:szCs w:val="21"/>
                <w:highlight w:val="none"/>
                <w:lang w:eastAsia="zh-CN"/>
              </w:rPr>
            </w:pPr>
            <w:r>
              <w:rPr>
                <w:rFonts w:hint="eastAsia" w:cs="黑体" w:asciiTheme="minorEastAsia" w:hAnsiTheme="minorEastAsia" w:eastAsiaTheme="minorEastAsia"/>
                <w:bCs/>
                <w:color w:val="auto"/>
                <w:sz w:val="21"/>
                <w:szCs w:val="21"/>
                <w:highlight w:val="none"/>
              </w:rPr>
              <w:t>本课题所完成的知识产权成果归河北高速公路集团和揭榜方双方共有，具体产品的产权</w:t>
            </w:r>
            <w:r>
              <w:rPr>
                <w:rFonts w:hint="eastAsia" w:cs="黑体" w:asciiTheme="minorEastAsia" w:hAnsiTheme="minorEastAsia" w:eastAsiaTheme="minorEastAsia"/>
                <w:bCs/>
                <w:color w:val="auto"/>
                <w:sz w:val="21"/>
                <w:szCs w:val="21"/>
                <w:highlight w:val="none"/>
                <w:lang w:val="en-US" w:eastAsia="zh-CN"/>
              </w:rPr>
              <w:t>分配</w:t>
            </w:r>
            <w:r>
              <w:rPr>
                <w:rFonts w:hint="eastAsia" w:cs="黑体" w:asciiTheme="minorEastAsia" w:hAnsiTheme="minorEastAsia" w:eastAsiaTheme="minorEastAsia"/>
                <w:bCs/>
                <w:color w:val="auto"/>
                <w:sz w:val="21"/>
                <w:szCs w:val="21"/>
                <w:highlight w:val="none"/>
              </w:rPr>
              <w:t>原则按照</w:t>
            </w:r>
            <w:r>
              <w:rPr>
                <w:rFonts w:hint="eastAsia" w:cs="黑体" w:asciiTheme="minorEastAsia" w:hAnsiTheme="minorEastAsia" w:eastAsiaTheme="minorEastAsia"/>
                <w:bCs/>
                <w:color w:val="auto"/>
                <w:sz w:val="21"/>
                <w:szCs w:val="21"/>
                <w:highlight w:val="none"/>
                <w:lang w:val="en-US" w:eastAsia="zh-CN"/>
              </w:rPr>
              <w:t>6:4</w:t>
            </w:r>
            <w:r>
              <w:rPr>
                <w:rFonts w:hint="eastAsia" w:cs="黑体" w:asciiTheme="minorEastAsia" w:hAnsiTheme="minorEastAsia" w:eastAsiaTheme="minorEastAsia"/>
                <w:bCs/>
                <w:color w:val="auto"/>
                <w:sz w:val="21"/>
                <w:szCs w:val="21"/>
                <w:highlight w:val="none"/>
              </w:rPr>
              <w:t>比例分配</w:t>
            </w:r>
            <w:r>
              <w:rPr>
                <w:rFonts w:hint="eastAsia" w:cs="黑体" w:asciiTheme="minorEastAsia" w:hAnsiTheme="minorEastAsia" w:eastAsiaTheme="minorEastAsia"/>
                <w:bCs/>
                <w:color w:val="auto"/>
                <w:sz w:val="21"/>
                <w:szCs w:val="21"/>
                <w:highlight w:val="none"/>
                <w:lang w:eastAsia="zh-CN"/>
              </w:rPr>
              <w:t>。</w:t>
            </w:r>
          </w:p>
        </w:tc>
      </w:tr>
    </w:tbl>
    <w:p>
      <w:pPr>
        <w:spacing w:line="400" w:lineRule="exact"/>
        <w:rPr>
          <w:rFonts w:ascii="Times New Roman" w:hAnsi="Times New Roman"/>
          <w:color w:val="auto"/>
          <w:highlight w:val="none"/>
        </w:rPr>
      </w:pPr>
      <w:r>
        <w:rPr>
          <w:rFonts w:ascii="Times New Roman" w:hAnsi="Times New Roman"/>
          <w:color w:val="auto"/>
          <w:highlight w:val="none"/>
        </w:rPr>
        <w:br w:type="page"/>
      </w:r>
    </w:p>
    <w:p>
      <w:pPr>
        <w:pStyle w:val="2"/>
        <w:spacing w:line="240" w:lineRule="auto"/>
        <w:jc w:val="center"/>
        <w:rPr>
          <w:rFonts w:hint="eastAsia" w:ascii="宋体" w:hAnsi="宋体"/>
          <w:color w:val="auto"/>
          <w:sz w:val="32"/>
          <w:szCs w:val="32"/>
          <w:highlight w:val="none"/>
        </w:rPr>
      </w:pPr>
      <w:bookmarkStart w:id="18" w:name="_Toc23082"/>
      <w:bookmarkStart w:id="19" w:name="_Toc20826"/>
      <w:r>
        <w:rPr>
          <w:rFonts w:hint="eastAsia" w:ascii="宋体" w:hAnsi="宋体"/>
          <w:color w:val="auto"/>
          <w:sz w:val="32"/>
          <w:szCs w:val="32"/>
          <w:highlight w:val="none"/>
        </w:rPr>
        <w:t>第</w:t>
      </w:r>
      <w:r>
        <w:rPr>
          <w:rFonts w:hint="eastAsia" w:ascii="宋体" w:hAnsi="宋体"/>
          <w:color w:val="auto"/>
          <w:sz w:val="32"/>
          <w:szCs w:val="32"/>
          <w:highlight w:val="none"/>
          <w:lang w:val="en-US" w:eastAsia="zh-CN"/>
        </w:rPr>
        <w:t>三</w:t>
      </w:r>
      <w:r>
        <w:rPr>
          <w:rFonts w:hint="eastAsia" w:ascii="宋体" w:hAnsi="宋体"/>
          <w:color w:val="auto"/>
          <w:sz w:val="32"/>
          <w:szCs w:val="32"/>
          <w:highlight w:val="none"/>
        </w:rPr>
        <w:t>章</w:t>
      </w: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rPr>
        <w:t>评审办法</w:t>
      </w:r>
      <w:bookmarkEnd w:id="18"/>
      <w:bookmarkEnd w:id="19"/>
    </w:p>
    <w:p>
      <w:pPr>
        <w:keepNext/>
        <w:keepLines/>
        <w:autoSpaceDE w:val="0"/>
        <w:autoSpaceDN w:val="0"/>
        <w:spacing w:line="360" w:lineRule="auto"/>
        <w:ind w:firstLine="482" w:firstLineChars="200"/>
        <w:jc w:val="left"/>
        <w:outlineLvl w:val="1"/>
        <w:rPr>
          <w:rFonts w:ascii="宋体" w:hAnsi="宋体" w:cs="宋体"/>
          <w:b/>
          <w:bCs/>
          <w:color w:val="auto"/>
          <w:kern w:val="0"/>
          <w:sz w:val="24"/>
          <w:szCs w:val="24"/>
          <w:highlight w:val="none"/>
        </w:rPr>
      </w:pPr>
      <w:bookmarkStart w:id="20" w:name="_Toc166487465"/>
      <w:bookmarkStart w:id="21" w:name="_Toc14541"/>
      <w:r>
        <w:rPr>
          <w:rFonts w:hint="eastAsia" w:ascii="宋体" w:hAnsi="宋体" w:cs="黑体"/>
          <w:b/>
          <w:bCs/>
          <w:color w:val="auto"/>
          <w:kern w:val="0"/>
          <w:sz w:val="24"/>
          <w:szCs w:val="24"/>
          <w:highlight w:val="none"/>
        </w:rPr>
        <w:t>1. 评榜方法</w:t>
      </w:r>
      <w:bookmarkEnd w:id="20"/>
      <w:bookmarkEnd w:id="21"/>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bCs/>
          <w:color w:val="auto"/>
          <w:sz w:val="24"/>
          <w:szCs w:val="24"/>
          <w:highlight w:val="none"/>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如果用户单位认为评榜委员会推荐的拟中榜人响应文件与用户单位的应用需求出入较大时，用户单位有权对评审结果实施“一票否决”。</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评榜委员会由7-9人组成，其中用户单位2人，外部专家由河北高速公路集团有限公司相关部室推荐的项目研究、应用领域知名专家和大学教授组成。</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2.资格评审、形式评审和响应性评审</w:t>
      </w:r>
    </w:p>
    <w:p>
      <w:pPr>
        <w:autoSpaceDE w:val="0"/>
        <w:autoSpaceDN w:val="0"/>
        <w:spacing w:line="360" w:lineRule="auto"/>
        <w:ind w:firstLine="482" w:firstLineChars="200"/>
        <w:jc w:val="lef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2.1资格评审标准</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揭榜人不得存在下列情形：</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（1）为不具有独立法人资格的单位；</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（2）与用户单位存在关联关系且影响“揭榜挂帅”公正性；</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（3）揭榜人单位负责人与其他揭榜人的单位负责人为同一人；</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（4）与本项目的其他揭榜人存在控股、管理关系；</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（5）被责令停业，暂扣或者吊销执照或许可证，或吊销资质证书；</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（6）进入清算程序，或被宣告破产，或其他丧失履约能力的情形；</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（7）被市场监督管理部门在国家企业信用信息公示系统（http：//www.gsxt.gov.cn/）中列入严重违法失信名单（黑名单）信息（不含分公司）；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（8）在“信用中国”网站(http://www.creditchina.gov.cn/)中未被列入失信被执行人、经营异常名录、重大税收违法失信主体、政府采购严重违法失信行为记录名单（均不含分公司）；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（9）近3年内（2021年5月1日至今）在申请各级各类科研课题中无不良信用记录，无行政处罚或违法记录，无不良科研诚信记录。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揭榜人需满足的资格要求：</w:t>
      </w:r>
    </w:p>
    <w:p>
      <w:pPr>
        <w:keepNext/>
        <w:keepLines/>
        <w:autoSpaceDE w:val="0"/>
        <w:autoSpaceDN w:val="0"/>
        <w:spacing w:line="360" w:lineRule="auto"/>
        <w:ind w:firstLine="480" w:firstLineChars="200"/>
        <w:jc w:val="left"/>
        <w:outlineLvl w:val="1"/>
        <w:rPr>
          <w:rFonts w:hint="eastAsia" w:ascii="宋体" w:hAnsi="宋体" w:cs="仿宋"/>
          <w:color w:val="auto"/>
          <w:kern w:val="0"/>
          <w:sz w:val="24"/>
          <w:szCs w:val="24"/>
          <w:highlight w:val="none"/>
        </w:rPr>
      </w:pPr>
      <w:bookmarkStart w:id="22" w:name="_Toc31339"/>
      <w:bookmarkStart w:id="23" w:name="_Toc166487466"/>
      <w:bookmarkStart w:id="24" w:name="_Toc152045601"/>
      <w:bookmarkStart w:id="25" w:name="_Toc152042378"/>
      <w:bookmarkStart w:id="26" w:name="_Toc144974568"/>
      <w:bookmarkStart w:id="27" w:name="_Toc179632619"/>
      <w:r>
        <w:rPr>
          <w:rFonts w:hint="eastAsia" w:ascii="宋体" w:hAnsi="宋体" w:cs="仿宋"/>
          <w:color w:val="auto"/>
          <w:kern w:val="0"/>
          <w:sz w:val="24"/>
          <w:szCs w:val="24"/>
          <w:highlight w:val="none"/>
        </w:rPr>
        <w:t>接榜人须满足接榜公告及榜单指南文件对接榜人的各项资格要求。</w:t>
      </w:r>
      <w:bookmarkEnd w:id="22"/>
    </w:p>
    <w:p>
      <w:pPr>
        <w:keepNext/>
        <w:keepLines/>
        <w:autoSpaceDE w:val="0"/>
        <w:autoSpaceDN w:val="0"/>
        <w:spacing w:line="360" w:lineRule="auto"/>
        <w:ind w:firstLine="482" w:firstLineChars="200"/>
        <w:jc w:val="left"/>
        <w:outlineLvl w:val="1"/>
        <w:rPr>
          <w:rFonts w:ascii="宋体" w:hAnsi="宋体" w:cs="仿宋"/>
          <w:b/>
          <w:bCs/>
          <w:color w:val="auto"/>
          <w:kern w:val="0"/>
          <w:sz w:val="24"/>
          <w:szCs w:val="24"/>
          <w:highlight w:val="none"/>
        </w:rPr>
      </w:pPr>
      <w:bookmarkStart w:id="28" w:name="_Toc1630"/>
      <w:r>
        <w:rPr>
          <w:rFonts w:hint="eastAsia" w:ascii="宋体" w:hAnsi="宋体" w:cs="仿宋"/>
          <w:b/>
          <w:bCs/>
          <w:color w:val="auto"/>
          <w:kern w:val="0"/>
          <w:sz w:val="24"/>
          <w:szCs w:val="24"/>
          <w:highlight w:val="none"/>
        </w:rPr>
        <w:t>2.2  形式评审与响应性评审标准</w:t>
      </w:r>
      <w:bookmarkEnd w:id="23"/>
      <w:bookmarkEnd w:id="28"/>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（1）揭榜响应文件按照规定的格式、内容填写，揭榜响应文件齐全完整，字迹清晰可辨：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（2）揭榜响应文件上法定代表人或其授权代理人（授权的项目负责人）的签字、揭榜人的单位章盖章齐全。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（3）提供了项目负责人授权委托书，并按揭榜响应文件格式签字并盖章。</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（4）揭榜响应文件载明的项目完成期限未超过榜单规定的时限。</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（5）揭榜响应文件对榜单的实质性要求和条件作出响应。</w:t>
      </w:r>
    </w:p>
    <w:p>
      <w:pPr>
        <w:pStyle w:val="17"/>
        <w:ind w:firstLine="482" w:firstLineChars="200"/>
        <w:rPr>
          <w:color w:val="auto"/>
          <w:highlight w:val="none"/>
        </w:rPr>
      </w:pPr>
      <w:r>
        <w:rPr>
          <w:rFonts w:hint="eastAsia" w:ascii="宋体" w:hAnsi="宋体" w:cs="仿宋"/>
          <w:b/>
          <w:bCs/>
          <w:color w:val="auto"/>
          <w:kern w:val="0"/>
          <w:sz w:val="24"/>
          <w:szCs w:val="24"/>
          <w:highlight w:val="none"/>
        </w:rPr>
        <w:t>所有揭榜响应文件都不能通过资格评审、形式评审和响应性评审时，用户单位需重新进行发榜。</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 评审</w:t>
      </w:r>
      <w:bookmarkEnd w:id="24"/>
      <w:bookmarkEnd w:id="25"/>
      <w:bookmarkEnd w:id="26"/>
      <w:bookmarkEnd w:id="27"/>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采取百分制，初步评审、</w:t>
      </w:r>
      <w:r>
        <w:rPr>
          <w:rFonts w:hint="eastAsia" w:ascii="宋体" w:hAnsi="宋体" w:cs="仿宋"/>
          <w:color w:val="auto"/>
          <w:kern w:val="0"/>
          <w:sz w:val="24"/>
          <w:szCs w:val="24"/>
          <w:highlight w:val="none"/>
          <w:lang w:val="en-US" w:eastAsia="zh-CN"/>
        </w:rPr>
        <w:t>最终评审</w:t>
      </w:r>
      <w:r>
        <w:rPr>
          <w:rFonts w:hint="eastAsia" w:ascii="宋体" w:hAnsi="宋体" w:cs="仿宋"/>
          <w:color w:val="auto"/>
          <w:kern w:val="0"/>
          <w:sz w:val="24"/>
          <w:szCs w:val="24"/>
          <w:highlight w:val="none"/>
        </w:rPr>
        <w:t>、评榜价评审评分权重占比比例为60%:30%:10%。</w:t>
      </w:r>
    </w:p>
    <w:p>
      <w:pPr>
        <w:autoSpaceDE w:val="0"/>
        <w:autoSpaceDN w:val="0"/>
        <w:spacing w:line="360" w:lineRule="auto"/>
        <w:ind w:firstLine="482" w:firstLineChars="200"/>
        <w:jc w:val="left"/>
        <w:rPr>
          <w:rFonts w:ascii="宋体" w:hAnsi="宋体" w:cs="黑体"/>
          <w:b/>
          <w:bCs/>
          <w:color w:val="auto"/>
          <w:kern w:val="0"/>
          <w:sz w:val="24"/>
          <w:szCs w:val="24"/>
          <w:highlight w:val="none"/>
        </w:rPr>
      </w:pPr>
      <w:bookmarkStart w:id="29" w:name="_Toc152042379"/>
      <w:bookmarkStart w:id="30" w:name="_Toc179632620"/>
      <w:bookmarkStart w:id="31" w:name="_Toc152045602"/>
      <w:bookmarkStart w:id="32" w:name="_Toc144974569"/>
      <w:r>
        <w:rPr>
          <w:rFonts w:hint="eastAsia" w:ascii="宋体" w:hAnsi="宋体" w:cs="黑体"/>
          <w:b/>
          <w:bCs/>
          <w:color w:val="auto"/>
          <w:kern w:val="0"/>
          <w:sz w:val="24"/>
          <w:szCs w:val="24"/>
          <w:highlight w:val="none"/>
        </w:rPr>
        <w:t>3.1 初步评审标准</w:t>
      </w:r>
      <w:bookmarkEnd w:id="29"/>
      <w:bookmarkEnd w:id="30"/>
      <w:bookmarkEnd w:id="31"/>
      <w:bookmarkEnd w:id="32"/>
    </w:p>
    <w:tbl>
      <w:tblPr>
        <w:tblStyle w:val="117"/>
        <w:tblpPr w:leftFromText="180" w:rightFromText="180" w:vertAnchor="text" w:horzAnchor="margin" w:tblpY="25"/>
        <w:tblW w:w="102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揭榜团队是否满足项目对揭榜方的最低要求：□是   □否 （如否则终止打分）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trPr>
        <w:tc>
          <w:tcPr>
            <w:tcW w:w="42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.对关键性问题描述一般，得6分；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spacing w:val="-3"/>
                <w:kern w:val="0"/>
                <w:szCs w:val="21"/>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spacing w:val="-4"/>
                <w:kern w:val="0"/>
                <w:szCs w:val="21"/>
                <w:highlight w:val="none"/>
              </w:rPr>
              <w:t>3.</w:t>
            </w:r>
            <w:r>
              <w:rPr>
                <w:rFonts w:hint="eastAsia" w:ascii="宋体" w:hAnsi="宋体" w:cs="仿宋" w:eastAsiaTheme="minorEastAsia"/>
                <w:snapToGrid w:val="0"/>
                <w:color w:val="auto"/>
                <w:kern w:val="0"/>
                <w:szCs w:val="21"/>
                <w:highlight w:val="none"/>
              </w:rPr>
              <w:t>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3.优于榜单基本要求，</w:t>
            </w:r>
            <w:r>
              <w:rPr>
                <w:rFonts w:hint="eastAsia" w:ascii="宋体" w:hAnsi="宋体" w:eastAsia="宋体" w:cs="宋体"/>
                <w:snapToGrid w:val="0"/>
                <w:color w:val="auto"/>
                <w:kern w:val="0"/>
                <w:sz w:val="21"/>
                <w:szCs w:val="21"/>
                <w:highlight w:val="none"/>
                <w:lang w:val="en-US" w:eastAsia="zh-CN"/>
              </w:rPr>
              <w:t>能够具有一定影响力</w:t>
            </w:r>
            <w:r>
              <w:rPr>
                <w:rFonts w:hint="eastAsia" w:ascii="宋体" w:hAnsi="宋体" w:eastAsia="宋体" w:cs="宋体"/>
                <w:snapToGrid w:val="0"/>
                <w:color w:val="auto"/>
                <w:kern w:val="0"/>
                <w:sz w:val="21"/>
                <w:szCs w:val="21"/>
                <w:highlight w:val="none"/>
              </w:rPr>
              <w:t>的</w:t>
            </w:r>
            <w:r>
              <w:rPr>
                <w:rFonts w:hint="eastAsia" w:ascii="宋体" w:hAnsi="宋体" w:cs="宋体"/>
                <w:snapToGrid w:val="0"/>
                <w:color w:val="auto"/>
                <w:kern w:val="0"/>
                <w:sz w:val="21"/>
                <w:szCs w:val="21"/>
                <w:highlight w:val="none"/>
                <w:lang w:eastAsia="zh-CN"/>
              </w:rPr>
              <w:t>，</w:t>
            </w:r>
            <w:r>
              <w:rPr>
                <w:rFonts w:hint="eastAsia" w:ascii="宋体" w:hAnsi="宋体" w:cs="仿宋" w:eastAsiaTheme="minorEastAsia"/>
                <w:snapToGrid w:val="0"/>
                <w:color w:val="auto"/>
                <w:kern w:val="0"/>
                <w:szCs w:val="21"/>
                <w:highlight w:val="none"/>
              </w:rPr>
              <w:t>得8-10分；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rPr>
              <w:t>.具备较高的商业化推广价值，能产生社会经济效应的，得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.采用的技术方法一般，得9分；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9-12</w:t>
            </w:r>
            <w:r>
              <w:rPr>
                <w:rFonts w:hint="eastAsia" w:ascii="宋体" w:hAnsi="宋体" w:cs="仿宋" w:eastAsiaTheme="minorEastAsia"/>
                <w:snapToGrid w:val="0"/>
                <w:color w:val="auto"/>
                <w:spacing w:val="-1"/>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3.采用的技术方法适用，具有良好的研发技术条件和基础能力，得</w:t>
            </w:r>
            <w:r>
              <w:rPr>
                <w:rFonts w:hint="eastAsia" w:ascii="宋体" w:hAnsi="宋体" w:cs="Arial" w:eastAsiaTheme="minorEastAsia"/>
                <w:snapToGrid w:val="0"/>
                <w:color w:val="auto"/>
                <w:kern w:val="0"/>
                <w:szCs w:val="21"/>
                <w:highlight w:val="none"/>
              </w:rPr>
              <w:t>12-15</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3.能完全解决关键性问题，得12-15分。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团队研发实施能力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w:t>
            </w:r>
            <w:r>
              <w:rPr>
                <w:rFonts w:hint="eastAsia" w:ascii="宋体" w:hAnsi="宋体" w:cs="仿宋" w:eastAsiaTheme="minorEastAsia"/>
                <w:snapToGrid w:val="0"/>
                <w:color w:val="auto"/>
                <w:spacing w:val="-1"/>
                <w:kern w:val="0"/>
                <w:szCs w:val="21"/>
                <w:highlight w:val="none"/>
              </w:rPr>
              <w:t>军人才</w:t>
            </w:r>
            <w:r>
              <w:rPr>
                <w:rFonts w:hint="eastAsia" w:ascii="宋体" w:hAnsi="宋体" w:cs="仿宋" w:eastAsiaTheme="minorEastAsia"/>
                <w:snapToGrid w:val="0"/>
                <w:color w:val="auto"/>
                <w:kern w:val="0"/>
                <w:szCs w:val="21"/>
                <w:highlight w:val="none"/>
              </w:rPr>
              <w:t>，得8分</w:t>
            </w:r>
            <w:r>
              <w:rPr>
                <w:rFonts w:hint="eastAsia" w:ascii="宋体" w:hAnsi="宋体" w:cs="仿宋" w:eastAsiaTheme="minorEastAsia"/>
                <w:snapToGrid w:val="0"/>
                <w:color w:val="auto"/>
                <w:spacing w:val="-1"/>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4.地方级优秀人才，得7分；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5.其他类别人才，得6分。</w:t>
            </w:r>
            <w:r>
              <w:rPr>
                <w:rFonts w:hint="eastAsia" w:ascii="宋体" w:hAnsi="宋体" w:cs="仿宋" w:eastAsiaTheme="minorEastAsia"/>
                <w:snapToGrid w:val="0"/>
                <w:color w:val="auto"/>
                <w:spacing w:val="-1"/>
                <w:kern w:val="0"/>
                <w:szCs w:val="21"/>
                <w:highlight w:val="none"/>
              </w:rPr>
              <w:t>（人才</w:t>
            </w:r>
            <w:r>
              <w:rPr>
                <w:rFonts w:hint="eastAsia" w:ascii="宋体" w:hAnsi="宋体" w:cs="仿宋" w:eastAsiaTheme="minorEastAsia"/>
                <w:snapToGrid w:val="0"/>
                <w:color w:val="auto"/>
                <w:kern w:val="0"/>
                <w:szCs w:val="21"/>
                <w:highlight w:val="none"/>
              </w:rPr>
              <w:t>划分标准见标注</w:t>
            </w:r>
            <w:r>
              <w:rPr>
                <w:rFonts w:hint="eastAsia" w:ascii="宋体" w:hAnsi="宋体" w:cs="仿宋" w:eastAsiaTheme="minorEastAsia"/>
                <w:snapToGrid w:val="0"/>
                <w:color w:val="auto"/>
                <w:spacing w:val="10"/>
                <w:kern w:val="0"/>
                <w:szCs w:val="21"/>
                <w:highlight w:val="none"/>
              </w:rPr>
              <w:t>）</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团队人员配备基本合理，得9分；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团队人员配备合理，得9-12分；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团队人员配备合理，团队专业齐全，分工明确，得12-15分。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拟承担团队在相关</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领域研发能力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.省级科技创新项目</w:t>
            </w:r>
            <w:r>
              <w:rPr>
                <w:rFonts w:hint="eastAsia" w:ascii="宋体" w:hAnsi="宋体" w:cs="仿宋" w:eastAsiaTheme="minorEastAsia"/>
                <w:snapToGrid w:val="0"/>
                <w:color w:val="auto"/>
                <w:kern w:val="0"/>
                <w:szCs w:val="21"/>
                <w:highlight w:val="none"/>
                <w:lang w:eastAsia="zh-CN"/>
              </w:rPr>
              <w:t>（</w:t>
            </w:r>
            <w:r>
              <w:rPr>
                <w:rFonts w:hint="eastAsia" w:ascii="宋体" w:hAnsi="宋体" w:cs="仿宋" w:eastAsiaTheme="minorEastAsia"/>
                <w:snapToGrid w:val="0"/>
                <w:color w:val="auto"/>
                <w:kern w:val="0"/>
                <w:szCs w:val="21"/>
                <w:highlight w:val="none"/>
                <w:lang w:val="en-US" w:eastAsia="zh-CN"/>
              </w:rPr>
              <w:t>含在施</w:t>
            </w:r>
            <w:r>
              <w:rPr>
                <w:rFonts w:hint="eastAsia" w:ascii="宋体" w:hAnsi="宋体" w:cs="仿宋" w:eastAsiaTheme="minorEastAsia"/>
                <w:snapToGrid w:val="0"/>
                <w:color w:val="auto"/>
                <w:kern w:val="0"/>
                <w:szCs w:val="21"/>
                <w:highlight w:val="none"/>
                <w:lang w:eastAsia="zh-CN"/>
              </w:rPr>
              <w:t>）</w:t>
            </w:r>
            <w:r>
              <w:rPr>
                <w:rFonts w:hint="eastAsia" w:ascii="宋体" w:hAnsi="宋体" w:cs="仿宋" w:eastAsiaTheme="minorEastAsia"/>
                <w:snapToGrid w:val="0"/>
                <w:color w:val="auto"/>
                <w:kern w:val="0"/>
                <w:szCs w:val="21"/>
                <w:highlight w:val="none"/>
              </w:rPr>
              <w:t>或省部级奖项，每有一项得</w:t>
            </w: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.国家级科技创新项目</w:t>
            </w:r>
            <w:r>
              <w:rPr>
                <w:rFonts w:hint="eastAsia" w:ascii="宋体" w:hAnsi="宋体" w:cs="仿宋" w:eastAsiaTheme="minorEastAsia"/>
                <w:snapToGrid w:val="0"/>
                <w:color w:val="auto"/>
                <w:kern w:val="0"/>
                <w:szCs w:val="21"/>
                <w:highlight w:val="none"/>
                <w:lang w:eastAsia="zh-CN"/>
              </w:rPr>
              <w:t>（</w:t>
            </w:r>
            <w:r>
              <w:rPr>
                <w:rFonts w:hint="eastAsia" w:ascii="宋体" w:hAnsi="宋体" w:cs="仿宋" w:eastAsiaTheme="minorEastAsia"/>
                <w:snapToGrid w:val="0"/>
                <w:color w:val="auto"/>
                <w:kern w:val="0"/>
                <w:szCs w:val="21"/>
                <w:highlight w:val="none"/>
                <w:lang w:val="en-US" w:eastAsia="zh-CN"/>
              </w:rPr>
              <w:t>含在施</w:t>
            </w:r>
            <w:r>
              <w:rPr>
                <w:rFonts w:hint="eastAsia" w:ascii="宋体" w:hAnsi="宋体" w:cs="仿宋" w:eastAsiaTheme="minorEastAsia"/>
                <w:snapToGrid w:val="0"/>
                <w:color w:val="auto"/>
                <w:kern w:val="0"/>
                <w:szCs w:val="21"/>
                <w:highlight w:val="none"/>
                <w:lang w:eastAsia="zh-CN"/>
              </w:rPr>
              <w:t>）</w:t>
            </w:r>
            <w:r>
              <w:rPr>
                <w:rFonts w:hint="eastAsia" w:ascii="宋体" w:hAnsi="宋体" w:cs="仿宋" w:eastAsiaTheme="minorEastAsia"/>
                <w:snapToGrid w:val="0"/>
                <w:color w:val="auto"/>
                <w:kern w:val="0"/>
                <w:szCs w:val="21"/>
                <w:highlight w:val="none"/>
              </w:rPr>
              <w:t>或国家级奖项，每有一项得4分；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注：科技创新项目如果获奖的按最高等级计一次分。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653"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注：1、上述各评分项内容在揭榜响应文件中无法明确判定，该项得0分。</w:t>
            </w:r>
            <w:r>
              <w:rPr>
                <w:rFonts w:ascii="宋体" w:hAnsi="宋体" w:cs="仿宋" w:eastAsiaTheme="minorEastAsia"/>
                <w:snapToGrid w:val="0"/>
                <w:color w:val="auto"/>
                <w:kern w:val="0"/>
                <w:szCs w:val="21"/>
                <w:highlight w:val="none"/>
              </w:rPr>
              <w:t xml:space="preserve"> </w:t>
            </w:r>
          </w:p>
        </w:tc>
      </w:tr>
    </w:tbl>
    <w:p>
      <w:pPr>
        <w:autoSpaceDE w:val="0"/>
        <w:autoSpaceDN w:val="0"/>
        <w:spacing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w:t>
      </w:r>
      <w:r>
        <w:rPr>
          <w:rFonts w:hint="eastAsia" w:ascii="宋体" w:hAnsi="宋体" w:cs="黑体"/>
          <w:b/>
          <w:bCs/>
          <w:color w:val="auto"/>
          <w:kern w:val="0"/>
          <w:sz w:val="24"/>
          <w:szCs w:val="24"/>
          <w:highlight w:val="none"/>
          <w:lang w:val="en-US" w:eastAsia="zh-CN"/>
        </w:rPr>
        <w:t>最终</w:t>
      </w:r>
      <w:r>
        <w:rPr>
          <w:rFonts w:hint="eastAsia" w:ascii="宋体" w:hAnsi="宋体" w:cs="黑体"/>
          <w:b/>
          <w:bCs/>
          <w:color w:val="auto"/>
          <w:kern w:val="0"/>
          <w:sz w:val="24"/>
          <w:szCs w:val="24"/>
          <w:highlight w:val="none"/>
        </w:rPr>
        <w:t>评审</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（1）答辩顺序按揭榜现场揭榜人的签到顺序确定，答辩人可以为两人，其中一人应为本项目的项目负责人；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（3）揭榜人代表陈述时间不超过10分钟，答辩人须按照下述打分标准的内容进行答辩。</w:t>
      </w:r>
    </w:p>
    <w:p>
      <w:pPr>
        <w:pStyle w:val="18"/>
        <w:rPr>
          <w:color w:val="auto"/>
          <w:highlight w:val="none"/>
        </w:rPr>
      </w:pPr>
    </w:p>
    <w:p>
      <w:pPr>
        <w:rPr>
          <w:color w:val="auto"/>
          <w:highlight w:val="none"/>
        </w:rPr>
      </w:pPr>
    </w:p>
    <w:p>
      <w:pPr>
        <w:rPr>
          <w:color w:val="auto"/>
          <w:highlight w:val="none"/>
        </w:rPr>
      </w:pPr>
    </w:p>
    <w:tbl>
      <w:tblPr>
        <w:tblStyle w:val="117"/>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pPr>
              <w:widowControl/>
              <w:kinsoku w:val="0"/>
              <w:autoSpaceDE w:val="0"/>
              <w:autoSpaceDN w:val="0"/>
              <w:adjustRightInd w:val="0"/>
              <w:snapToGrid w:val="0"/>
              <w:spacing w:line="288" w:lineRule="auto"/>
              <w:jc w:val="center"/>
              <w:textAlignment w:val="baseline"/>
              <w:rPr>
                <w:rFonts w:hint="default" w:ascii="宋体" w:hAnsi="宋体" w:cs="仿宋" w:eastAsiaTheme="minorEastAsia"/>
                <w:snapToGrid w:val="0"/>
                <w:color w:val="auto"/>
                <w:kern w:val="0"/>
                <w:szCs w:val="21"/>
                <w:highlight w:val="none"/>
                <w:lang w:val="en-US" w:eastAsia="zh-CN"/>
              </w:rPr>
            </w:pPr>
            <w:r>
              <w:rPr>
                <w:rFonts w:hint="eastAsia" w:ascii="宋体" w:hAnsi="宋体" w:cs="仿宋" w:eastAsiaTheme="minorEastAsia"/>
                <w:snapToGrid w:val="0"/>
                <w:color w:val="auto"/>
                <w:kern w:val="0"/>
                <w:szCs w:val="21"/>
                <w:highlight w:val="none"/>
                <w:lang w:val="en-US" w:eastAsia="zh-CN"/>
              </w:rPr>
              <w:t>最终评审</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1.条理基本清晰，重点基本明确，得21分。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3.条理清晰，重点突出，能够体现方案的创新性、市场价值，得28-35分。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lang w:val="en-US" w:eastAsia="zh-CN"/>
              </w:rPr>
              <w:t>0</w:t>
            </w:r>
            <w:r>
              <w:rPr>
                <w:rFonts w:hint="eastAsia" w:ascii="宋体" w:hAnsi="宋体" w:cs="仿宋" w:eastAsiaTheme="minorEastAsia"/>
                <w:snapToGrid w:val="0"/>
                <w:color w:val="auto"/>
                <w:kern w:val="0"/>
                <w:szCs w:val="21"/>
                <w:highlight w:val="none"/>
              </w:rPr>
              <w:t>分）</w:t>
            </w:r>
          </w:p>
        </w:tc>
        <w:tc>
          <w:tcPr>
            <w:tcW w:w="5779" w:type="dxa"/>
            <w:vAlign w:val="center"/>
          </w:tcPr>
          <w:p>
            <w:pPr>
              <w:pStyle w:val="17"/>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1.</w:t>
            </w:r>
            <w:r>
              <w:rPr>
                <w:rFonts w:hint="eastAsia" w:ascii="宋体" w:hAnsi="宋体" w:cs="Arial" w:eastAsiaTheme="minorEastAsia"/>
                <w:color w:val="auto"/>
                <w:szCs w:val="21"/>
                <w:highlight w:val="none"/>
              </w:rPr>
              <w:t>解决路径基本清晰，得</w:t>
            </w:r>
            <w:r>
              <w:rPr>
                <w:rFonts w:hint="eastAsia" w:ascii="宋体" w:hAnsi="宋体" w:cs="Arial" w:eastAsiaTheme="minorEastAsia"/>
                <w:color w:val="auto"/>
                <w:szCs w:val="21"/>
                <w:highlight w:val="none"/>
                <w:lang w:val="en-US" w:eastAsia="zh-CN"/>
              </w:rPr>
              <w:t>18</w:t>
            </w:r>
            <w:r>
              <w:rPr>
                <w:rFonts w:hint="eastAsia" w:ascii="宋体" w:hAnsi="宋体" w:cs="Arial" w:eastAsiaTheme="minorEastAsia"/>
                <w:color w:val="auto"/>
                <w:szCs w:val="21"/>
                <w:highlight w:val="none"/>
              </w:rPr>
              <w:t>分;</w:t>
            </w:r>
          </w:p>
          <w:p>
            <w:pPr>
              <w:pStyle w:val="17"/>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2</w:t>
            </w:r>
            <w:r>
              <w:rPr>
                <w:rFonts w:hint="eastAsia" w:ascii="宋体" w:hAnsi="宋体" w:cs="Arial" w:eastAsiaTheme="minorEastAsia"/>
                <w:color w:val="auto"/>
                <w:szCs w:val="21"/>
                <w:highlight w:val="none"/>
              </w:rPr>
              <w:t>.解决路径较为清晰,能够大致描述关键技术难点的解决策略,得</w:t>
            </w:r>
            <w:r>
              <w:rPr>
                <w:rFonts w:hint="eastAsia" w:ascii="宋体" w:hAnsi="宋体" w:cs="Arial" w:eastAsiaTheme="minorEastAsia"/>
                <w:color w:val="auto"/>
                <w:szCs w:val="21"/>
                <w:highlight w:val="none"/>
                <w:lang w:val="en-US" w:eastAsia="zh-CN"/>
              </w:rPr>
              <w:t>18-24</w:t>
            </w:r>
            <w:r>
              <w:rPr>
                <w:rFonts w:hint="eastAsia" w:ascii="宋体" w:hAnsi="宋体" w:cs="Arial" w:eastAsiaTheme="minorEastAsia"/>
                <w:color w:val="auto"/>
                <w:szCs w:val="21"/>
                <w:highlight w:val="none"/>
              </w:rPr>
              <w:t>分</w:t>
            </w:r>
          </w:p>
          <w:p>
            <w:pPr>
              <w:pStyle w:val="17"/>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.解决路径清晰明确，详尽地描述了关键技术难点、挑战的解决策略，得</w:t>
            </w:r>
            <w:r>
              <w:rPr>
                <w:rFonts w:hint="eastAsia" w:ascii="宋体" w:hAnsi="宋体" w:cs="Arial" w:eastAsiaTheme="minorEastAsia"/>
                <w:color w:val="auto"/>
                <w:szCs w:val="21"/>
                <w:highlight w:val="none"/>
                <w:lang w:val="en-US" w:eastAsia="zh-CN"/>
              </w:rPr>
              <w:t>24-30</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lang w:val="en-US" w:eastAsia="zh-CN"/>
              </w:rPr>
              <w:t>5</w:t>
            </w:r>
            <w:r>
              <w:rPr>
                <w:rFonts w:hint="eastAsia" w:ascii="宋体" w:hAnsi="宋体" w:cs="仿宋" w:eastAsiaTheme="minorEastAsia"/>
                <w:snapToGrid w:val="0"/>
                <w:color w:val="auto"/>
                <w:kern w:val="0"/>
                <w:szCs w:val="21"/>
                <w:highlight w:val="none"/>
              </w:rPr>
              <w:t>分）</w:t>
            </w:r>
          </w:p>
        </w:tc>
        <w:tc>
          <w:tcPr>
            <w:tcW w:w="5779" w:type="dxa"/>
            <w:vAlign w:val="center"/>
          </w:tcPr>
          <w:p>
            <w:pPr>
              <w:pStyle w:val="17"/>
              <w:numPr>
                <w:ilvl w:val="0"/>
                <w:numId w:val="0"/>
              </w:numPr>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kern w:val="2"/>
                <w:sz w:val="21"/>
                <w:szCs w:val="21"/>
                <w:highlight w:val="none"/>
                <w:lang w:val="en-US" w:eastAsia="zh-CN" w:bidi="ar-SA"/>
              </w:rPr>
              <w:t>1.</w:t>
            </w:r>
            <w:r>
              <w:rPr>
                <w:rFonts w:hint="eastAsia" w:ascii="宋体" w:hAnsi="宋体" w:cs="Arial" w:eastAsiaTheme="minorEastAsia"/>
                <w:color w:val="auto"/>
                <w:szCs w:val="21"/>
                <w:highlight w:val="none"/>
              </w:rPr>
              <w:t>实施方案及实施计划基本合理,时间节点和任务分配基本明确,得</w:t>
            </w:r>
            <w:r>
              <w:rPr>
                <w:rFonts w:hint="eastAsia" w:ascii="宋体" w:hAnsi="宋体" w:cs="Arial" w:eastAsiaTheme="minorEastAsia"/>
                <w:color w:val="auto"/>
                <w:szCs w:val="21"/>
                <w:highlight w:val="none"/>
                <w:lang w:val="en-US" w:eastAsia="zh-CN"/>
              </w:rPr>
              <w:t>21</w:t>
            </w:r>
            <w:r>
              <w:rPr>
                <w:rFonts w:hint="eastAsia" w:ascii="宋体" w:hAnsi="宋体" w:cs="Arial" w:eastAsiaTheme="minorEastAsia"/>
                <w:color w:val="auto"/>
                <w:szCs w:val="21"/>
                <w:highlight w:val="none"/>
              </w:rPr>
              <w:t>分;</w:t>
            </w:r>
          </w:p>
          <w:p>
            <w:pPr>
              <w:pStyle w:val="17"/>
              <w:numPr>
                <w:ilvl w:val="0"/>
                <w:numId w:val="0"/>
              </w:numPr>
              <w:spacing w:after="0" w:line="288" w:lineRule="auto"/>
              <w:rPr>
                <w:rFonts w:ascii="宋体" w:hAnsi="宋体" w:cs="Arial" w:eastAsiaTheme="minorEastAsia"/>
                <w:color w:val="auto"/>
                <w:szCs w:val="21"/>
                <w:highlight w:val="none"/>
              </w:rPr>
            </w:pPr>
            <w:r>
              <w:rPr>
                <w:rFonts w:ascii="宋体" w:hAnsi="宋体" w:cs="Arial" w:eastAsiaTheme="minorEastAsia"/>
                <w:color w:val="auto"/>
                <w:kern w:val="2"/>
                <w:sz w:val="21"/>
                <w:szCs w:val="21"/>
                <w:highlight w:val="none"/>
                <w:lang w:val="en-US" w:eastAsia="zh-CN" w:bidi="ar-SA"/>
              </w:rPr>
              <w:t>2.</w:t>
            </w:r>
            <w:r>
              <w:rPr>
                <w:rFonts w:hint="eastAsia" w:ascii="宋体" w:hAnsi="宋体" w:cs="Arial" w:eastAsiaTheme="minorEastAsia"/>
                <w:color w:val="auto"/>
                <w:szCs w:val="21"/>
                <w:highlight w:val="none"/>
              </w:rPr>
              <w:t>实施方案及实施计划比较合理，时间节点和任务分配比较明确，得</w:t>
            </w:r>
            <w:r>
              <w:rPr>
                <w:rFonts w:hint="eastAsia" w:ascii="宋体" w:hAnsi="宋体" w:cs="Arial" w:eastAsiaTheme="minorEastAsia"/>
                <w:color w:val="auto"/>
                <w:szCs w:val="21"/>
                <w:highlight w:val="none"/>
                <w:lang w:val="en-US" w:eastAsia="zh-CN"/>
              </w:rPr>
              <w:t>21-28</w:t>
            </w:r>
            <w:r>
              <w:rPr>
                <w:rFonts w:hint="eastAsia" w:ascii="宋体" w:hAnsi="宋体" w:cs="Arial" w:eastAsiaTheme="minorEastAsia"/>
                <w:color w:val="auto"/>
                <w:szCs w:val="21"/>
                <w:highlight w:val="none"/>
              </w:rPr>
              <w:t>分</w:t>
            </w:r>
            <w:r>
              <w:rPr>
                <w:rFonts w:hint="eastAsia" w:ascii="宋体" w:hAnsi="宋体" w:cs="Arial" w:eastAsiaTheme="minorEastAsia"/>
                <w:color w:val="auto"/>
                <w:szCs w:val="21"/>
                <w:highlight w:val="none"/>
                <w:lang w:eastAsia="zh-CN"/>
              </w:rPr>
              <w:t>；</w:t>
            </w:r>
          </w:p>
          <w:p>
            <w:pPr>
              <w:pStyle w:val="17"/>
              <w:numPr>
                <w:ilvl w:val="0"/>
                <w:numId w:val="0"/>
              </w:numPr>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.实施方案及实施计划合理，时间节点明确，任务分配合理，资源保障充分，得</w:t>
            </w:r>
            <w:r>
              <w:rPr>
                <w:rFonts w:hint="eastAsia" w:ascii="宋体" w:hAnsi="宋体" w:cs="Arial" w:eastAsiaTheme="minorEastAsia"/>
                <w:color w:val="auto"/>
                <w:szCs w:val="21"/>
                <w:highlight w:val="none"/>
                <w:lang w:val="en-US" w:eastAsia="zh-CN"/>
              </w:rPr>
              <w:t>28-35</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val="en-US" w:eastAsia="zh-CN"/>
              </w:rPr>
              <w:t>最终</w:t>
            </w:r>
            <w:r>
              <w:rPr>
                <w:rFonts w:hint="eastAsia" w:ascii="宋体" w:hAnsi="宋体" w:cs="仿宋" w:eastAsiaTheme="minorEastAsia"/>
                <w:snapToGrid w:val="0"/>
                <w:color w:val="auto"/>
                <w:kern w:val="0"/>
                <w:szCs w:val="21"/>
                <w:highlight w:val="none"/>
              </w:rPr>
              <w:t>评审得分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1.评榜价的确定：评榜价＝投标函文字报价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 评榜基准价P=评榜价平均值*评榜基准价系数K。</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 评榜价的偏差率计算公式：偏差率=100%*（评榜价－评榜基准价）/评榜基准价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 评榜价得分计算公式</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其中，E1是评榜价每高于评榜基准价一个百分点的扣分值，E1＝2.0；E2是评榜价每低于评榜基准价一个百分点的扣分值，E2＝1.0。</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3.4揭榜响应文件的澄清和说明</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w:t>
      </w:r>
      <w:r>
        <w:rPr>
          <w:rFonts w:hint="eastAsia" w:ascii="宋体" w:hAnsi="宋体" w:cs="仿宋"/>
          <w:color w:val="auto"/>
          <w:kern w:val="0"/>
          <w:sz w:val="24"/>
          <w:szCs w:val="24"/>
          <w:highlight w:val="none"/>
          <w:lang w:val="en-US" w:eastAsia="zh-CN"/>
        </w:rPr>
        <w:t>最终</w:t>
      </w:r>
      <w:r>
        <w:rPr>
          <w:rFonts w:hint="eastAsia" w:ascii="宋体" w:hAnsi="宋体" w:cs="仿宋"/>
          <w:color w:val="auto"/>
          <w:kern w:val="0"/>
          <w:sz w:val="24"/>
          <w:szCs w:val="24"/>
          <w:highlight w:val="none"/>
        </w:rPr>
        <w:t>评审得分*30%+评榜价评审得分*10%</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（四）揭榜（报名）情况及揭榜响应文件递交情况；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（五）通过资格评审、形式评审和响应性评审的揭榜响应文件名单；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（六）未通过资格评审、形式评审和响应性评审的揭榜响应文件名单及未通过评审的理由；</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w:t>
      </w:r>
      <w:r>
        <w:rPr>
          <w:rFonts w:hint="eastAsia" w:ascii="宋体" w:hAnsi="宋体" w:cs="仿宋"/>
          <w:color w:val="auto"/>
          <w:kern w:val="0"/>
          <w:sz w:val="24"/>
          <w:szCs w:val="24"/>
          <w:highlight w:val="none"/>
          <w:lang w:val="en-US" w:eastAsia="zh-CN"/>
        </w:rPr>
        <w:t>最终评审、评榜价评审</w:t>
      </w:r>
      <w:r>
        <w:rPr>
          <w:rFonts w:hint="eastAsia" w:ascii="宋体" w:hAnsi="宋体" w:cs="仿宋"/>
          <w:color w:val="auto"/>
          <w:kern w:val="0"/>
          <w:sz w:val="24"/>
          <w:szCs w:val="24"/>
          <w:highlight w:val="none"/>
        </w:rPr>
        <w:t>的评分情况；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pPr>
        <w:rPr>
          <w:rFonts w:hint="eastAsia" w:ascii="宋体" w:hAnsi="宋体" w:eastAsia="宋体" w:cs="宋体"/>
          <w:color w:val="auto"/>
          <w:sz w:val="24"/>
          <w:szCs w:val="24"/>
          <w:highlight w:val="none"/>
        </w:rPr>
      </w:pPr>
    </w:p>
    <w:p>
      <w:pPr>
        <w:autoSpaceDE w:val="0"/>
        <w:autoSpaceDN w:val="0"/>
        <w:spacing w:line="360" w:lineRule="auto"/>
        <w:jc w:val="left"/>
        <w:rPr>
          <w:rFonts w:hint="eastAsia" w:ascii="宋体" w:hAnsi="宋体" w:cs="仿宋"/>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p>
    <w:p>
      <w:pPr>
        <w:pStyle w:val="2"/>
        <w:jc w:val="center"/>
        <w:rPr>
          <w:rFonts w:ascii="宋体" w:hAnsi="宋体" w:cs="仿宋"/>
          <w:bCs/>
          <w:color w:val="auto"/>
          <w:sz w:val="28"/>
          <w:szCs w:val="28"/>
          <w:highlight w:val="none"/>
        </w:rPr>
      </w:pPr>
      <w:bookmarkStart w:id="33" w:name="_Toc179632787"/>
      <w:bookmarkStart w:id="34" w:name="_Toc246997081"/>
      <w:bookmarkStart w:id="35" w:name="_Toc247085853"/>
      <w:bookmarkStart w:id="36" w:name="_Toc246996338"/>
      <w:bookmarkStart w:id="37" w:name="_Toc144974578"/>
      <w:bookmarkStart w:id="38" w:name="_Toc152042549"/>
      <w:bookmarkStart w:id="39" w:name="_Toc247514197"/>
      <w:bookmarkStart w:id="40" w:name="_Toc300835199"/>
      <w:bookmarkStart w:id="41" w:name="_Toc152045610"/>
      <w:bookmarkStart w:id="42" w:name="_Toc247527798"/>
      <w:bookmarkStart w:id="43" w:name="_Toc152042388"/>
      <w:bookmarkStart w:id="44" w:name="_Toc144974829"/>
      <w:bookmarkStart w:id="45" w:name="_Toc184635122"/>
    </w:p>
    <w:bookmarkEnd w:id="33"/>
    <w:bookmarkEnd w:id="34"/>
    <w:bookmarkEnd w:id="35"/>
    <w:bookmarkEnd w:id="36"/>
    <w:p>
      <w:pPr>
        <w:pStyle w:val="2"/>
        <w:spacing w:line="240" w:lineRule="auto"/>
        <w:jc w:val="center"/>
        <w:rPr>
          <w:rFonts w:hint="eastAsia" w:ascii="宋体" w:hAnsi="宋体"/>
          <w:color w:val="auto"/>
          <w:sz w:val="32"/>
          <w:szCs w:val="32"/>
          <w:highlight w:val="none"/>
        </w:rPr>
      </w:pPr>
      <w:bookmarkStart w:id="46" w:name="_Toc1551"/>
      <w:bookmarkStart w:id="47" w:name="_Toc24484"/>
      <w:r>
        <w:rPr>
          <w:rFonts w:hint="eastAsia" w:ascii="宋体" w:hAnsi="宋体"/>
          <w:color w:val="auto"/>
          <w:sz w:val="32"/>
          <w:szCs w:val="32"/>
          <w:highlight w:val="none"/>
        </w:rPr>
        <w:t>第</w:t>
      </w:r>
      <w:r>
        <w:rPr>
          <w:rFonts w:hint="eastAsia" w:ascii="宋体" w:hAnsi="宋体"/>
          <w:color w:val="auto"/>
          <w:sz w:val="32"/>
          <w:szCs w:val="32"/>
          <w:highlight w:val="none"/>
          <w:lang w:val="en-US" w:eastAsia="zh-CN"/>
        </w:rPr>
        <w:t>四</w:t>
      </w:r>
      <w:r>
        <w:rPr>
          <w:rFonts w:hint="eastAsia" w:ascii="宋体" w:hAnsi="宋体"/>
          <w:color w:val="auto"/>
          <w:sz w:val="32"/>
          <w:szCs w:val="32"/>
          <w:highlight w:val="none"/>
        </w:rPr>
        <w:t>章揭榜响应文件格式</w:t>
      </w:r>
      <w:bookmarkEnd w:id="46"/>
      <w:bookmarkEnd w:id="47"/>
    </w:p>
    <w:p>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r>
        <w:rPr>
          <w:rFonts w:hint="eastAsia" w:ascii="宋体" w:hAnsi="宋体" w:cs="黑体"/>
          <w:color w:val="auto"/>
          <w:kern w:val="0"/>
          <w:sz w:val="32"/>
          <w:szCs w:val="32"/>
          <w:highlight w:val="none"/>
          <w:u w:val="single"/>
        </w:rPr>
        <w:t xml:space="preserve">            （项目名称）</w:t>
      </w:r>
      <w:r>
        <w:rPr>
          <w:rFonts w:hint="eastAsia" w:ascii="宋体" w:hAnsi="宋体" w:cs="黑体"/>
          <w:color w:val="auto"/>
          <w:kern w:val="0"/>
          <w:sz w:val="32"/>
          <w:szCs w:val="32"/>
          <w:highlight w:val="none"/>
        </w:rPr>
        <w:t>科技创新项目</w:t>
      </w: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仿宋_GB2312"/>
          <w:color w:val="auto"/>
          <w:kern w:val="0"/>
          <w:sz w:val="44"/>
          <w:szCs w:val="44"/>
          <w:highlight w:val="none"/>
          <w:lang w:eastAsia="en-US"/>
        </w:rPr>
      </w:pPr>
      <w:r>
        <w:rPr>
          <w:rFonts w:hint="eastAsia" w:ascii="宋体" w:hAnsi="宋体" w:cs="黑体"/>
          <w:color w:val="auto"/>
          <w:kern w:val="0"/>
          <w:sz w:val="48"/>
          <w:szCs w:val="48"/>
          <w:highlight w:val="none"/>
        </w:rPr>
        <w:t>揭榜响应文件</w:t>
      </w:r>
    </w:p>
    <w:p>
      <w:pPr>
        <w:autoSpaceDE w:val="0"/>
        <w:autoSpaceDN w:val="0"/>
        <w:jc w:val="center"/>
        <w:rPr>
          <w:rFonts w:ascii="宋体" w:hAnsi="宋体" w:cs="仿宋_GB2312"/>
          <w:color w:val="auto"/>
          <w:kern w:val="0"/>
          <w:sz w:val="44"/>
          <w:szCs w:val="44"/>
          <w:highlight w:val="none"/>
          <w:lang w:eastAsia="en-US"/>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spacing w:line="480" w:lineRule="auto"/>
        <w:jc w:val="center"/>
        <w:rPr>
          <w:rFonts w:hint="eastAsia" w:ascii="宋体" w:hAnsi="宋体" w:cs="仿宋_GB2312"/>
          <w:color w:val="auto"/>
          <w:kern w:val="0"/>
          <w:sz w:val="28"/>
          <w:szCs w:val="28"/>
          <w:highlight w:val="none"/>
        </w:rPr>
      </w:pPr>
      <w:r>
        <w:rPr>
          <w:rFonts w:hint="eastAsia" w:ascii="宋体" w:hAnsi="宋体" w:cs="仿宋_GB2312"/>
          <w:color w:val="auto"/>
          <w:kern w:val="0"/>
          <w:sz w:val="28"/>
          <w:szCs w:val="28"/>
          <w:highlight w:val="none"/>
        </w:rPr>
        <w:t>揭榜人：</w:t>
      </w:r>
      <w:r>
        <w:rPr>
          <w:rFonts w:hint="eastAsia" w:ascii="宋体" w:hAnsi="宋体" w:cs="仿宋_GB2312"/>
          <w:color w:val="auto"/>
          <w:kern w:val="0"/>
          <w:sz w:val="28"/>
          <w:szCs w:val="28"/>
          <w:highlight w:val="none"/>
          <w:u w:val="single"/>
        </w:rPr>
        <w:t xml:space="preserve">                </w:t>
      </w:r>
      <w:r>
        <w:rPr>
          <w:rFonts w:hint="eastAsia" w:ascii="宋体" w:hAnsi="宋体" w:cs="仿宋_GB2312"/>
          <w:color w:val="auto"/>
          <w:kern w:val="0"/>
          <w:sz w:val="28"/>
          <w:szCs w:val="28"/>
          <w:highlight w:val="none"/>
        </w:rPr>
        <w:t>（</w:t>
      </w:r>
      <w:r>
        <w:rPr>
          <w:rFonts w:ascii="宋体" w:hAnsi="宋体" w:cs="仿宋_GB2312"/>
          <w:color w:val="auto"/>
          <w:kern w:val="0"/>
          <w:sz w:val="28"/>
          <w:szCs w:val="28"/>
          <w:highlight w:val="none"/>
          <w:lang w:eastAsia="en-US"/>
        </w:rPr>
        <w:t>盖单位章</w:t>
      </w:r>
      <w:r>
        <w:rPr>
          <w:rFonts w:hint="eastAsia" w:ascii="宋体" w:hAnsi="宋体" w:cs="仿宋_GB2312"/>
          <w:color w:val="auto"/>
          <w:kern w:val="0"/>
          <w:sz w:val="28"/>
          <w:szCs w:val="28"/>
          <w:highlight w:val="none"/>
        </w:rPr>
        <w:t>）</w:t>
      </w:r>
    </w:p>
    <w:p>
      <w:pPr>
        <w:spacing w:line="480" w:lineRule="auto"/>
        <w:ind w:firstLine="2100" w:firstLineChars="750"/>
        <w:rPr>
          <w:rFonts w:hint="eastAsia" w:ascii="宋体" w:hAnsi="宋体"/>
          <w:color w:val="auto"/>
          <w:highlight w:val="none"/>
        </w:rPr>
      </w:pPr>
      <w:r>
        <w:rPr>
          <w:rFonts w:hint="eastAsia" w:ascii="宋体" w:hAnsi="宋体" w:cs="仿宋_GB2312"/>
          <w:color w:val="auto"/>
          <w:kern w:val="0"/>
          <w:sz w:val="28"/>
          <w:szCs w:val="28"/>
          <w:highlight w:val="none"/>
        </w:rPr>
        <w:t>时间：  年  月  日</w:t>
      </w:r>
    </w:p>
    <w:p>
      <w:pPr>
        <w:rPr>
          <w:color w:val="auto"/>
          <w:highlight w:val="none"/>
        </w:rPr>
      </w:pPr>
    </w:p>
    <w:p>
      <w:pPr>
        <w:spacing w:line="400" w:lineRule="exact"/>
        <w:rPr>
          <w:rFonts w:ascii="宋体" w:hAnsi="宋体"/>
          <w:color w:val="auto"/>
          <w:highlight w:val="none"/>
        </w:rPr>
      </w:pPr>
    </w:p>
    <w:bookmarkEnd w:id="37"/>
    <w:bookmarkEnd w:id="38"/>
    <w:bookmarkEnd w:id="39"/>
    <w:bookmarkEnd w:id="40"/>
    <w:bookmarkEnd w:id="41"/>
    <w:bookmarkEnd w:id="42"/>
    <w:bookmarkEnd w:id="43"/>
    <w:bookmarkEnd w:id="44"/>
    <w:bookmarkEnd w:id="45"/>
    <w:p>
      <w:pPr>
        <w:pStyle w:val="3"/>
        <w:jc w:val="center"/>
        <w:rPr>
          <w:rFonts w:ascii="宋体" w:hAnsi="宋体" w:eastAsia="宋体"/>
          <w:color w:val="auto"/>
          <w:highlight w:val="none"/>
        </w:rPr>
      </w:pPr>
      <w:bookmarkStart w:id="48" w:name="_Toc15717"/>
      <w:bookmarkStart w:id="49" w:name="_Toc6798"/>
      <w:bookmarkStart w:id="50" w:name="_Toc21190"/>
      <w:bookmarkStart w:id="51" w:name="_Toc492300719"/>
      <w:r>
        <w:rPr>
          <w:rFonts w:ascii="宋体" w:hAnsi="宋体" w:eastAsia="宋体"/>
          <w:color w:val="auto"/>
          <w:highlight w:val="none"/>
        </w:rPr>
        <w:t>目录</w:t>
      </w:r>
      <w:bookmarkEnd w:id="48"/>
      <w:bookmarkEnd w:id="49"/>
      <w:bookmarkEnd w:id="50"/>
      <w:bookmarkEnd w:id="51"/>
    </w:p>
    <w:p>
      <w:pPr>
        <w:spacing w:line="540" w:lineRule="exact"/>
        <w:rPr>
          <w:rFonts w:ascii="宋体" w:hAnsi="宋体"/>
          <w:color w:val="auto"/>
          <w:highlight w:val="none"/>
        </w:rPr>
      </w:pPr>
    </w:p>
    <w:p>
      <w:pPr>
        <w:spacing w:line="720" w:lineRule="auto"/>
        <w:rPr>
          <w:rFonts w:hint="eastAsia" w:ascii="宋体" w:hAnsi="宋体"/>
          <w:color w:val="auto"/>
          <w:sz w:val="24"/>
          <w:szCs w:val="24"/>
          <w:highlight w:val="none"/>
        </w:rPr>
      </w:pPr>
      <w:bookmarkStart w:id="52" w:name="_Toc352691655"/>
      <w:bookmarkStart w:id="53" w:name="_Toc7039"/>
      <w:bookmarkStart w:id="54" w:name="_Toc369531691"/>
      <w:r>
        <w:rPr>
          <w:rFonts w:hint="eastAsia" w:ascii="宋体" w:hAnsi="宋体"/>
          <w:color w:val="auto"/>
          <w:sz w:val="24"/>
          <w:szCs w:val="24"/>
          <w:highlight w:val="none"/>
        </w:rPr>
        <w:t>1.揭榜响应函</w:t>
      </w:r>
    </w:p>
    <w:p>
      <w:pPr>
        <w:spacing w:line="720" w:lineRule="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报价清单</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企业营业执照或事业单位法人证书（复印件加盖公章）</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.项目负责人委托书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.联合体协议书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.揭榜人基本情况</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.技术方案</w:t>
      </w:r>
    </w:p>
    <w:p>
      <w:pPr>
        <w:spacing w:line="720" w:lineRule="auto"/>
        <w:rPr>
          <w:rFonts w:ascii="宋体" w:hAnsi="宋体"/>
          <w:color w:val="auto"/>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.其他材料</w:t>
      </w:r>
    </w:p>
    <w:p>
      <w:pPr>
        <w:spacing w:line="540" w:lineRule="exact"/>
        <w:rPr>
          <w:rFonts w:ascii="宋体" w:hAnsi="宋体"/>
          <w:color w:val="auto"/>
          <w:sz w:val="20"/>
          <w:highlight w:val="none"/>
        </w:rPr>
      </w:pPr>
      <w:r>
        <w:rPr>
          <w:rFonts w:ascii="宋体" w:hAnsi="宋体"/>
          <w:color w:val="auto"/>
          <w:highlight w:val="none"/>
        </w:rPr>
        <w:br w:type="page"/>
      </w:r>
    </w:p>
    <w:bookmarkEnd w:id="52"/>
    <w:bookmarkEnd w:id="53"/>
    <w:bookmarkEnd w:id="54"/>
    <w:p>
      <w:pPr>
        <w:pStyle w:val="3"/>
        <w:jc w:val="center"/>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55" w:name="_Toc22611"/>
      <w:bookmarkStart w:id="56" w:name="_Toc492300723"/>
      <w:bookmarkStart w:id="57" w:name="_Toc18048"/>
    </w:p>
    <w:p>
      <w:pPr>
        <w:pStyle w:val="3"/>
        <w:jc w:val="center"/>
        <w:rPr>
          <w:rFonts w:hint="eastAsia" w:ascii="宋体" w:hAnsi="宋体" w:eastAsia="宋体"/>
          <w:color w:val="auto"/>
          <w:highlight w:val="none"/>
        </w:rPr>
      </w:pPr>
      <w:bookmarkStart w:id="58" w:name="_Toc26569"/>
      <w:r>
        <w:rPr>
          <w:rFonts w:hint="eastAsia" w:ascii="宋体" w:hAnsi="宋体" w:eastAsia="宋体"/>
          <w:color w:val="auto"/>
          <w:highlight w:val="none"/>
        </w:rPr>
        <w:t>1</w:t>
      </w:r>
      <w:r>
        <w:rPr>
          <w:rFonts w:ascii="宋体" w:hAnsi="宋体" w:eastAsia="宋体"/>
          <w:color w:val="auto"/>
          <w:highlight w:val="none"/>
        </w:rPr>
        <w:t>、</w:t>
      </w:r>
      <w:r>
        <w:rPr>
          <w:rFonts w:hint="eastAsia" w:ascii="宋体" w:hAnsi="宋体" w:eastAsia="宋体"/>
          <w:color w:val="auto"/>
          <w:highlight w:val="none"/>
        </w:rPr>
        <w:t>响应函</w:t>
      </w:r>
      <w:bookmarkEnd w:id="58"/>
    </w:p>
    <w:p>
      <w:pPr>
        <w:rPr>
          <w:rFonts w:hint="eastAsia"/>
          <w:color w:val="auto"/>
          <w:highlight w:val="none"/>
        </w:rPr>
      </w:pPr>
    </w:p>
    <w:p>
      <w:pPr>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pStyle w:val="17"/>
        <w:rPr>
          <w:color w:val="auto"/>
          <w:highlight w:val="none"/>
        </w:rPr>
      </w:pPr>
    </w:p>
    <w:p>
      <w:pPr>
        <w:numPr>
          <w:ilvl w:val="0"/>
          <w:numId w:val="1"/>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揭榜指南文件的全部内容，愿意以人民币（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的揭榜报价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其中自带资金比例为40%</w:t>
      </w:r>
      <w:r>
        <w:rPr>
          <w:rFonts w:hint="eastAsia" w:ascii="宋体" w:hAnsi="宋体"/>
          <w:color w:val="auto"/>
          <w:sz w:val="24"/>
          <w:szCs w:val="24"/>
          <w:highlight w:val="none"/>
        </w:rPr>
        <w:t>，按合同约定完成本项目。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pPr>
        <w:spacing w:line="360" w:lineRule="auto"/>
        <w:ind w:firstLine="2700" w:firstLineChars="1125"/>
        <w:rPr>
          <w:rFonts w:ascii="宋体" w:hAnsi="宋体"/>
          <w:color w:val="auto"/>
          <w:sz w:val="24"/>
          <w:szCs w:val="24"/>
          <w:highlight w:val="none"/>
        </w:rPr>
      </w:pPr>
    </w:p>
    <w:p>
      <w:pPr>
        <w:spacing w:line="360" w:lineRule="auto"/>
        <w:ind w:firstLine="2700" w:firstLineChars="1125"/>
        <w:rPr>
          <w:rFonts w:ascii="宋体" w:hAnsi="宋体"/>
          <w:color w:val="auto"/>
          <w:sz w:val="24"/>
          <w:szCs w:val="24"/>
          <w:highlight w:val="none"/>
        </w:rPr>
      </w:pPr>
    </w:p>
    <w:p>
      <w:pPr>
        <w:spacing w:line="360" w:lineRule="auto"/>
        <w:ind w:firstLine="3960" w:firstLineChars="1650"/>
        <w:rPr>
          <w:rFonts w:ascii="宋体" w:hAnsi="宋体"/>
          <w:color w:val="auto"/>
          <w:sz w:val="24"/>
          <w:szCs w:val="18"/>
          <w:highlight w:val="none"/>
          <w:u w:val="none"/>
        </w:rPr>
      </w:pPr>
      <w:r>
        <w:rPr>
          <w:rFonts w:hint="eastAsia" w:ascii="宋体" w:hAnsi="宋体"/>
          <w:color w:val="auto"/>
          <w:sz w:val="24"/>
          <w:szCs w:val="24"/>
          <w:highlight w:val="none"/>
          <w:u w:val="none"/>
        </w:rPr>
        <w:t>揭榜人：</w:t>
      </w:r>
      <w:r>
        <w:rPr>
          <w:rFonts w:hint="eastAsia" w:ascii="宋体" w:hAnsi="宋体"/>
          <w:color w:val="auto"/>
          <w:sz w:val="24"/>
          <w:szCs w:val="24"/>
          <w:highlight w:val="none"/>
          <w:u w:val="single"/>
          <w:lang w:val="en-US" w:eastAsia="zh-CN"/>
        </w:rPr>
        <w:t xml:space="preserve">                      </w:t>
      </w:r>
      <w:r>
        <w:rPr>
          <w:rFonts w:ascii="宋体" w:hAnsi="宋体"/>
          <w:color w:val="auto"/>
          <w:spacing w:val="3"/>
          <w:kern w:val="0"/>
          <w:sz w:val="24"/>
          <w:szCs w:val="18"/>
          <w:highlight w:val="none"/>
          <w:u w:val="none"/>
        </w:rPr>
        <w:t xml:space="preserve"> (</w:t>
      </w:r>
      <w:r>
        <w:rPr>
          <w:rFonts w:hint="eastAsia" w:ascii="宋体" w:hAnsi="宋体"/>
          <w:color w:val="auto"/>
          <w:spacing w:val="3"/>
          <w:kern w:val="0"/>
          <w:sz w:val="24"/>
          <w:szCs w:val="18"/>
          <w:highlight w:val="none"/>
          <w:u w:val="none"/>
        </w:rPr>
        <w:t>盖单位章</w:t>
      </w:r>
      <w:r>
        <w:rPr>
          <w:rFonts w:ascii="宋体" w:hAnsi="宋体"/>
          <w:color w:val="auto"/>
          <w:spacing w:val="2"/>
          <w:kern w:val="0"/>
          <w:sz w:val="24"/>
          <w:szCs w:val="18"/>
          <w:highlight w:val="none"/>
          <w:u w:val="none"/>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lang w:val="en-US" w:eastAsia="zh-CN"/>
        </w:rPr>
        <w:t>项目负责人</w:t>
      </w:r>
      <w:r>
        <w:rPr>
          <w:rFonts w:hint="eastAsia" w:ascii="宋体" w:hAnsi="宋体"/>
          <w:color w:val="auto"/>
          <w:sz w:val="24"/>
          <w:szCs w:val="24"/>
          <w:highlight w:val="none"/>
          <w:u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（签字）</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地址：</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rPr>
        <w:t>电话：</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传真：</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u w:val="none"/>
        </w:rPr>
        <w:t xml:space="preserve">      </w:t>
      </w:r>
    </w:p>
    <w:p>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lang w:val="en-US" w:eastAsia="zh-CN"/>
        </w:rPr>
        <w:t xml:space="preserve">                        </w:t>
      </w:r>
    </w:p>
    <w:p>
      <w:pPr>
        <w:wordWrap w:val="0"/>
        <w:spacing w:line="360" w:lineRule="auto"/>
        <w:ind w:firstLine="6345" w:firstLineChars="2644"/>
        <w:jc w:val="right"/>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日 </w:t>
      </w:r>
    </w:p>
    <w:p>
      <w:pPr>
        <w:spacing w:after="120" w:line="360" w:lineRule="auto"/>
        <w:rPr>
          <w:rFonts w:ascii="宋体" w:hAnsi="宋体"/>
          <w:color w:val="auto"/>
          <w:szCs w:val="21"/>
          <w:highlight w:val="none"/>
        </w:rPr>
      </w:pPr>
    </w:p>
    <w:p>
      <w:pPr>
        <w:pStyle w:val="17"/>
        <w:rPr>
          <w:color w:val="auto"/>
          <w:highlight w:val="none"/>
        </w:rPr>
        <w:sectPr>
          <w:pgSz w:w="12240" w:h="15840"/>
          <w:pgMar w:top="1418" w:right="1418" w:bottom="1418" w:left="1418" w:header="720" w:footer="720" w:gutter="0"/>
          <w:cols w:space="720" w:num="1"/>
          <w:docGrid w:linePitch="285" w:charSpace="0"/>
        </w:sectPr>
      </w:pPr>
      <w:r>
        <w:rPr>
          <w:rFonts w:hint="eastAsia" w:ascii="宋体" w:hAnsi="宋体"/>
          <w:b/>
          <w:color w:val="auto"/>
          <w:szCs w:val="21"/>
          <w:highlight w:val="none"/>
        </w:rPr>
        <w:t>注：以联合体形式揭榜的，本响应函由联合体牵头人出具。</w:t>
      </w:r>
    </w:p>
    <w:p>
      <w:pPr>
        <w:pStyle w:val="3"/>
        <w:jc w:val="center"/>
        <w:rPr>
          <w:rFonts w:ascii="宋体" w:hAnsi="宋体" w:eastAsia="宋体"/>
          <w:color w:val="auto"/>
          <w:highlight w:val="none"/>
        </w:rPr>
      </w:pPr>
      <w:bookmarkStart w:id="59" w:name="_Toc20384"/>
      <w:bookmarkStart w:id="60" w:name="_Toc166486149"/>
      <w:bookmarkStart w:id="61" w:name="_Toc21063"/>
      <w:r>
        <w:rPr>
          <w:rFonts w:hint="eastAsia" w:ascii="宋体" w:hAnsi="宋体" w:eastAsia="宋体"/>
          <w:color w:val="auto"/>
          <w:highlight w:val="none"/>
        </w:rPr>
        <w:t>2、报价清单表</w:t>
      </w:r>
      <w:bookmarkEnd w:id="59"/>
      <w:bookmarkEnd w:id="60"/>
      <w:bookmarkEnd w:id="61"/>
      <w:r>
        <w:rPr>
          <w:rFonts w:hint="eastAsia" w:ascii="宋体" w:hAnsi="宋体" w:eastAsia="宋体"/>
          <w:color w:val="auto"/>
          <w:highlight w:val="none"/>
        </w:rPr>
        <w:t xml:space="preserve"> </w:t>
      </w:r>
    </w:p>
    <w:p>
      <w:pPr>
        <w:widowControl/>
        <w:jc w:val="righ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货币单位：人民币元</w:t>
      </w:r>
    </w:p>
    <w:p>
      <w:pPr>
        <w:widowControl/>
        <w:jc w:val="right"/>
        <w:rPr>
          <w:color w:val="auto"/>
          <w:highlight w:val="none"/>
        </w:rPr>
      </w:pPr>
      <w:r>
        <w:rPr>
          <w:rFonts w:hint="eastAsia" w:ascii="宋体" w:hAnsi="宋体" w:cs="宋体"/>
          <w:color w:val="auto"/>
          <w:kern w:val="0"/>
          <w:szCs w:val="21"/>
          <w:highlight w:val="none"/>
          <w:lang w:bidi="ar"/>
        </w:rPr>
        <w:t xml:space="preserve">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30" w:type="dxa"/>
            <w:vAlign w:val="center"/>
          </w:tcPr>
          <w:p>
            <w:pPr>
              <w:widowControl/>
              <w:jc w:val="center"/>
              <w:rPr>
                <w:b/>
                <w:bCs/>
                <w:color w:val="auto"/>
                <w:highlight w:val="none"/>
              </w:rPr>
            </w:pPr>
            <w:r>
              <w:rPr>
                <w:rFonts w:hint="eastAsia" w:ascii="宋体" w:hAnsi="宋体" w:cs="宋体"/>
                <w:b/>
                <w:bCs/>
                <w:color w:val="auto"/>
                <w:kern w:val="0"/>
                <w:szCs w:val="21"/>
                <w:highlight w:val="none"/>
                <w:lang w:bidi="ar"/>
              </w:rPr>
              <w:t>序号</w:t>
            </w:r>
          </w:p>
          <w:p>
            <w:pPr>
              <w:widowControl/>
              <w:jc w:val="center"/>
              <w:rPr>
                <w:rFonts w:ascii="宋体" w:hAnsi="宋体" w:cs="宋体"/>
                <w:b/>
                <w:bCs/>
                <w:color w:val="auto"/>
                <w:kern w:val="0"/>
                <w:szCs w:val="21"/>
                <w:highlight w:val="none"/>
                <w:lang w:bidi="ar"/>
              </w:rPr>
            </w:pPr>
          </w:p>
        </w:tc>
        <w:tc>
          <w:tcPr>
            <w:tcW w:w="4059" w:type="dxa"/>
            <w:vAlign w:val="center"/>
          </w:tcPr>
          <w:p>
            <w:pPr>
              <w:widowControl/>
              <w:jc w:val="center"/>
              <w:rPr>
                <w:b/>
                <w:bCs/>
                <w:color w:val="auto"/>
                <w:highlight w:val="none"/>
              </w:rPr>
            </w:pPr>
            <w:r>
              <w:rPr>
                <w:rFonts w:hint="eastAsia" w:ascii="宋体" w:hAnsi="宋体" w:cs="宋体"/>
                <w:b/>
                <w:bCs/>
                <w:color w:val="auto"/>
                <w:kern w:val="0"/>
                <w:szCs w:val="21"/>
                <w:highlight w:val="none"/>
                <w:lang w:bidi="ar"/>
              </w:rPr>
              <w:t>报价项目</w:t>
            </w:r>
          </w:p>
          <w:p>
            <w:pPr>
              <w:widowControl/>
              <w:jc w:val="center"/>
              <w:rPr>
                <w:rFonts w:ascii="宋体" w:hAnsi="宋体" w:cs="宋体"/>
                <w:b/>
                <w:bCs/>
                <w:color w:val="auto"/>
                <w:kern w:val="0"/>
                <w:szCs w:val="21"/>
                <w:highlight w:val="none"/>
                <w:lang w:bidi="ar"/>
              </w:rPr>
            </w:pPr>
          </w:p>
        </w:tc>
        <w:tc>
          <w:tcPr>
            <w:tcW w:w="2395" w:type="dxa"/>
            <w:vAlign w:val="center"/>
          </w:tcPr>
          <w:p>
            <w:pPr>
              <w:widowControl/>
              <w:jc w:val="center"/>
              <w:rPr>
                <w:b/>
                <w:bCs/>
                <w:color w:val="auto"/>
                <w:highlight w:val="none"/>
              </w:rPr>
            </w:pPr>
            <w:r>
              <w:rPr>
                <w:rFonts w:hint="eastAsia" w:ascii="宋体" w:hAnsi="宋体" w:cs="宋体"/>
                <w:b/>
                <w:bCs/>
                <w:color w:val="auto"/>
                <w:kern w:val="0"/>
                <w:szCs w:val="21"/>
                <w:highlight w:val="none"/>
                <w:lang w:bidi="ar"/>
              </w:rPr>
              <w:t>报价（元）</w:t>
            </w:r>
          </w:p>
          <w:p>
            <w:pPr>
              <w:widowControl/>
              <w:jc w:val="center"/>
              <w:rPr>
                <w:rFonts w:ascii="宋体" w:hAnsi="宋体" w:cs="宋体"/>
                <w:b/>
                <w:bCs/>
                <w:color w:val="auto"/>
                <w:kern w:val="0"/>
                <w:szCs w:val="21"/>
                <w:highlight w:val="none"/>
                <w:lang w:bidi="ar"/>
              </w:rPr>
            </w:pPr>
          </w:p>
        </w:tc>
        <w:tc>
          <w:tcPr>
            <w:tcW w:w="2395" w:type="dxa"/>
            <w:vAlign w:val="center"/>
          </w:tcPr>
          <w:p>
            <w:pPr>
              <w:widowControl/>
              <w:jc w:val="center"/>
              <w:rPr>
                <w:b/>
                <w:bCs/>
                <w:color w:val="auto"/>
                <w:highlight w:val="none"/>
              </w:rPr>
            </w:pPr>
            <w:r>
              <w:rPr>
                <w:rFonts w:hint="eastAsia" w:ascii="宋体" w:hAnsi="宋体" w:cs="宋体"/>
                <w:b/>
                <w:bCs/>
                <w:color w:val="auto"/>
                <w:kern w:val="0"/>
                <w:szCs w:val="21"/>
                <w:highlight w:val="none"/>
                <w:lang w:bidi="ar"/>
              </w:rPr>
              <w:t>备注</w:t>
            </w:r>
          </w:p>
          <w:p>
            <w:pPr>
              <w:widowControl/>
              <w:jc w:val="center"/>
              <w:rPr>
                <w:rFonts w:ascii="宋体" w:hAnsi="宋体" w:cs="宋体"/>
                <w:b/>
                <w:bCs/>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4059"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059" w:type="dxa"/>
            <w:vAlign w:val="center"/>
          </w:tcPr>
          <w:p>
            <w:pPr>
              <w:widowControl/>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 xml:space="preserve"> </w:t>
            </w: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059"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059"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4059"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pPr>
              <w:widowControl/>
              <w:jc w:val="center"/>
              <w:rPr>
                <w:color w:val="auto"/>
                <w:highlight w:val="none"/>
              </w:rPr>
            </w:pPr>
            <w:r>
              <w:rPr>
                <w:rFonts w:hint="eastAsia" w:ascii="宋体" w:hAnsi="宋体" w:cs="宋体"/>
                <w:color w:val="auto"/>
                <w:kern w:val="0"/>
                <w:szCs w:val="21"/>
                <w:highlight w:val="none"/>
                <w:lang w:bidi="ar"/>
              </w:rPr>
              <w:t>报价合计</w:t>
            </w:r>
          </w:p>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bl>
    <w:p>
      <w:pPr>
        <w:rPr>
          <w:rFonts w:hint="default"/>
          <w:color w:val="auto"/>
          <w:highlight w:val="none"/>
          <w:lang w:val="en-US" w:eastAsia="zh-CN"/>
        </w:rPr>
      </w:pPr>
      <w:r>
        <w:rPr>
          <w:rFonts w:hint="eastAsia" w:ascii="宋体" w:hAnsi="宋体" w:cs="宋体"/>
          <w:b/>
          <w:bCs/>
          <w:color w:val="auto"/>
          <w:kern w:val="0"/>
          <w:sz w:val="21"/>
          <w:szCs w:val="21"/>
          <w:highlight w:val="none"/>
          <w:lang w:val="en-US" w:eastAsia="zh-CN" w:bidi="ar"/>
        </w:rPr>
        <w:t>注：报价包括该研发本项目人员费用、设备费用、材料费用、试验、差旅费用、保险费用、管理、税金、评审费、会务费等研发本项目所发生的全部费用。</w:t>
      </w: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3"/>
        <w:jc w:val="center"/>
        <w:rPr>
          <w:rFonts w:hint="eastAsia" w:ascii="宋体" w:hAnsi="宋体" w:eastAsia="宋体"/>
          <w:color w:val="auto"/>
          <w:highlight w:val="none"/>
          <w:lang w:val="en-US" w:eastAsia="zh-CN"/>
        </w:rPr>
      </w:pPr>
    </w:p>
    <w:p>
      <w:pPr>
        <w:pStyle w:val="3"/>
        <w:jc w:val="center"/>
        <w:rPr>
          <w:rFonts w:ascii="宋体" w:hAnsi="宋体" w:eastAsia="宋体"/>
          <w:color w:val="auto"/>
          <w:highlight w:val="none"/>
        </w:rPr>
      </w:pPr>
      <w:bookmarkStart w:id="62" w:name="_Toc6773"/>
      <w:r>
        <w:rPr>
          <w:rFonts w:hint="eastAsia" w:ascii="宋体" w:hAnsi="宋体" w:eastAsia="宋体"/>
          <w:color w:val="auto"/>
          <w:highlight w:val="none"/>
          <w:lang w:val="en-US" w:eastAsia="zh-CN"/>
        </w:rPr>
        <w:t>3</w:t>
      </w:r>
      <w:r>
        <w:rPr>
          <w:rFonts w:ascii="宋体" w:hAnsi="宋体" w:eastAsia="宋体"/>
          <w:color w:val="auto"/>
          <w:highlight w:val="none"/>
        </w:rPr>
        <w:t>、</w:t>
      </w:r>
      <w:r>
        <w:rPr>
          <w:rFonts w:hint="eastAsia" w:ascii="宋体" w:hAnsi="宋体" w:eastAsia="宋体"/>
          <w:color w:val="auto"/>
          <w:highlight w:val="none"/>
        </w:rPr>
        <w:t>企业营业执照或事业单位法人证书</w:t>
      </w:r>
      <w:bookmarkEnd w:id="55"/>
      <w:bookmarkEnd w:id="56"/>
      <w:bookmarkEnd w:id="57"/>
      <w:r>
        <w:rPr>
          <w:rFonts w:hint="eastAsia" w:ascii="宋体" w:hAnsi="宋体" w:eastAsia="宋体"/>
          <w:color w:val="auto"/>
          <w:highlight w:val="none"/>
        </w:rPr>
        <w:t>（复印件加盖公章）</w:t>
      </w:r>
      <w:bookmarkEnd w:id="62"/>
    </w:p>
    <w:p>
      <w:pPr>
        <w:spacing w:line="440" w:lineRule="exact"/>
        <w:jc w:val="center"/>
        <w:rPr>
          <w:rFonts w:ascii="宋体" w:hAnsi="宋体"/>
          <w:color w:val="auto"/>
          <w:highlight w:val="none"/>
        </w:rPr>
      </w:pPr>
      <w:r>
        <w:rPr>
          <w:rFonts w:hint="eastAsia" w:ascii="宋体" w:hAnsi="宋体"/>
          <w:b/>
          <w:color w:val="auto"/>
          <w:szCs w:val="21"/>
          <w:highlight w:val="none"/>
        </w:rPr>
        <w:t>注：以联合体形式揭榜的，联合体各成员应分别提供。</w:t>
      </w:r>
    </w:p>
    <w:p>
      <w:pPr>
        <w:spacing w:line="480" w:lineRule="auto"/>
        <w:ind w:firstLine="2851" w:firstLineChars="1358"/>
        <w:rPr>
          <w:rFonts w:ascii="宋体" w:hAnsi="宋体"/>
          <w:color w:val="auto"/>
          <w:highlight w:val="none"/>
        </w:rPr>
      </w:pPr>
    </w:p>
    <w:p>
      <w:pPr>
        <w:spacing w:line="440" w:lineRule="exact"/>
        <w:rPr>
          <w:rFonts w:ascii="宋体" w:hAnsi="宋体"/>
          <w:color w:val="auto"/>
          <w:sz w:val="20"/>
          <w:highlight w:val="none"/>
        </w:rPr>
      </w:pPr>
    </w:p>
    <w:p>
      <w:pPr>
        <w:spacing w:line="440" w:lineRule="exact"/>
        <w:jc w:val="center"/>
        <w:rPr>
          <w:rFonts w:ascii="宋体" w:hAnsi="宋体"/>
          <w:color w:val="auto"/>
          <w:sz w:val="20"/>
          <w:highlight w:val="none"/>
        </w:rPr>
      </w:pPr>
      <w:r>
        <w:rPr>
          <w:rFonts w:ascii="宋体" w:hAnsi="宋体"/>
          <w:color w:val="auto"/>
          <w:sz w:val="20"/>
          <w:highlight w:val="none"/>
        </w:rPr>
        <w:br w:type="page"/>
      </w:r>
    </w:p>
    <w:p>
      <w:pPr>
        <w:pStyle w:val="3"/>
        <w:jc w:val="center"/>
        <w:rPr>
          <w:rFonts w:ascii="宋体" w:hAnsi="宋体" w:eastAsia="宋体"/>
          <w:color w:val="auto"/>
          <w:highlight w:val="none"/>
        </w:rPr>
      </w:pPr>
      <w:bookmarkStart w:id="63" w:name="_Toc8217"/>
      <w:bookmarkStart w:id="64" w:name="_Toc27549"/>
      <w:bookmarkStart w:id="65" w:name="_Toc492300724"/>
      <w:bookmarkStart w:id="66" w:name="_Toc23438"/>
      <w:r>
        <w:rPr>
          <w:rFonts w:hint="eastAsia" w:ascii="宋体" w:hAnsi="宋体" w:eastAsia="宋体"/>
          <w:color w:val="auto"/>
          <w:highlight w:val="none"/>
          <w:lang w:val="en-US" w:eastAsia="zh-CN"/>
        </w:rPr>
        <w:t>4</w:t>
      </w:r>
      <w:r>
        <w:rPr>
          <w:rFonts w:ascii="宋体" w:hAnsi="宋体" w:eastAsia="宋体"/>
          <w:color w:val="auto"/>
          <w:highlight w:val="none"/>
        </w:rPr>
        <w:t>、</w:t>
      </w:r>
      <w:r>
        <w:rPr>
          <w:rFonts w:hint="eastAsia" w:ascii="宋体" w:hAnsi="宋体" w:eastAsia="宋体"/>
          <w:color w:val="auto"/>
          <w:highlight w:val="none"/>
        </w:rPr>
        <w:t>项目负责人</w:t>
      </w:r>
      <w:r>
        <w:rPr>
          <w:rFonts w:ascii="宋体" w:hAnsi="宋体" w:eastAsia="宋体"/>
          <w:color w:val="auto"/>
          <w:highlight w:val="none"/>
        </w:rPr>
        <w:t>委托书</w:t>
      </w:r>
      <w:bookmarkEnd w:id="63"/>
      <w:bookmarkEnd w:id="64"/>
      <w:bookmarkEnd w:id="65"/>
      <w:bookmarkEnd w:id="66"/>
    </w:p>
    <w:p>
      <w:pPr>
        <w:spacing w:line="440" w:lineRule="exact"/>
        <w:rPr>
          <w:rFonts w:ascii="宋体" w:hAnsi="宋体"/>
          <w:color w:val="auto"/>
          <w:highlight w:val="none"/>
        </w:rPr>
      </w:pPr>
    </w:p>
    <w:p>
      <w:pPr>
        <w:autoSpaceDE w:val="0"/>
        <w:autoSpaceDN w:val="0"/>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揭榜人（或者</w:t>
      </w:r>
      <w:r>
        <w:rPr>
          <w:rFonts w:hint="eastAsia" w:ascii="宋体" w:hAnsi="宋体" w:cs="宋体"/>
          <w:color w:val="auto"/>
          <w:kern w:val="0"/>
          <w:sz w:val="24"/>
          <w:szCs w:val="24"/>
          <w:highlight w:val="none"/>
        </w:rPr>
        <w:t>牵头人及成员单位名称</w:t>
      </w:r>
      <w:r>
        <w:rPr>
          <w:rFonts w:hint="eastAsia" w:ascii="宋体" w:hAnsi="宋体"/>
          <w:color w:val="auto"/>
          <w:sz w:val="24"/>
          <w:szCs w:val="24"/>
          <w:highlight w:val="none"/>
        </w:rPr>
        <w:t>）</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s="宋体"/>
          <w:color w:val="auto"/>
          <w:kern w:val="0"/>
          <w:sz w:val="24"/>
          <w:szCs w:val="24"/>
          <w:highlight w:val="none"/>
        </w:rPr>
        <w:t>现委托</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kern w:val="0"/>
          <w:sz w:val="24"/>
          <w:szCs w:val="24"/>
          <w:highlight w:val="none"/>
        </w:rPr>
        <w:t>（姓名）为我方参与</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项目</w:t>
      </w:r>
      <w:r>
        <w:rPr>
          <w:rFonts w:hint="eastAsia" w:ascii="宋体" w:hAnsi="宋体" w:cs="宋体"/>
          <w:color w:val="auto"/>
          <w:kern w:val="0"/>
          <w:sz w:val="24"/>
          <w:szCs w:val="24"/>
          <w:highlight w:val="none"/>
        </w:rPr>
        <w:t>的项目负责人</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根据授权</w:t>
      </w:r>
      <w:r>
        <w:rPr>
          <w:rFonts w:hint="eastAsia" w:ascii="宋体" w:hAnsi="宋体"/>
          <w:color w:val="auto"/>
          <w:sz w:val="24"/>
          <w:szCs w:val="24"/>
          <w:highlight w:val="none"/>
          <w:lang w:val="en-US" w:eastAsia="zh-CN"/>
        </w:rPr>
        <w:t>具有以下权利：</w:t>
      </w:r>
    </w:p>
    <w:p>
      <w:pPr>
        <w:numPr>
          <w:ilvl w:val="0"/>
          <w:numId w:val="2"/>
        </w:num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揭榜响应文件、签订合同和处理有关事宜，其法律后果由我方承担。</w:t>
      </w:r>
    </w:p>
    <w:p>
      <w:pPr>
        <w:numPr>
          <w:ilvl w:val="0"/>
          <w:numId w:val="2"/>
        </w:numPr>
        <w:autoSpaceDE w:val="0"/>
        <w:autoSpaceDN w:val="0"/>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委托期限：自本委托书签署之日起至</w:t>
      </w:r>
      <w:r>
        <w:rPr>
          <w:rFonts w:hint="eastAsia" w:ascii="宋体" w:hAnsi="宋体"/>
          <w:color w:val="auto"/>
          <w:sz w:val="24"/>
          <w:szCs w:val="24"/>
          <w:highlight w:val="none"/>
          <w:lang w:val="en-US" w:eastAsia="zh-CN"/>
        </w:rPr>
        <w:t>履约完成止</w:t>
      </w:r>
      <w:r>
        <w:rPr>
          <w:rFonts w:hint="eastAsia" w:ascii="宋体" w:hAnsi="宋体"/>
          <w:color w:val="auto"/>
          <w:sz w:val="24"/>
          <w:szCs w:val="24"/>
          <w:highlight w:val="none"/>
        </w:rPr>
        <w:t>。</w:t>
      </w:r>
    </w:p>
    <w:p>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无转委托权。</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附：法定代表人</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企业负责人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身份证复印件及</w:t>
      </w: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身份证复印件。</w:t>
      </w:r>
    </w:p>
    <w:p>
      <w:pPr>
        <w:autoSpaceDE w:val="0"/>
        <w:autoSpaceDN w:val="0"/>
        <w:spacing w:line="360" w:lineRule="auto"/>
        <w:ind w:firstLine="200"/>
        <w:jc w:val="left"/>
        <w:rPr>
          <w:rFonts w:ascii="宋体" w:hAnsi="宋体"/>
          <w:color w:val="auto"/>
          <w:highlight w:val="none"/>
        </w:rPr>
      </w:pPr>
      <w:r>
        <w:rPr>
          <w:rFonts w:hint="eastAsia" w:ascii="宋体" w:hAnsi="宋体" w:cs="宋体"/>
          <w:color w:val="auto"/>
          <w:kern w:val="0"/>
          <w:sz w:val="24"/>
          <w:szCs w:val="24"/>
          <w:highlight w:val="none"/>
        </w:rPr>
        <w:t xml:space="preserve">  附：项目负责人身份证复印件。</w:t>
      </w:r>
    </w:p>
    <w:p>
      <w:pPr>
        <w:keepNext w:val="0"/>
        <w:keepLines w:val="0"/>
        <w:pageBreakBefore w:val="0"/>
        <w:widowControl w:val="0"/>
        <w:kinsoku/>
        <w:wordWrap/>
        <w:overflowPunct/>
        <w:topLinePunct w:val="0"/>
        <w:bidi w:val="0"/>
        <w:adjustRightInd/>
        <w:snapToGrid/>
        <w:spacing w:line="360" w:lineRule="auto"/>
        <w:textAlignment w:val="auto"/>
        <w:rPr>
          <w:rFonts w:ascii="宋体" w:hAnsi="宋体"/>
          <w:color w:val="auto"/>
          <w:highlight w:val="none"/>
        </w:rPr>
      </w:pP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u w:val="single"/>
        </w:rPr>
      </w:pPr>
      <w:r>
        <w:rPr>
          <w:rFonts w:hint="eastAsia" w:ascii="宋体" w:hAnsi="宋体"/>
          <w:color w:val="auto"/>
          <w:sz w:val="24"/>
          <w:szCs w:val="24"/>
          <w:highlight w:val="none"/>
        </w:rPr>
        <w:t>揭榜</w:t>
      </w:r>
      <w:r>
        <w:rPr>
          <w:rFonts w:hint="eastAsia" w:ascii="宋体" w:hAnsi="宋体" w:cs="宋体"/>
          <w:color w:val="auto"/>
          <w:kern w:val="0"/>
          <w:sz w:val="24"/>
          <w:szCs w:val="24"/>
          <w:highlight w:val="none"/>
        </w:rPr>
        <w:t>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3076" w:firstLineChars="1282"/>
        <w:jc w:val="right"/>
        <w:textAlignment w:val="auto"/>
        <w:rPr>
          <w:rFonts w:hint="eastAsia" w:ascii="宋体" w:hAnsi="宋体" w:cs="宋体"/>
          <w:color w:val="auto"/>
          <w:kern w:val="0"/>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keepNext w:val="0"/>
        <w:keepLines w:val="0"/>
        <w:pageBreakBefore w:val="0"/>
        <w:widowControl w:val="0"/>
        <w:kinsoku/>
        <w:wordWrap/>
        <w:overflowPunct/>
        <w:topLinePunct w:val="0"/>
        <w:bidi w:val="0"/>
        <w:adjustRightInd/>
        <w:snapToGrid/>
        <w:spacing w:line="360" w:lineRule="auto"/>
        <w:ind w:firstLine="3130" w:firstLineChars="1299"/>
        <w:textAlignment w:val="auto"/>
        <w:rPr>
          <w:rFonts w:hint="eastAsia" w:ascii="宋体" w:hAnsi="宋体"/>
          <w:b/>
          <w:bCs/>
          <w:color w:val="auto"/>
          <w:sz w:val="24"/>
          <w:szCs w:val="24"/>
          <w:highlight w:val="none"/>
        </w:rPr>
      </w:pPr>
      <w:r>
        <w:rPr>
          <w:rFonts w:hint="eastAsia" w:ascii="宋体" w:hAnsi="宋体" w:cs="宋体"/>
          <w:b/>
          <w:bCs/>
          <w:color w:val="auto"/>
          <w:kern w:val="0"/>
          <w:sz w:val="24"/>
          <w:szCs w:val="24"/>
          <w:highlight w:val="none"/>
        </w:rPr>
        <w:t>注：以联合体形式揭榜的，需按以下格式签字、盖章：</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s="宋体"/>
          <w:color w:val="auto"/>
          <w:kern w:val="0"/>
          <w:sz w:val="24"/>
          <w:szCs w:val="24"/>
          <w:highlight w:val="none"/>
          <w:lang w:val="en-US" w:eastAsia="zh-CN"/>
        </w:rPr>
        <w:t>联合体</w:t>
      </w:r>
      <w:r>
        <w:rPr>
          <w:rFonts w:hint="eastAsia" w:ascii="宋体" w:hAnsi="宋体" w:cs="宋体"/>
          <w:color w:val="auto"/>
          <w:kern w:val="0"/>
          <w:sz w:val="24"/>
          <w:szCs w:val="24"/>
          <w:highlight w:val="none"/>
        </w:rPr>
        <w:t>牵头人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360" w:lineRule="auto"/>
        <w:ind w:firstLine="3117" w:firstLineChars="1299"/>
        <w:jc w:val="left"/>
        <w:textAlignment w:val="auto"/>
        <w:rPr>
          <w:color w:val="auto"/>
          <w:highlight w:val="none"/>
        </w:rPr>
      </w:pPr>
      <w:r>
        <w:rPr>
          <w:rFonts w:hint="eastAsia" w:ascii="宋体" w:hAnsi="宋体" w:cs="宋体"/>
          <w:color w:val="auto"/>
          <w:kern w:val="0"/>
          <w:sz w:val="24"/>
          <w:szCs w:val="24"/>
          <w:highlight w:val="none"/>
        </w:rPr>
        <w:t>成员单位名称：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（盖单位章）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pPr>
        <w:wordWrap w:val="0"/>
        <w:spacing w:line="480" w:lineRule="auto"/>
        <w:ind w:firstLine="4636" w:firstLineChars="1932"/>
        <w:jc w:val="right"/>
        <w:rPr>
          <w:rFonts w:ascii="宋体" w:hAnsi="宋体"/>
          <w:color w:val="auto"/>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spacing w:line="480" w:lineRule="auto"/>
        <w:ind w:firstLine="3117" w:firstLineChars="1299"/>
        <w:rPr>
          <w:rFonts w:hint="eastAsia" w:ascii="宋体" w:hAnsi="宋体" w:cs="宋体"/>
          <w:color w:val="auto"/>
          <w:kern w:val="0"/>
          <w:sz w:val="24"/>
          <w:szCs w:val="24"/>
          <w:highlight w:val="none"/>
        </w:rPr>
      </w:pPr>
    </w:p>
    <w:p>
      <w:pPr>
        <w:pStyle w:val="3"/>
        <w:spacing w:after="0"/>
        <w:jc w:val="center"/>
        <w:rPr>
          <w:rFonts w:ascii="宋体" w:hAnsi="宋体" w:eastAsia="宋体"/>
          <w:color w:val="auto"/>
          <w:highlight w:val="none"/>
        </w:rPr>
      </w:pPr>
      <w:bookmarkStart w:id="67" w:name="_Toc21811"/>
      <w:bookmarkStart w:id="68" w:name="_Toc24585"/>
      <w:bookmarkStart w:id="69" w:name="_Toc26021"/>
      <w:bookmarkStart w:id="70" w:name="_Toc492300728"/>
      <w:bookmarkStart w:id="71" w:name="_Toc361508760"/>
      <w:r>
        <w:rPr>
          <w:rFonts w:hint="eastAsia" w:ascii="宋体" w:hAnsi="宋体" w:eastAsia="宋体"/>
          <w:color w:val="auto"/>
          <w:highlight w:val="none"/>
          <w:lang w:val="en-US" w:eastAsia="zh-CN"/>
        </w:rPr>
        <w:t>5</w:t>
      </w:r>
      <w:r>
        <w:rPr>
          <w:rFonts w:ascii="宋体" w:hAnsi="宋体" w:eastAsia="宋体"/>
          <w:color w:val="auto"/>
          <w:highlight w:val="none"/>
        </w:rPr>
        <w:t>、</w:t>
      </w:r>
      <w:r>
        <w:rPr>
          <w:rFonts w:hint="eastAsia" w:ascii="宋体" w:hAnsi="宋体" w:eastAsia="宋体"/>
          <w:color w:val="auto"/>
          <w:highlight w:val="none"/>
        </w:rPr>
        <w:t>联合体协议书</w:t>
      </w:r>
      <w:bookmarkEnd w:id="67"/>
    </w:p>
    <w:p>
      <w:pPr>
        <w:rPr>
          <w:color w:val="auto"/>
          <w:highlight w:val="none"/>
        </w:rPr>
      </w:pP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（所有成员单位名称）自愿组成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（联合体名称）联合体，共同参加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（项目名称）科技创新项目“揭榜挂帅”的揭榜响应。现就联合体揭榜事宜订立如下协议。</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（某成员单位名称）为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（联合体名称）牵头人。</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3、联合体将严格按照榜单的各项要求，递交揭榜响应文件，履行合同，并对外承担连带责任。</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4、联合体各成员单位内部的职责分工如下：</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5、本协议书自签署之日起生效，合同履行完毕后自动失效。 </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6、本协议书一式</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份，联合体成员和</w:t>
      </w:r>
      <w:r>
        <w:rPr>
          <w:rFonts w:hint="eastAsia" w:ascii="宋体" w:hAnsi="宋体" w:cs="宋体"/>
          <w:color w:val="auto"/>
          <w:kern w:val="0"/>
          <w:sz w:val="24"/>
          <w:szCs w:val="24"/>
          <w:highlight w:val="none"/>
          <w:lang w:eastAsia="zh-CN"/>
        </w:rPr>
        <w:t>用户单位</w:t>
      </w:r>
      <w:r>
        <w:rPr>
          <w:rFonts w:hint="eastAsia" w:ascii="宋体" w:hAnsi="宋体" w:cs="宋体"/>
          <w:color w:val="auto"/>
          <w:kern w:val="0"/>
          <w:sz w:val="24"/>
          <w:szCs w:val="24"/>
          <w:highlight w:val="none"/>
        </w:rPr>
        <w:t>各执一份。</w:t>
      </w:r>
    </w:p>
    <w:p>
      <w:pPr>
        <w:autoSpaceDE w:val="0"/>
        <w:autoSpaceDN w:val="0"/>
        <w:spacing w:line="360" w:lineRule="auto"/>
        <w:ind w:firstLine="480" w:firstLineChars="200"/>
        <w:jc w:val="left"/>
        <w:rPr>
          <w:rFonts w:ascii="宋体" w:hAnsi="宋体" w:cs="宋体"/>
          <w:color w:val="auto"/>
          <w:kern w:val="0"/>
          <w:sz w:val="24"/>
          <w:szCs w:val="24"/>
          <w:highlight w:val="none"/>
        </w:rPr>
      </w:pP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注：本协议书由委托代理人签字的，应附法定代表人签字的授权委托书。</w:t>
      </w:r>
    </w:p>
    <w:p>
      <w:pPr>
        <w:autoSpaceDE w:val="0"/>
        <w:autoSpaceDN w:val="0"/>
        <w:spacing w:line="360" w:lineRule="auto"/>
        <w:jc w:val="left"/>
        <w:rPr>
          <w:rFonts w:ascii="宋体" w:hAnsi="宋体" w:cs="宋体"/>
          <w:color w:val="auto"/>
          <w:kern w:val="0"/>
          <w:sz w:val="24"/>
          <w:szCs w:val="24"/>
          <w:highlight w:val="none"/>
        </w:rPr>
      </w:pP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480" w:lineRule="auto"/>
        <w:ind w:firstLine="480" w:firstLineChars="200"/>
        <w:jc w:val="left"/>
        <w:rPr>
          <w:rFonts w:ascii="宋体" w:hAnsi="宋体" w:cs="宋体"/>
          <w:color w:val="auto"/>
          <w:kern w:val="0"/>
          <w:sz w:val="24"/>
          <w:szCs w:val="24"/>
          <w:highlight w:val="none"/>
        </w:rPr>
      </w:pP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360" w:lineRule="auto"/>
        <w:jc w:val="left"/>
        <w:rPr>
          <w:color w:val="auto"/>
          <w:highlight w:val="none"/>
        </w:rPr>
        <w:sectPr>
          <w:pgSz w:w="12240" w:h="15840"/>
          <w:pgMar w:top="1418" w:right="1418" w:bottom="1418" w:left="1418" w:header="720" w:footer="720" w:gutter="0"/>
          <w:cols w:space="720" w:num="1"/>
          <w:docGrid w:linePitch="285" w:charSpace="0"/>
        </w:sect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pStyle w:val="3"/>
        <w:spacing w:after="0"/>
        <w:jc w:val="center"/>
        <w:rPr>
          <w:rFonts w:ascii="宋体" w:hAnsi="宋体" w:eastAsia="宋体"/>
          <w:color w:val="auto"/>
          <w:highlight w:val="none"/>
        </w:rPr>
      </w:pPr>
      <w:bookmarkStart w:id="72" w:name="_Toc14980"/>
      <w:r>
        <w:rPr>
          <w:rFonts w:hint="eastAsia" w:ascii="宋体" w:hAnsi="宋体" w:eastAsia="宋体"/>
          <w:color w:val="auto"/>
          <w:highlight w:val="none"/>
          <w:lang w:val="en-US" w:eastAsia="zh-CN"/>
        </w:rPr>
        <w:t>6</w:t>
      </w:r>
      <w:r>
        <w:rPr>
          <w:rFonts w:ascii="宋体" w:hAnsi="宋体" w:eastAsia="宋体"/>
          <w:color w:val="auto"/>
          <w:highlight w:val="none"/>
        </w:rPr>
        <w:t>、</w:t>
      </w:r>
      <w:bookmarkEnd w:id="68"/>
      <w:bookmarkEnd w:id="69"/>
      <w:bookmarkEnd w:id="70"/>
      <w:r>
        <w:rPr>
          <w:rFonts w:hint="eastAsia" w:ascii="宋体" w:hAnsi="宋体" w:eastAsia="宋体"/>
          <w:color w:val="auto"/>
          <w:highlight w:val="none"/>
        </w:rPr>
        <w:t>揭榜人基本情况</w:t>
      </w:r>
      <w:bookmarkEnd w:id="72"/>
    </w:p>
    <w:p>
      <w:pPr>
        <w:pStyle w:val="4"/>
        <w:spacing w:before="20" w:after="0"/>
        <w:ind w:firstLine="137"/>
        <w:rPr>
          <w:rFonts w:ascii="宋体" w:hAnsi="宋体" w:eastAsia="宋体"/>
          <w:color w:val="auto"/>
          <w:highlight w:val="none"/>
        </w:rPr>
      </w:pPr>
      <w:bookmarkStart w:id="73" w:name="_Toc492300729"/>
      <w:bookmarkStart w:id="74" w:name="_Toc28405"/>
      <w:bookmarkStart w:id="75" w:name="_Toc27394"/>
      <w:bookmarkStart w:id="76" w:name="_Toc14502"/>
      <w:r>
        <w:rPr>
          <w:rFonts w:ascii="宋体" w:hAnsi="宋体" w:eastAsia="宋体"/>
          <w:color w:val="auto"/>
          <w:highlight w:val="none"/>
        </w:rPr>
        <w:t>（一）</w:t>
      </w:r>
      <w:bookmarkEnd w:id="73"/>
      <w:bookmarkEnd w:id="74"/>
      <w:bookmarkEnd w:id="75"/>
      <w:r>
        <w:rPr>
          <w:rFonts w:hint="eastAsia" w:ascii="宋体" w:hAnsi="宋体" w:eastAsia="宋体"/>
          <w:color w:val="auto"/>
          <w:highlight w:val="none"/>
        </w:rPr>
        <w:t>项目团队组成</w:t>
      </w:r>
      <w:bookmarkEnd w:id="76"/>
    </w:p>
    <w:tbl>
      <w:tblPr>
        <w:tblStyle w:val="41"/>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4"/>
        <w:gridCol w:w="1633"/>
        <w:gridCol w:w="168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本项目拟担任</w:t>
            </w:r>
            <w:r>
              <w:rPr>
                <w:rFonts w:ascii="宋体" w:hAnsi="宋体" w:cs="仿宋_GB2312"/>
                <w:color w:val="auto"/>
                <w:kern w:val="0"/>
                <w:szCs w:val="21"/>
                <w:highlight w:val="none"/>
                <w:lang w:eastAsia="en-US"/>
              </w:rPr>
              <w:t>职务</w:t>
            </w: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姓名</w:t>
            </w:r>
          </w:p>
        </w:tc>
        <w:tc>
          <w:tcPr>
            <w:tcW w:w="1180" w:type="pct"/>
            <w:vAlign w:val="center"/>
          </w:tcPr>
          <w:p>
            <w:pPr>
              <w:autoSpaceDE w:val="0"/>
              <w:autoSpaceDN w:val="0"/>
              <w:spacing w:line="4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单位</w:t>
            </w:r>
          </w:p>
        </w:tc>
        <w:tc>
          <w:tcPr>
            <w:tcW w:w="798" w:type="pct"/>
            <w:vAlign w:val="center"/>
          </w:tcPr>
          <w:p>
            <w:pPr>
              <w:autoSpaceDE w:val="0"/>
              <w:autoSpaceDN w:val="0"/>
              <w:spacing w:line="440" w:lineRule="exact"/>
              <w:jc w:val="center"/>
              <w:rPr>
                <w:rFonts w:ascii="宋体" w:hAnsi="宋体" w:cs="仿宋_GB2312"/>
                <w:color w:val="auto"/>
                <w:kern w:val="0"/>
                <w:szCs w:val="21"/>
                <w:highlight w:val="none"/>
              </w:rPr>
            </w:pPr>
            <w:r>
              <w:rPr>
                <w:rFonts w:ascii="宋体" w:hAnsi="宋体" w:cs="仿宋_GB2312"/>
                <w:color w:val="auto"/>
                <w:kern w:val="0"/>
                <w:szCs w:val="21"/>
                <w:highlight w:val="none"/>
                <w:lang w:eastAsia="en-US"/>
              </w:rPr>
              <w:t>职称</w:t>
            </w: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专业</w:t>
            </w: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bl>
    <w:p>
      <w:pPr>
        <w:spacing w:line="400" w:lineRule="exact"/>
        <w:rPr>
          <w:rFonts w:ascii="宋体" w:hAnsi="宋体" w:cs="宋体"/>
          <w:color w:val="auto"/>
          <w:highlight w:val="none"/>
        </w:rPr>
      </w:pPr>
      <w:r>
        <w:rPr>
          <w:rFonts w:hint="eastAsia" w:ascii="宋体" w:hAnsi="宋体" w:cs="宋体"/>
          <w:color w:val="auto"/>
          <w:sz w:val="20"/>
          <w:highlight w:val="none"/>
        </w:rPr>
        <w:t>注：“职务”是指在项目团队中拟任职务，如“项目负责人”、“专业负责人”、“主研人员”等。</w:t>
      </w:r>
    </w:p>
    <w:p>
      <w:pPr>
        <w:spacing w:line="440" w:lineRule="exact"/>
        <w:rPr>
          <w:rFonts w:ascii="宋体" w:hAnsi="宋体"/>
          <w:color w:val="auto"/>
          <w:highlight w:val="none"/>
          <w:u w:val="single"/>
        </w:rPr>
      </w:pPr>
    </w:p>
    <w:p>
      <w:pPr>
        <w:pStyle w:val="4"/>
        <w:ind w:firstLine="137"/>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77" w:name="_Toc29290"/>
      <w:bookmarkStart w:id="78" w:name="_Toc24383"/>
      <w:bookmarkStart w:id="79" w:name="_Toc492300730"/>
      <w:bookmarkStart w:id="80" w:name="_Toc16883"/>
    </w:p>
    <w:p>
      <w:pPr>
        <w:pStyle w:val="4"/>
        <w:ind w:firstLine="137"/>
        <w:rPr>
          <w:rFonts w:ascii="宋体" w:hAnsi="宋体" w:eastAsia="宋体"/>
          <w:color w:val="auto"/>
          <w:highlight w:val="none"/>
        </w:rPr>
      </w:pPr>
      <w:bookmarkStart w:id="81" w:name="_Toc16432"/>
      <w:r>
        <w:rPr>
          <w:rFonts w:ascii="宋体" w:hAnsi="宋体" w:eastAsia="宋体"/>
          <w:color w:val="auto"/>
          <w:highlight w:val="none"/>
        </w:rPr>
        <w:t>（二）</w:t>
      </w:r>
      <w:bookmarkEnd w:id="77"/>
      <w:bookmarkEnd w:id="78"/>
      <w:bookmarkEnd w:id="79"/>
      <w:bookmarkEnd w:id="80"/>
      <w:r>
        <w:rPr>
          <w:rFonts w:hint="eastAsia" w:ascii="宋体" w:hAnsi="宋体" w:eastAsia="宋体"/>
          <w:color w:val="auto"/>
          <w:highlight w:val="none"/>
        </w:rPr>
        <w:t>主要人员简历表</w:t>
      </w:r>
      <w:bookmarkEnd w:id="81"/>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1.“主要人员”是指“项目负责人”、“专业负责人”及在本项目的“主研人员”。</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2.“主要人员”应附身份证、职称证、学历证，人才类别有效证明（国内外顶尖人才、国家级领军人才、地方级领军人才、地方级优秀人才、其他类别人才）。</w:t>
      </w:r>
    </w:p>
    <w:p>
      <w:pPr>
        <w:spacing w:line="360" w:lineRule="auto"/>
        <w:ind w:firstLine="400" w:firstLineChars="200"/>
        <w:rPr>
          <w:color w:val="auto"/>
          <w:highlight w:val="none"/>
        </w:rPr>
      </w:pPr>
      <w:r>
        <w:rPr>
          <w:rFonts w:hint="eastAsia" w:ascii="宋体" w:hAnsi="宋体"/>
          <w:color w:val="auto"/>
          <w:sz w:val="20"/>
          <w:szCs w:val="20"/>
          <w:highlight w:val="none"/>
        </w:rPr>
        <w:t>3.</w:t>
      </w:r>
      <w:r>
        <w:rPr>
          <w:rFonts w:hint="eastAsia"/>
          <w:color w:val="auto"/>
          <w:highlight w:val="none"/>
          <w:lang w:eastAsia="zh-CN"/>
        </w:rPr>
        <w:t>“</w:t>
      </w:r>
      <w:r>
        <w:rPr>
          <w:rFonts w:hint="eastAsia" w:ascii="宋体" w:hAnsi="宋体"/>
          <w:color w:val="auto"/>
          <w:sz w:val="20"/>
          <w:szCs w:val="20"/>
          <w:highlight w:val="none"/>
        </w:rPr>
        <w:t>主要人员</w:t>
      </w:r>
      <w:r>
        <w:rPr>
          <w:rFonts w:hint="eastAsia"/>
          <w:color w:val="auto"/>
          <w:highlight w:val="none"/>
          <w:lang w:eastAsia="zh-CN"/>
        </w:rPr>
        <w:t>”</w:t>
      </w:r>
      <w:r>
        <w:rPr>
          <w:rFonts w:hint="eastAsia" w:ascii="宋体" w:hAnsi="宋体"/>
          <w:color w:val="auto"/>
          <w:sz w:val="20"/>
          <w:szCs w:val="20"/>
          <w:highlight w:val="none"/>
        </w:rPr>
        <w:t>作为项目负责人或主研人员</w:t>
      </w:r>
      <w:r>
        <w:rPr>
          <w:rFonts w:hint="eastAsia" w:ascii="宋体" w:hAnsi="宋体"/>
          <w:color w:val="auto"/>
          <w:sz w:val="20"/>
          <w:szCs w:val="20"/>
          <w:highlight w:val="none"/>
          <w:lang w:val="en-US" w:eastAsia="zh-CN"/>
        </w:rPr>
        <w:t>如</w:t>
      </w:r>
      <w:r>
        <w:rPr>
          <w:rFonts w:hint="eastAsia" w:ascii="宋体" w:hAnsi="宋体"/>
          <w:color w:val="auto"/>
          <w:sz w:val="20"/>
          <w:szCs w:val="20"/>
          <w:highlight w:val="none"/>
        </w:rPr>
        <w:t>参与过的类似科技创新项目</w:t>
      </w:r>
      <w:r>
        <w:rPr>
          <w:rFonts w:hint="eastAsia" w:ascii="宋体" w:hAnsi="宋体"/>
          <w:color w:val="auto"/>
          <w:sz w:val="20"/>
          <w:szCs w:val="20"/>
          <w:highlight w:val="none"/>
          <w:lang w:eastAsia="zh-CN"/>
        </w:rPr>
        <w:t>（</w:t>
      </w:r>
      <w:r>
        <w:rPr>
          <w:rFonts w:hint="eastAsia" w:ascii="宋体" w:hAnsi="宋体"/>
          <w:color w:val="auto"/>
          <w:sz w:val="20"/>
          <w:szCs w:val="20"/>
          <w:highlight w:val="none"/>
          <w:lang w:val="en-US" w:eastAsia="zh-CN"/>
        </w:rPr>
        <w:t>课题</w:t>
      </w:r>
      <w:r>
        <w:rPr>
          <w:rFonts w:hint="eastAsia" w:ascii="宋体" w:hAnsi="宋体"/>
          <w:color w:val="auto"/>
          <w:sz w:val="20"/>
          <w:szCs w:val="20"/>
          <w:highlight w:val="none"/>
          <w:lang w:eastAsia="zh-CN"/>
        </w:rPr>
        <w:t>），</w:t>
      </w:r>
      <w:r>
        <w:rPr>
          <w:rFonts w:hint="eastAsia" w:ascii="宋体" w:hAnsi="宋体"/>
          <w:color w:val="auto"/>
          <w:sz w:val="20"/>
          <w:szCs w:val="20"/>
          <w:highlight w:val="none"/>
          <w:lang w:val="en-US" w:eastAsia="zh-CN"/>
        </w:rPr>
        <w:t>可</w:t>
      </w:r>
      <w:r>
        <w:rPr>
          <w:rFonts w:hint="eastAsia" w:ascii="宋体" w:hAnsi="宋体"/>
          <w:color w:val="auto"/>
          <w:sz w:val="20"/>
          <w:szCs w:val="20"/>
          <w:highlight w:val="none"/>
        </w:rPr>
        <w:t>附合同协议书</w:t>
      </w:r>
      <w:r>
        <w:rPr>
          <w:rFonts w:hint="eastAsia" w:ascii="宋体" w:hAnsi="宋体"/>
          <w:color w:val="auto"/>
          <w:sz w:val="20"/>
          <w:szCs w:val="20"/>
          <w:highlight w:val="none"/>
          <w:lang w:val="en-US" w:eastAsia="zh-CN"/>
        </w:rPr>
        <w:t>或任务书</w:t>
      </w:r>
      <w:r>
        <w:rPr>
          <w:rFonts w:hint="eastAsia" w:ascii="宋体" w:hAnsi="宋体"/>
          <w:color w:val="auto"/>
          <w:sz w:val="20"/>
          <w:szCs w:val="20"/>
          <w:highlight w:val="none"/>
        </w:rPr>
        <w:t>复印件（本响应文件复印件均指彩色扫描输出件，下同）、项目鉴定证书复印件、项目获奖证书复印件。</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  名</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 龄</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学历</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称</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务</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拟在本合同任职</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毕业学校</w:t>
            </w:r>
          </w:p>
        </w:tc>
        <w:tc>
          <w:tcPr>
            <w:tcW w:w="7336" w:type="dxa"/>
            <w:gridSpan w:val="8"/>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人才类别：                             （按人才类别标准填写最高人才类别）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时  间</w:t>
            </w:r>
          </w:p>
        </w:tc>
        <w:tc>
          <w:tcPr>
            <w:tcW w:w="3420" w:type="dxa"/>
            <w:gridSpan w:val="4"/>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参加过的类似项目</w:t>
            </w:r>
          </w:p>
        </w:tc>
        <w:tc>
          <w:tcPr>
            <w:tcW w:w="1261"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担任职务</w:t>
            </w:r>
          </w:p>
        </w:tc>
        <w:tc>
          <w:tcPr>
            <w:tcW w:w="2296" w:type="dxa"/>
            <w:gridSpan w:val="2"/>
            <w:vAlign w:val="center"/>
          </w:tcPr>
          <w:p>
            <w:pPr>
              <w:autoSpaceDE w:val="0"/>
              <w:autoSpaceDN w:val="0"/>
              <w:spacing w:line="288" w:lineRule="auto"/>
              <w:ind w:firstLine="630" w:firstLineChars="30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bl>
    <w:p>
      <w:pPr>
        <w:spacing w:line="440" w:lineRule="exact"/>
        <w:rPr>
          <w:rFonts w:ascii="宋体" w:hAnsi="宋体"/>
          <w:color w:val="auto"/>
          <w:highlight w:val="none"/>
        </w:rPr>
      </w:pPr>
    </w:p>
    <w:p>
      <w:pPr>
        <w:spacing w:line="440" w:lineRule="exact"/>
        <w:rPr>
          <w:rFonts w:ascii="宋体" w:hAnsi="宋体"/>
          <w:color w:val="auto"/>
          <w:highlight w:val="none"/>
        </w:rPr>
      </w:pPr>
    </w:p>
    <w:p>
      <w:pPr>
        <w:pageBreakBefore/>
        <w:tabs>
          <w:tab w:val="left" w:pos="1283"/>
          <w:tab w:val="left" w:pos="1922"/>
        </w:tabs>
        <w:autoSpaceDE w:val="0"/>
        <w:autoSpaceDN w:val="0"/>
        <w:spacing w:line="360" w:lineRule="auto"/>
        <w:ind w:firstLine="480" w:firstLineChars="200"/>
        <w:jc w:val="left"/>
        <w:rPr>
          <w:rFonts w:ascii="宋体" w:hAnsi="宋体" w:cs="楷体"/>
          <w:color w:val="auto"/>
          <w:sz w:val="24"/>
          <w:szCs w:val="24"/>
          <w:highlight w:val="none"/>
        </w:rPr>
      </w:pPr>
      <w:r>
        <w:rPr>
          <w:rFonts w:hint="eastAsia" w:ascii="宋体" w:hAnsi="宋体" w:cs="楷体"/>
          <w:color w:val="auto"/>
          <w:sz w:val="24"/>
          <w:szCs w:val="24"/>
          <w:highlight w:val="none"/>
        </w:rPr>
        <w:t>人才类别标准</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pPr>
        <w:topLinePunct/>
        <w:spacing w:line="360" w:lineRule="auto"/>
        <w:ind w:firstLine="480" w:firstLineChars="200"/>
        <w:rPr>
          <w:rFonts w:ascii="宋体" w:hAnsi="宋体"/>
          <w:color w:val="auto"/>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r>
        <w:rPr>
          <w:rFonts w:ascii="宋体" w:hAnsi="宋体"/>
          <w:color w:val="auto"/>
          <w:highlight w:val="none"/>
        </w:rPr>
        <w:br w:type="page"/>
      </w:r>
    </w:p>
    <w:p>
      <w:pPr>
        <w:pStyle w:val="4"/>
        <w:ind w:firstLine="137"/>
        <w:jc w:val="center"/>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三</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揭榜人</w:t>
      </w:r>
      <w:r>
        <w:rPr>
          <w:rFonts w:hint="eastAsia" w:ascii="宋体" w:hAnsi="宋体" w:eastAsia="宋体" w:cs="Times New Roman"/>
          <w:color w:val="auto"/>
          <w:highlight w:val="none"/>
        </w:rPr>
        <w:t>投资参股的关联企业情况表</w:t>
      </w:r>
    </w:p>
    <w:tbl>
      <w:tblPr>
        <w:tblStyle w:val="4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30" w:hRule="atLeast"/>
          <w:jc w:val="center"/>
        </w:trPr>
        <w:tc>
          <w:tcPr>
            <w:tcW w:w="8945" w:type="dxa"/>
          </w:tcPr>
          <w:p>
            <w:pPr>
              <w:adjustRightInd w:val="0"/>
              <w:snapToGrid w:val="0"/>
              <w:spacing w:line="480" w:lineRule="auto"/>
              <w:ind w:firstLine="322"/>
              <w:rPr>
                <w:rFonts w:ascii="宋体" w:hAnsi="宋体"/>
                <w:sz w:val="24"/>
                <w:highlight w:val="none"/>
              </w:rPr>
            </w:pPr>
          </w:p>
          <w:p>
            <w:pPr>
              <w:adjustRightInd w:val="0"/>
              <w:snapToGrid w:val="0"/>
              <w:spacing w:line="480" w:lineRule="auto"/>
              <w:ind w:firstLine="322"/>
              <w:rPr>
                <w:rFonts w:ascii="宋体" w:hAnsi="宋体"/>
                <w:sz w:val="24"/>
                <w:highlight w:val="none"/>
              </w:rPr>
            </w:pPr>
            <w:r>
              <w:rPr>
                <w:rFonts w:hint="eastAsia" w:ascii="宋体" w:hAnsi="宋体"/>
                <w:sz w:val="24"/>
                <w:highlight w:val="none"/>
                <w:lang w:eastAsia="zh-CN"/>
              </w:rPr>
              <w:t>揭榜人</w:t>
            </w:r>
            <w:r>
              <w:rPr>
                <w:rFonts w:hint="eastAsia" w:ascii="宋体" w:hAnsi="宋体"/>
                <w:sz w:val="24"/>
                <w:highlight w:val="none"/>
              </w:rPr>
              <w:t>应提供其投资参股的关联企业情况，包括以下内容：</w:t>
            </w:r>
          </w:p>
          <w:p>
            <w:pPr>
              <w:adjustRightInd w:val="0"/>
              <w:snapToGrid w:val="0"/>
              <w:spacing w:line="360" w:lineRule="auto"/>
              <w:ind w:firstLine="240" w:firstLineChars="100"/>
              <w:jc w:val="left"/>
              <w:rPr>
                <w:rFonts w:ascii="宋体" w:hAnsi="宋体"/>
                <w:sz w:val="24"/>
                <w:highlight w:val="none"/>
                <w:u w:val="single"/>
              </w:rPr>
            </w:pPr>
            <w:r>
              <w:rPr>
                <w:rFonts w:hint="eastAsia" w:ascii="宋体" w:hAnsi="宋体"/>
                <w:sz w:val="24"/>
                <w:highlight w:val="none"/>
              </w:rPr>
              <w:t>1）与本单位负责人为同一人的其他单位名单：</w:t>
            </w:r>
            <w:r>
              <w:rPr>
                <w:rFonts w:hint="eastAsia" w:ascii="宋体" w:hAnsi="宋体"/>
                <w:sz w:val="24"/>
                <w:highlight w:val="none"/>
                <w:u w:val="single"/>
              </w:rPr>
              <w:t xml:space="preserve">          </w:t>
            </w:r>
          </w:p>
          <w:p>
            <w:pPr>
              <w:adjustRightInd w:val="0"/>
              <w:snapToGrid w:val="0"/>
              <w:spacing w:line="360" w:lineRule="auto"/>
              <w:ind w:firstLine="240" w:firstLineChars="100"/>
              <w:jc w:val="left"/>
              <w:rPr>
                <w:rFonts w:ascii="宋体" w:hAnsi="宋体"/>
                <w:sz w:val="24"/>
                <w:highlight w:val="none"/>
              </w:rPr>
            </w:pPr>
            <w:r>
              <w:rPr>
                <w:rFonts w:hint="eastAsia" w:ascii="宋体" w:hAnsi="宋体"/>
                <w:sz w:val="24"/>
                <w:highlight w:val="none"/>
              </w:rPr>
              <w:t>2）对本单位存在控股、管理关系的其他单位名单：</w:t>
            </w:r>
            <w:r>
              <w:rPr>
                <w:rFonts w:hint="eastAsia" w:ascii="宋体" w:hAnsi="宋体"/>
                <w:sz w:val="24"/>
                <w:highlight w:val="none"/>
                <w:u w:val="single"/>
              </w:rPr>
              <w:t xml:space="preserve">          </w:t>
            </w:r>
          </w:p>
          <w:p>
            <w:pPr>
              <w:adjustRightInd w:val="0"/>
              <w:snapToGrid w:val="0"/>
              <w:spacing w:line="480" w:lineRule="auto"/>
              <w:ind w:firstLine="240" w:firstLineChars="100"/>
              <w:rPr>
                <w:rFonts w:ascii="宋体" w:hAnsi="宋体"/>
                <w:sz w:val="24"/>
                <w:highlight w:val="none"/>
              </w:rPr>
            </w:pPr>
            <w:r>
              <w:rPr>
                <w:rFonts w:hint="eastAsia" w:ascii="宋体" w:hAnsi="宋体"/>
                <w:sz w:val="24"/>
                <w:highlight w:val="none"/>
              </w:rPr>
              <w:t>3）本单位对其他单位存在控股、管理关系的名单：</w:t>
            </w:r>
            <w:r>
              <w:rPr>
                <w:rFonts w:hint="eastAsia" w:ascii="宋体" w:hAnsi="宋体"/>
                <w:sz w:val="24"/>
                <w:highlight w:val="none"/>
                <w:u w:val="single"/>
              </w:rPr>
              <w:t xml:space="preserve">          </w:t>
            </w:r>
          </w:p>
          <w:p>
            <w:pPr>
              <w:adjustRightInd w:val="0"/>
              <w:snapToGrid w:val="0"/>
              <w:spacing w:line="480" w:lineRule="auto"/>
              <w:ind w:firstLine="480" w:firstLineChars="200"/>
              <w:rPr>
                <w:rFonts w:ascii="宋体" w:hAnsi="宋体"/>
                <w:sz w:val="24"/>
                <w:highlight w:val="none"/>
              </w:rPr>
            </w:pPr>
          </w:p>
          <w:p>
            <w:pPr>
              <w:adjustRightInd w:val="0"/>
              <w:snapToGrid w:val="0"/>
              <w:spacing w:line="480" w:lineRule="auto"/>
              <w:ind w:firstLine="480" w:firstLineChars="200"/>
              <w:rPr>
                <w:rFonts w:ascii="宋体" w:hAnsi="宋体"/>
                <w:sz w:val="24"/>
                <w:highlight w:val="none"/>
              </w:rPr>
            </w:pPr>
          </w:p>
        </w:tc>
      </w:tr>
    </w:tbl>
    <w:p>
      <w:pPr>
        <w:snapToGrid w:val="0"/>
        <w:ind w:firstLine="281"/>
        <w:rPr>
          <w:rFonts w:hint="default" w:ascii="宋体" w:hAnsi="宋体" w:eastAsia="宋体"/>
          <w:bCs/>
          <w:szCs w:val="21"/>
          <w:highlight w:val="none"/>
          <w:lang w:val="en-US" w:eastAsia="zh-CN"/>
        </w:rPr>
      </w:pPr>
      <w:r>
        <w:rPr>
          <w:rFonts w:hint="eastAsia" w:ascii="宋体" w:hAnsi="宋体"/>
          <w:highlight w:val="none"/>
        </w:rPr>
        <w:t xml:space="preserve">  </w:t>
      </w:r>
      <w:r>
        <w:rPr>
          <w:rFonts w:hint="eastAsia" w:ascii="宋体" w:hAnsi="宋体"/>
          <w:bCs/>
          <w:szCs w:val="21"/>
          <w:highlight w:val="none"/>
        </w:rPr>
        <w:t>注：</w:t>
      </w:r>
      <w:r>
        <w:rPr>
          <w:rFonts w:hint="eastAsia" w:ascii="宋体" w:hAnsi="宋体"/>
          <w:bCs/>
          <w:szCs w:val="21"/>
          <w:highlight w:val="none"/>
          <w:lang w:eastAsia="zh-CN"/>
        </w:rPr>
        <w:t>揭榜人</w:t>
      </w:r>
      <w:r>
        <w:rPr>
          <w:rFonts w:hint="eastAsia" w:ascii="宋体" w:hAnsi="宋体"/>
          <w:bCs/>
          <w:szCs w:val="21"/>
          <w:highlight w:val="none"/>
        </w:rPr>
        <w:t>应如实填报此表，否则因其影响公正性的，其相关</w:t>
      </w:r>
      <w:r>
        <w:rPr>
          <w:rFonts w:hint="eastAsia" w:ascii="宋体" w:hAnsi="宋体"/>
          <w:bCs/>
          <w:szCs w:val="21"/>
          <w:highlight w:val="none"/>
          <w:lang w:val="en-US" w:eastAsia="zh-CN"/>
        </w:rPr>
        <w:t>申请</w:t>
      </w:r>
      <w:r>
        <w:rPr>
          <w:rFonts w:hint="eastAsia" w:ascii="宋体" w:hAnsi="宋体"/>
          <w:bCs/>
          <w:szCs w:val="21"/>
          <w:highlight w:val="none"/>
        </w:rPr>
        <w:t>均无效。</w:t>
      </w:r>
      <w:r>
        <w:rPr>
          <w:rFonts w:hint="eastAsia" w:ascii="宋体" w:hAnsi="宋体"/>
          <w:bCs/>
          <w:szCs w:val="21"/>
          <w:highlight w:val="none"/>
          <w:lang w:val="en-US" w:eastAsia="zh-CN"/>
        </w:rPr>
        <w:t>联合体参与本项目的，所有联合体成员均需填报。</w:t>
      </w:r>
    </w:p>
    <w:p>
      <w:pPr>
        <w:pStyle w:val="2"/>
        <w:rPr>
          <w:rFonts w:hint="eastAsia" w:eastAsia="宋体"/>
          <w:lang w:eastAsia="zh-CN"/>
        </w:rPr>
      </w:pPr>
    </w:p>
    <w:p>
      <w:pPr>
        <w:rPr>
          <w:rFonts w:hint="eastAsia" w:eastAsia="宋体"/>
          <w:lang w:eastAsia="zh-CN"/>
        </w:rPr>
      </w:pPr>
    </w:p>
    <w:p>
      <w:pPr>
        <w:pStyle w:val="59"/>
        <w:rPr>
          <w:rFonts w:hint="eastAsia" w:eastAsia="宋体"/>
          <w:lang w:eastAsia="zh-CN"/>
        </w:rPr>
      </w:pPr>
    </w:p>
    <w:p>
      <w:pPr>
        <w:pStyle w:val="59"/>
        <w:rPr>
          <w:rFonts w:hint="eastAsia" w:eastAsia="宋体"/>
          <w:lang w:eastAsia="zh-CN"/>
        </w:rPr>
      </w:pPr>
    </w:p>
    <w:p>
      <w:pPr>
        <w:pStyle w:val="59"/>
        <w:rPr>
          <w:rFonts w:hint="eastAsia" w:eastAsia="宋体"/>
          <w:lang w:eastAsia="zh-CN"/>
        </w:rPr>
      </w:pPr>
    </w:p>
    <w:bookmarkEnd w:id="71"/>
    <w:p>
      <w:pPr>
        <w:pStyle w:val="3"/>
        <w:spacing w:after="0"/>
        <w:jc w:val="center"/>
        <w:rPr>
          <w:rFonts w:hint="eastAsia" w:ascii="宋体" w:hAnsi="宋体" w:eastAsia="宋体"/>
          <w:color w:val="auto"/>
          <w:highlight w:val="none"/>
        </w:rPr>
      </w:pPr>
      <w:bookmarkStart w:id="82" w:name="_Toc17811"/>
      <w:bookmarkStart w:id="83" w:name="_Toc8846"/>
      <w:bookmarkStart w:id="84" w:name="_Toc492300737"/>
      <w:bookmarkStart w:id="85" w:name="_Toc16178"/>
      <w:r>
        <w:rPr>
          <w:rFonts w:hint="eastAsia" w:ascii="宋体" w:hAnsi="宋体" w:eastAsia="宋体"/>
          <w:color w:val="auto"/>
          <w:highlight w:val="none"/>
          <w:lang w:val="en-US" w:eastAsia="zh-CN"/>
        </w:rPr>
        <w:t>7</w:t>
      </w:r>
      <w:r>
        <w:rPr>
          <w:rFonts w:ascii="宋体" w:hAnsi="宋体" w:eastAsia="宋体"/>
          <w:color w:val="auto"/>
          <w:highlight w:val="none"/>
        </w:rPr>
        <w:t>、</w:t>
      </w:r>
      <w:bookmarkEnd w:id="82"/>
      <w:bookmarkEnd w:id="83"/>
      <w:bookmarkEnd w:id="84"/>
      <w:r>
        <w:rPr>
          <w:rFonts w:hint="eastAsia" w:ascii="宋体" w:hAnsi="宋体" w:eastAsia="宋体"/>
          <w:color w:val="auto"/>
          <w:highlight w:val="none"/>
        </w:rPr>
        <w:t>技术方案</w:t>
      </w:r>
      <w:bookmarkEnd w:id="85"/>
    </w:p>
    <w:p>
      <w:pPr>
        <w:keepNext w:val="0"/>
        <w:keepLines w:val="0"/>
        <w:pageBreakBefore w:val="0"/>
        <w:wordWrap/>
        <w:overflowPunct/>
        <w:topLinePunct w:val="0"/>
        <w:bidi w:val="0"/>
        <w:spacing w:line="360" w:lineRule="auto"/>
        <w:rPr>
          <w:rFonts w:hint="eastAsia" w:ascii="宋体" w:hAnsi="宋体" w:eastAsia="宋体"/>
          <w:color w:val="auto"/>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一、</w:t>
      </w:r>
      <w:r>
        <w:rPr>
          <w:rFonts w:hint="eastAsia" w:ascii="宋体" w:hAnsi="宋体" w:eastAsia="宋体" w:cs="宋体"/>
          <w:snapToGrid w:val="0"/>
          <w:color w:val="auto"/>
          <w:kern w:val="0"/>
          <w:sz w:val="21"/>
          <w:szCs w:val="21"/>
          <w:highlight w:val="none"/>
        </w:rPr>
        <w:t>攻关技术创新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关键性问题描述</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预期成果指标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成果应用前景</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7"/>
          <w:kern w:val="0"/>
          <w:sz w:val="21"/>
          <w:szCs w:val="21"/>
          <w:highlight w:val="none"/>
        </w:rPr>
      </w:pPr>
      <w:r>
        <w:rPr>
          <w:rFonts w:hint="eastAsia" w:ascii="宋体"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技术路线</w:t>
      </w:r>
      <w:r>
        <w:rPr>
          <w:rFonts w:hint="eastAsia" w:ascii="宋体" w:hAnsi="宋体" w:eastAsia="宋体" w:cs="宋体"/>
          <w:snapToGrid w:val="0"/>
          <w:color w:val="auto"/>
          <w:spacing w:val="-7"/>
          <w:kern w:val="0"/>
          <w:sz w:val="21"/>
          <w:szCs w:val="21"/>
          <w:highlight w:val="none"/>
        </w:rPr>
        <w:t>可行性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技术手段适应性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解决关键性问题的可行性和效果</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关键技术的解决路径</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四、四</w:t>
      </w:r>
      <w:r>
        <w:rPr>
          <w:rFonts w:hint="eastAsia" w:ascii="宋体" w:hAnsi="宋体" w:eastAsia="宋体" w:cs="宋体"/>
          <w:snapToGrid w:val="0"/>
          <w:color w:val="auto"/>
          <w:kern w:val="0"/>
          <w:sz w:val="21"/>
          <w:szCs w:val="21"/>
          <w:highlight w:val="none"/>
        </w:rPr>
        <w:t>实施方案及实施计划</w:t>
      </w:r>
    </w:p>
    <w:p>
      <w:pPr>
        <w:widowControl/>
        <w:numPr>
          <w:ilvl w:val="0"/>
          <w:numId w:val="0"/>
        </w:numPr>
        <w:kinsoku w:val="0"/>
        <w:autoSpaceDE w:val="0"/>
        <w:autoSpaceDN w:val="0"/>
        <w:adjustRightInd w:val="0"/>
        <w:snapToGrid w:val="0"/>
        <w:spacing w:line="240" w:lineRule="auto"/>
        <w:jc w:val="both"/>
        <w:textAlignment w:val="baseline"/>
        <w:rPr>
          <w:rFonts w:hint="default" w:ascii="宋体" w:hAnsi="宋体" w:eastAsia="宋体" w:cs="宋体"/>
          <w:snapToGrid w:val="0"/>
          <w:color w:val="auto"/>
          <w:kern w:val="0"/>
          <w:sz w:val="21"/>
          <w:szCs w:val="21"/>
          <w:highlight w:val="none"/>
          <w:lang w:val="en-US" w:eastAsia="zh-CN"/>
        </w:rPr>
      </w:pPr>
    </w:p>
    <w:p>
      <w:pPr>
        <w:autoSpaceDE w:val="0"/>
        <w:autoSpaceDN w:val="0"/>
        <w:spacing w:line="360" w:lineRule="auto"/>
        <w:ind w:firstLine="480" w:firstLineChars="200"/>
        <w:jc w:val="left"/>
        <w:rPr>
          <w:rFonts w:hint="default" w:ascii="宋体" w:hAnsi="宋体" w:eastAsia="宋体" w:cs="宋体"/>
          <w:bCs/>
          <w:color w:val="auto"/>
          <w:sz w:val="24"/>
          <w:szCs w:val="24"/>
          <w:highlight w:val="none"/>
          <w:lang w:val="en-US" w:eastAsia="zh-CN"/>
        </w:rPr>
      </w:pPr>
    </w:p>
    <w:p>
      <w:pPr>
        <w:keepNext/>
        <w:keepLines/>
        <w:spacing w:line="400" w:lineRule="exact"/>
        <w:jc w:val="center"/>
        <w:rPr>
          <w:rFonts w:ascii="宋体" w:hAnsi="宋体"/>
          <w:color w:val="auto"/>
          <w:highlight w:val="none"/>
        </w:rPr>
      </w:pPr>
      <w:r>
        <w:rPr>
          <w:rFonts w:ascii="宋体" w:hAnsi="宋体"/>
          <w:color w:val="auto"/>
          <w:highlight w:val="none"/>
        </w:rPr>
        <w:br w:type="page"/>
      </w:r>
    </w:p>
    <w:p>
      <w:pPr>
        <w:pStyle w:val="3"/>
        <w:spacing w:after="0"/>
        <w:jc w:val="center"/>
        <w:rPr>
          <w:rFonts w:ascii="宋体" w:hAnsi="宋体" w:eastAsia="宋体"/>
          <w:color w:val="auto"/>
          <w:highlight w:val="none"/>
        </w:rPr>
      </w:pPr>
      <w:bookmarkStart w:id="86" w:name="_Toc29825"/>
      <w:bookmarkStart w:id="87" w:name="_Toc25973"/>
      <w:bookmarkStart w:id="88" w:name="_Toc492300738"/>
      <w:bookmarkStart w:id="89" w:name="_Toc28411"/>
      <w:r>
        <w:rPr>
          <w:rFonts w:hint="eastAsia" w:ascii="宋体" w:hAnsi="宋体" w:eastAsia="宋体"/>
          <w:color w:val="auto"/>
          <w:highlight w:val="none"/>
          <w:lang w:val="en-US" w:eastAsia="zh-CN"/>
        </w:rPr>
        <w:t>8</w:t>
      </w:r>
      <w:r>
        <w:rPr>
          <w:rFonts w:ascii="宋体" w:hAnsi="宋体" w:eastAsia="宋体"/>
          <w:color w:val="auto"/>
          <w:highlight w:val="none"/>
        </w:rPr>
        <w:t>、其他</w:t>
      </w:r>
      <w:bookmarkEnd w:id="86"/>
      <w:bookmarkEnd w:id="87"/>
      <w:bookmarkEnd w:id="88"/>
      <w:r>
        <w:rPr>
          <w:rFonts w:hint="eastAsia" w:ascii="宋体" w:hAnsi="宋体" w:eastAsia="宋体"/>
          <w:color w:val="auto"/>
          <w:highlight w:val="none"/>
        </w:rPr>
        <w:t>材料</w:t>
      </w:r>
      <w:bookmarkEnd w:id="89"/>
    </w:p>
    <w:p>
      <w:pPr>
        <w:pStyle w:val="17"/>
        <w:spacing w:line="360" w:lineRule="auto"/>
        <w:ind w:firstLine="480" w:firstLineChars="200"/>
        <w:rPr>
          <w:color w:val="auto"/>
          <w:highlight w:val="none"/>
        </w:rPr>
      </w:pPr>
      <w:r>
        <w:rPr>
          <w:rFonts w:hint="eastAsia" w:ascii="宋体" w:hAnsi="宋体"/>
          <w:color w:val="auto"/>
          <w:sz w:val="24"/>
          <w:szCs w:val="24"/>
          <w:highlight w:val="none"/>
        </w:rPr>
        <w:t>1、相关证明材料：研发团队在申报项目领域承担的课题(包括已完成、当前开展)、获得的科技奖项、发明专利，课题承担盖章页、奖项扫描件、专利证书复印件等证明材料；</w:t>
      </w:r>
    </w:p>
    <w:p>
      <w:pPr>
        <w:pStyle w:val="17"/>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2、项目实施的其他材料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包括但不限于承诺书（格式如下）、软件著作权登记等</w:t>
      </w:r>
      <w:r>
        <w:rPr>
          <w:rFonts w:hint="eastAsia" w:ascii="宋体" w:hAnsi="宋体"/>
          <w:color w:val="auto"/>
          <w:sz w:val="24"/>
          <w:szCs w:val="24"/>
          <w:highlight w:val="none"/>
        </w:rPr>
        <w:t>。</w:t>
      </w:r>
    </w:p>
    <w:p>
      <w:pPr>
        <w:pStyle w:val="17"/>
        <w:spacing w:after="0" w:line="360" w:lineRule="auto"/>
        <w:ind w:firstLine="480" w:firstLineChars="200"/>
        <w:rPr>
          <w:rFonts w:hint="default" w:eastAsia="宋体"/>
          <w:lang w:val="en-US" w:eastAsia="zh-CN"/>
        </w:rPr>
      </w:pPr>
      <w:r>
        <w:rPr>
          <w:rFonts w:hint="eastAsia" w:ascii="宋体" w:hAnsi="宋体"/>
          <w:color w:val="auto"/>
          <w:sz w:val="24"/>
          <w:szCs w:val="24"/>
          <w:highlight w:val="none"/>
          <w:lang w:val="en-US" w:eastAsia="zh-CN"/>
        </w:rPr>
        <w:t>3、</w:t>
      </w:r>
      <w:r>
        <w:rPr>
          <w:rFonts w:hint="eastAsia" w:ascii="宋体" w:hAnsi="宋体" w:cs="仿宋"/>
          <w:color w:val="auto"/>
          <w:kern w:val="0"/>
          <w:sz w:val="24"/>
          <w:szCs w:val="24"/>
          <w:highlight w:val="none"/>
        </w:rPr>
        <w:t>国家企业信用信息公示系统</w:t>
      </w:r>
      <w:r>
        <w:rPr>
          <w:rFonts w:hint="eastAsia" w:ascii="宋体" w:hAnsi="宋体" w:cs="仿宋"/>
          <w:color w:val="auto"/>
          <w:kern w:val="0"/>
          <w:sz w:val="24"/>
          <w:szCs w:val="24"/>
          <w:highlight w:val="none"/>
          <w:lang w:eastAsia="zh-CN"/>
        </w:rPr>
        <w:t>、</w:t>
      </w:r>
      <w:r>
        <w:rPr>
          <w:rFonts w:hint="eastAsia" w:ascii="宋体" w:hAnsi="宋体" w:cs="仿宋"/>
          <w:color w:val="auto"/>
          <w:kern w:val="0"/>
          <w:sz w:val="24"/>
          <w:szCs w:val="24"/>
          <w:highlight w:val="none"/>
          <w:lang w:val="en-US" w:eastAsia="zh-CN"/>
        </w:rPr>
        <w:t>信用中国截图。</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承 诺 书</w:t>
      </w:r>
    </w:p>
    <w:p>
      <w:pPr>
        <w:rPr>
          <w:rFonts w:ascii="宋体" w:hAnsi="宋体"/>
          <w:color w:val="auto"/>
          <w:highlight w:val="none"/>
        </w:rPr>
      </w:pPr>
    </w:p>
    <w:p>
      <w:pPr>
        <w:pStyle w:val="17"/>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致：</w:t>
      </w:r>
      <w:r>
        <w:rPr>
          <w:rFonts w:hint="eastAsia" w:ascii="宋体" w:hAnsi="宋体"/>
          <w:color w:val="auto"/>
          <w:sz w:val="24"/>
          <w:szCs w:val="24"/>
          <w:highlight w:val="none"/>
          <w:u w:val="single"/>
          <w:lang w:val="en-US" w:eastAsia="zh-CN"/>
        </w:rPr>
        <w:t xml:space="preserve">            用户单位     </w:t>
      </w:r>
      <w:r>
        <w:rPr>
          <w:rFonts w:hint="eastAsia" w:ascii="宋体" w:hAnsi="宋体"/>
          <w:color w:val="auto"/>
          <w:sz w:val="24"/>
          <w:szCs w:val="24"/>
          <w:highlight w:val="none"/>
          <w:lang w:val="en-US" w:eastAsia="zh-CN"/>
        </w:rPr>
        <w:t xml:space="preserve"> </w:t>
      </w:r>
    </w:p>
    <w:p>
      <w:pPr>
        <w:pStyle w:val="17"/>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u w:val="single"/>
          <w:lang w:val="en-US" w:eastAsia="zh-CN"/>
        </w:rPr>
        <w:t xml:space="preserve">  揭榜人名称       </w:t>
      </w:r>
      <w:r>
        <w:rPr>
          <w:rFonts w:hint="eastAsia" w:ascii="宋体" w:hAnsi="宋体"/>
          <w:color w:val="auto"/>
          <w:sz w:val="24"/>
          <w:szCs w:val="24"/>
          <w:highlight w:val="none"/>
          <w:lang w:val="en-US" w:eastAsia="zh-CN"/>
        </w:rPr>
        <w:t xml:space="preserve"> 承诺如被选聘为合作单位，则双方正式合同签订后，本课题所完成的知识产权成果归河北高速公路集团和揭榜方双方共有，具体产品的产权分配原则按照6:4比例分配。</w:t>
      </w:r>
    </w:p>
    <w:p>
      <w:pPr>
        <w:pStyle w:val="17"/>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特此承诺。</w:t>
      </w:r>
    </w:p>
    <w:p>
      <w:pPr>
        <w:pStyle w:val="17"/>
        <w:keepNext w:val="0"/>
        <w:keepLines w:val="0"/>
        <w:pageBreakBefore w:val="0"/>
        <w:widowControl w:val="0"/>
        <w:kinsoku/>
        <w:wordWrap/>
        <w:overflowPunct/>
        <w:topLinePunct w:val="0"/>
        <w:autoSpaceDE/>
        <w:autoSpaceDN/>
        <w:bidi w:val="0"/>
        <w:adjustRightInd/>
        <w:snapToGrid/>
        <w:spacing w:after="0" w:line="480" w:lineRule="auto"/>
        <w:ind w:firstLine="6000" w:firstLineChars="25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承诺人：  （盖章）</w:t>
      </w:r>
    </w:p>
    <w:p>
      <w:pPr>
        <w:pStyle w:val="17"/>
        <w:keepNext w:val="0"/>
        <w:keepLines w:val="0"/>
        <w:pageBreakBefore w:val="0"/>
        <w:widowControl w:val="0"/>
        <w:kinsoku/>
        <w:wordWrap/>
        <w:overflowPunct/>
        <w:topLinePunct w:val="0"/>
        <w:autoSpaceDE/>
        <w:autoSpaceDN/>
        <w:bidi w:val="0"/>
        <w:adjustRightInd/>
        <w:snapToGrid/>
        <w:spacing w:after="0" w:line="480" w:lineRule="auto"/>
        <w:ind w:firstLine="6480" w:firstLineChars="27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年  月  日</w:t>
      </w:r>
    </w:p>
    <w:p>
      <w:pPr>
        <w:pStyle w:val="2"/>
        <w:rPr>
          <w:rFonts w:hint="default"/>
          <w:color w:val="auto"/>
          <w:highlight w:val="none"/>
          <w:lang w:val="en-US" w:eastAsia="zh-CN"/>
        </w:rPr>
      </w:pPr>
    </w:p>
    <w:p>
      <w:pPr>
        <w:pStyle w:val="26"/>
        <w:rPr>
          <w:rFonts w:ascii="宋体" w:hAnsi="宋体"/>
          <w:color w:val="auto"/>
          <w:highlight w:val="none"/>
        </w:rPr>
      </w:pPr>
    </w:p>
    <w:p>
      <w:pPr>
        <w:keepNext/>
        <w:keepLines/>
        <w:spacing w:line="400" w:lineRule="exact"/>
        <w:jc w:val="center"/>
        <w:rPr>
          <w:rFonts w:ascii="宋体" w:hAnsi="宋体"/>
          <w:color w:val="auto"/>
          <w:highlight w:val="none"/>
        </w:rPr>
      </w:pPr>
    </w:p>
    <w:p>
      <w:pPr>
        <w:keepNext/>
        <w:keepLines/>
        <w:spacing w:line="400" w:lineRule="exact"/>
        <w:jc w:val="center"/>
        <w:rPr>
          <w:rFonts w:ascii="宋体" w:hAnsi="宋体"/>
          <w:color w:val="auto"/>
          <w:highlight w:val="none"/>
        </w:rPr>
      </w:pPr>
    </w:p>
    <w:sectPr>
      <w:footerReference r:id="rId9" w:type="default"/>
      <w:pgSz w:w="12240" w:h="15840"/>
      <w:pgMar w:top="1418" w:right="1418" w:bottom="1418" w:left="1418"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X88s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O1/PLLAQAAnAMAAA4AAAAAAAAAAQAgAAAAHgEAAGRycy9lMm9E&#10;b2MueG1sUEsFBgAAAAAGAAYAWQEAAFsFA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PfBM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5j3wTLAQAAnAMAAA4AAAAAAAAAAQAgAAAAHgEAAGRycy9lMm9E&#10;b2MueG1sUEsFBgAAAAAGAAYAWQEAAFsFA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5FB8D746"/>
    <w:multiLevelType w:val="singleLevel"/>
    <w:tmpl w:val="5FB8D74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7A63"/>
    <w:rsid w:val="00A60E98"/>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32E17E5"/>
    <w:rsid w:val="03417D55"/>
    <w:rsid w:val="03CF5817"/>
    <w:rsid w:val="03F10E17"/>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445A1"/>
    <w:rsid w:val="070905EF"/>
    <w:rsid w:val="077A3CEC"/>
    <w:rsid w:val="07A14ED0"/>
    <w:rsid w:val="07B93478"/>
    <w:rsid w:val="080F4381"/>
    <w:rsid w:val="08380F94"/>
    <w:rsid w:val="08665CBC"/>
    <w:rsid w:val="088312D6"/>
    <w:rsid w:val="08D41FED"/>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7B2F7B"/>
    <w:rsid w:val="0C8D5FC5"/>
    <w:rsid w:val="0C904D8B"/>
    <w:rsid w:val="0CAF1D4F"/>
    <w:rsid w:val="0CB72983"/>
    <w:rsid w:val="0CBC5489"/>
    <w:rsid w:val="0CE83E31"/>
    <w:rsid w:val="0D066C07"/>
    <w:rsid w:val="0D283B98"/>
    <w:rsid w:val="0DC727E4"/>
    <w:rsid w:val="0E0830D6"/>
    <w:rsid w:val="0E65589C"/>
    <w:rsid w:val="0F24110D"/>
    <w:rsid w:val="0F645268"/>
    <w:rsid w:val="0FB460AD"/>
    <w:rsid w:val="10123DFE"/>
    <w:rsid w:val="10507E9A"/>
    <w:rsid w:val="11134763"/>
    <w:rsid w:val="113118BF"/>
    <w:rsid w:val="1196730B"/>
    <w:rsid w:val="11DC2BFD"/>
    <w:rsid w:val="11F9204F"/>
    <w:rsid w:val="12092160"/>
    <w:rsid w:val="12322646"/>
    <w:rsid w:val="12461711"/>
    <w:rsid w:val="12606C25"/>
    <w:rsid w:val="12BF6186"/>
    <w:rsid w:val="12ED0DC6"/>
    <w:rsid w:val="12FF72E8"/>
    <w:rsid w:val="13392CAD"/>
    <w:rsid w:val="133C6BEC"/>
    <w:rsid w:val="13E24F8D"/>
    <w:rsid w:val="14145452"/>
    <w:rsid w:val="144A62D6"/>
    <w:rsid w:val="14594C9D"/>
    <w:rsid w:val="14CF5677"/>
    <w:rsid w:val="14F03C61"/>
    <w:rsid w:val="1508079D"/>
    <w:rsid w:val="1539776F"/>
    <w:rsid w:val="159310AD"/>
    <w:rsid w:val="15B1406F"/>
    <w:rsid w:val="160752E5"/>
    <w:rsid w:val="161136EA"/>
    <w:rsid w:val="161E4B7B"/>
    <w:rsid w:val="1724682F"/>
    <w:rsid w:val="173C35EC"/>
    <w:rsid w:val="17820A15"/>
    <w:rsid w:val="179A59B1"/>
    <w:rsid w:val="17AD081E"/>
    <w:rsid w:val="17B47C5A"/>
    <w:rsid w:val="18915F7D"/>
    <w:rsid w:val="18CB7380"/>
    <w:rsid w:val="18CF4A87"/>
    <w:rsid w:val="18F07E29"/>
    <w:rsid w:val="19065D22"/>
    <w:rsid w:val="1985097A"/>
    <w:rsid w:val="19866520"/>
    <w:rsid w:val="19E8673A"/>
    <w:rsid w:val="1A444595"/>
    <w:rsid w:val="1AE04F3D"/>
    <w:rsid w:val="1AF9645A"/>
    <w:rsid w:val="1B172193"/>
    <w:rsid w:val="1B1D5AA8"/>
    <w:rsid w:val="1B2C5602"/>
    <w:rsid w:val="1B3C2E09"/>
    <w:rsid w:val="1B8A2A6F"/>
    <w:rsid w:val="1B903EF3"/>
    <w:rsid w:val="1BB44F8D"/>
    <w:rsid w:val="1C5B0FBE"/>
    <w:rsid w:val="1C742EB8"/>
    <w:rsid w:val="1CB56115"/>
    <w:rsid w:val="1D356B80"/>
    <w:rsid w:val="1D387CC1"/>
    <w:rsid w:val="1D464944"/>
    <w:rsid w:val="1D4E011E"/>
    <w:rsid w:val="1F006163"/>
    <w:rsid w:val="1F070D9C"/>
    <w:rsid w:val="1F164D67"/>
    <w:rsid w:val="1F664E2A"/>
    <w:rsid w:val="1F795149"/>
    <w:rsid w:val="21337A07"/>
    <w:rsid w:val="21633DEB"/>
    <w:rsid w:val="21B26473"/>
    <w:rsid w:val="21CF6C0F"/>
    <w:rsid w:val="21DF0545"/>
    <w:rsid w:val="223916EB"/>
    <w:rsid w:val="22AE4DC1"/>
    <w:rsid w:val="22CE2D81"/>
    <w:rsid w:val="236A2C16"/>
    <w:rsid w:val="23800B7D"/>
    <w:rsid w:val="23834952"/>
    <w:rsid w:val="23BA1E6D"/>
    <w:rsid w:val="23CA2B8A"/>
    <w:rsid w:val="23F22DC3"/>
    <w:rsid w:val="24270B26"/>
    <w:rsid w:val="2437058E"/>
    <w:rsid w:val="24484598"/>
    <w:rsid w:val="245257AF"/>
    <w:rsid w:val="24ED6B82"/>
    <w:rsid w:val="252C6739"/>
    <w:rsid w:val="25B416E3"/>
    <w:rsid w:val="266B24AB"/>
    <w:rsid w:val="26CA7CF9"/>
    <w:rsid w:val="27224ADD"/>
    <w:rsid w:val="27550449"/>
    <w:rsid w:val="27DF09A4"/>
    <w:rsid w:val="28357935"/>
    <w:rsid w:val="28557DDE"/>
    <w:rsid w:val="287F65B4"/>
    <w:rsid w:val="289C2D26"/>
    <w:rsid w:val="28B86D2A"/>
    <w:rsid w:val="28C956A3"/>
    <w:rsid w:val="29CD435B"/>
    <w:rsid w:val="29D31D30"/>
    <w:rsid w:val="2A0F03DD"/>
    <w:rsid w:val="2A1A5567"/>
    <w:rsid w:val="2AA47EA7"/>
    <w:rsid w:val="2AF42702"/>
    <w:rsid w:val="2B030958"/>
    <w:rsid w:val="2B182A85"/>
    <w:rsid w:val="2B30706C"/>
    <w:rsid w:val="2B3444F3"/>
    <w:rsid w:val="2BEC2CCA"/>
    <w:rsid w:val="2C74500F"/>
    <w:rsid w:val="2C8863C0"/>
    <w:rsid w:val="2CC34604"/>
    <w:rsid w:val="2D3571C7"/>
    <w:rsid w:val="2DEA5C80"/>
    <w:rsid w:val="2E1225C5"/>
    <w:rsid w:val="2E7E1E3D"/>
    <w:rsid w:val="2E842255"/>
    <w:rsid w:val="2EAA77EE"/>
    <w:rsid w:val="2EAE1D18"/>
    <w:rsid w:val="2ECA44D8"/>
    <w:rsid w:val="2EFB22F6"/>
    <w:rsid w:val="2F241ABC"/>
    <w:rsid w:val="2F5C5965"/>
    <w:rsid w:val="2F605E22"/>
    <w:rsid w:val="2F9E4CBC"/>
    <w:rsid w:val="2FC6460C"/>
    <w:rsid w:val="2FC729AB"/>
    <w:rsid w:val="30096F36"/>
    <w:rsid w:val="300E262C"/>
    <w:rsid w:val="308411F7"/>
    <w:rsid w:val="309774D1"/>
    <w:rsid w:val="30B721E1"/>
    <w:rsid w:val="311003AE"/>
    <w:rsid w:val="313E1ADD"/>
    <w:rsid w:val="31472444"/>
    <w:rsid w:val="329268B2"/>
    <w:rsid w:val="32C82712"/>
    <w:rsid w:val="33297C51"/>
    <w:rsid w:val="338E43D0"/>
    <w:rsid w:val="33A65F89"/>
    <w:rsid w:val="33C17C11"/>
    <w:rsid w:val="33CE464F"/>
    <w:rsid w:val="33D65C29"/>
    <w:rsid w:val="34BF5B9B"/>
    <w:rsid w:val="35F04FF6"/>
    <w:rsid w:val="36376685"/>
    <w:rsid w:val="368F1B0D"/>
    <w:rsid w:val="36B1341E"/>
    <w:rsid w:val="36BD3E66"/>
    <w:rsid w:val="37001D68"/>
    <w:rsid w:val="37A23852"/>
    <w:rsid w:val="38EF001B"/>
    <w:rsid w:val="39AF4E00"/>
    <w:rsid w:val="3A105C66"/>
    <w:rsid w:val="3AAF17DF"/>
    <w:rsid w:val="3ABC3D62"/>
    <w:rsid w:val="3B003B1F"/>
    <w:rsid w:val="3B037579"/>
    <w:rsid w:val="3B8C3A12"/>
    <w:rsid w:val="3BA44248"/>
    <w:rsid w:val="3BCC6800"/>
    <w:rsid w:val="3CF87FC2"/>
    <w:rsid w:val="3D0A6A03"/>
    <w:rsid w:val="3D2F2642"/>
    <w:rsid w:val="3D43534E"/>
    <w:rsid w:val="3D5E49A7"/>
    <w:rsid w:val="3E1201FF"/>
    <w:rsid w:val="3E3F2FBE"/>
    <w:rsid w:val="3E435841"/>
    <w:rsid w:val="3EA6654C"/>
    <w:rsid w:val="3ED62DE1"/>
    <w:rsid w:val="3F0548FB"/>
    <w:rsid w:val="3F482864"/>
    <w:rsid w:val="3F91146E"/>
    <w:rsid w:val="3FBA2006"/>
    <w:rsid w:val="3FF216BF"/>
    <w:rsid w:val="401A3826"/>
    <w:rsid w:val="401D10DD"/>
    <w:rsid w:val="407B4DD5"/>
    <w:rsid w:val="408825BD"/>
    <w:rsid w:val="40A23EBB"/>
    <w:rsid w:val="40A4301A"/>
    <w:rsid w:val="40E34069"/>
    <w:rsid w:val="41035E00"/>
    <w:rsid w:val="41205243"/>
    <w:rsid w:val="41205969"/>
    <w:rsid w:val="414C5B13"/>
    <w:rsid w:val="415B5D6C"/>
    <w:rsid w:val="41935C36"/>
    <w:rsid w:val="41A338E3"/>
    <w:rsid w:val="41EF35B2"/>
    <w:rsid w:val="42185F44"/>
    <w:rsid w:val="42D65B4D"/>
    <w:rsid w:val="42E2049E"/>
    <w:rsid w:val="42F7579C"/>
    <w:rsid w:val="4336540D"/>
    <w:rsid w:val="437739CC"/>
    <w:rsid w:val="439907B9"/>
    <w:rsid w:val="43A7707B"/>
    <w:rsid w:val="446721D4"/>
    <w:rsid w:val="449E500C"/>
    <w:rsid w:val="44C468B6"/>
    <w:rsid w:val="44F45CE1"/>
    <w:rsid w:val="45154BCA"/>
    <w:rsid w:val="454D7D6F"/>
    <w:rsid w:val="4571731D"/>
    <w:rsid w:val="45FF0754"/>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A79273B"/>
    <w:rsid w:val="4A8A6EE9"/>
    <w:rsid w:val="4AAE12ED"/>
    <w:rsid w:val="4ACF6971"/>
    <w:rsid w:val="4AE54494"/>
    <w:rsid w:val="4AEE3DA2"/>
    <w:rsid w:val="4B002D0B"/>
    <w:rsid w:val="4B3B7759"/>
    <w:rsid w:val="4B6F34DF"/>
    <w:rsid w:val="4C3C1ECD"/>
    <w:rsid w:val="4C4A31A8"/>
    <w:rsid w:val="4C600189"/>
    <w:rsid w:val="4C806C93"/>
    <w:rsid w:val="4D133C1F"/>
    <w:rsid w:val="4D4B7289"/>
    <w:rsid w:val="4D5837DF"/>
    <w:rsid w:val="4D6C1337"/>
    <w:rsid w:val="4E1E3016"/>
    <w:rsid w:val="4E2D65F4"/>
    <w:rsid w:val="4F105DE5"/>
    <w:rsid w:val="4F2E1B93"/>
    <w:rsid w:val="4F444DA8"/>
    <w:rsid w:val="50281D82"/>
    <w:rsid w:val="50377320"/>
    <w:rsid w:val="508F3801"/>
    <w:rsid w:val="50907C1B"/>
    <w:rsid w:val="51974145"/>
    <w:rsid w:val="51A13A4D"/>
    <w:rsid w:val="51AA740B"/>
    <w:rsid w:val="51D70008"/>
    <w:rsid w:val="51E329FD"/>
    <w:rsid w:val="5245449C"/>
    <w:rsid w:val="5252490D"/>
    <w:rsid w:val="52580B19"/>
    <w:rsid w:val="52626218"/>
    <w:rsid w:val="529D3F90"/>
    <w:rsid w:val="533A6B1F"/>
    <w:rsid w:val="53807604"/>
    <w:rsid w:val="53923005"/>
    <w:rsid w:val="53AE211E"/>
    <w:rsid w:val="53F35AA0"/>
    <w:rsid w:val="540F4AC5"/>
    <w:rsid w:val="54116BEA"/>
    <w:rsid w:val="544F4A8C"/>
    <w:rsid w:val="547B03E9"/>
    <w:rsid w:val="54FB3187"/>
    <w:rsid w:val="555C6CC5"/>
    <w:rsid w:val="55B7162A"/>
    <w:rsid w:val="55DD513F"/>
    <w:rsid w:val="56002BDB"/>
    <w:rsid w:val="564D2E6E"/>
    <w:rsid w:val="565C4CEB"/>
    <w:rsid w:val="56C00361"/>
    <w:rsid w:val="574C3BF8"/>
    <w:rsid w:val="57A25B11"/>
    <w:rsid w:val="57E907DF"/>
    <w:rsid w:val="57EE5261"/>
    <w:rsid w:val="5822700A"/>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A36F35"/>
    <w:rsid w:val="5AF8288E"/>
    <w:rsid w:val="5B3914EA"/>
    <w:rsid w:val="5C1D2FEA"/>
    <w:rsid w:val="5C33362F"/>
    <w:rsid w:val="5C475989"/>
    <w:rsid w:val="5C9D551C"/>
    <w:rsid w:val="5CA000BD"/>
    <w:rsid w:val="5D227921"/>
    <w:rsid w:val="5D261093"/>
    <w:rsid w:val="5DDA48DE"/>
    <w:rsid w:val="5E29571C"/>
    <w:rsid w:val="5E7072D5"/>
    <w:rsid w:val="5E916AC6"/>
    <w:rsid w:val="5EB35FD5"/>
    <w:rsid w:val="5EEA5586"/>
    <w:rsid w:val="5FE84E0C"/>
    <w:rsid w:val="5FEB02A9"/>
    <w:rsid w:val="60221B67"/>
    <w:rsid w:val="60371971"/>
    <w:rsid w:val="603A563D"/>
    <w:rsid w:val="604E4A43"/>
    <w:rsid w:val="6059283D"/>
    <w:rsid w:val="608B5FAA"/>
    <w:rsid w:val="60A07495"/>
    <w:rsid w:val="60A1672C"/>
    <w:rsid w:val="61102418"/>
    <w:rsid w:val="61960027"/>
    <w:rsid w:val="61B431F8"/>
    <w:rsid w:val="61BB1A22"/>
    <w:rsid w:val="61BF597B"/>
    <w:rsid w:val="62364E82"/>
    <w:rsid w:val="62D3704F"/>
    <w:rsid w:val="62D67C30"/>
    <w:rsid w:val="62E2764E"/>
    <w:rsid w:val="632D31B2"/>
    <w:rsid w:val="63A46FE8"/>
    <w:rsid w:val="63BF40FA"/>
    <w:rsid w:val="63D731CD"/>
    <w:rsid w:val="642151C6"/>
    <w:rsid w:val="644614E5"/>
    <w:rsid w:val="64C15A14"/>
    <w:rsid w:val="64CF1337"/>
    <w:rsid w:val="650B0D9A"/>
    <w:rsid w:val="652A6394"/>
    <w:rsid w:val="658F391F"/>
    <w:rsid w:val="65E91508"/>
    <w:rsid w:val="66032276"/>
    <w:rsid w:val="661D1EC9"/>
    <w:rsid w:val="664632CD"/>
    <w:rsid w:val="669107FE"/>
    <w:rsid w:val="66AD3FBB"/>
    <w:rsid w:val="67A81366"/>
    <w:rsid w:val="67CB05AF"/>
    <w:rsid w:val="6823575F"/>
    <w:rsid w:val="6837248C"/>
    <w:rsid w:val="684352D5"/>
    <w:rsid w:val="68531E47"/>
    <w:rsid w:val="685D7406"/>
    <w:rsid w:val="687A230C"/>
    <w:rsid w:val="695024C9"/>
    <w:rsid w:val="69826C27"/>
    <w:rsid w:val="69C41145"/>
    <w:rsid w:val="69F22D9A"/>
    <w:rsid w:val="6A071FEB"/>
    <w:rsid w:val="6AF36526"/>
    <w:rsid w:val="6BC8321C"/>
    <w:rsid w:val="6BD204A2"/>
    <w:rsid w:val="6C16415D"/>
    <w:rsid w:val="6C3A1AB8"/>
    <w:rsid w:val="6C69727C"/>
    <w:rsid w:val="6D083C9E"/>
    <w:rsid w:val="6D837F22"/>
    <w:rsid w:val="6D877C6B"/>
    <w:rsid w:val="6DC05860"/>
    <w:rsid w:val="6E176E67"/>
    <w:rsid w:val="6E766BA8"/>
    <w:rsid w:val="6EB12F02"/>
    <w:rsid w:val="6EEE6A88"/>
    <w:rsid w:val="6FC225B8"/>
    <w:rsid w:val="6FFB38F1"/>
    <w:rsid w:val="701A1EC9"/>
    <w:rsid w:val="703930C1"/>
    <w:rsid w:val="70990C89"/>
    <w:rsid w:val="70CA5490"/>
    <w:rsid w:val="70DA002F"/>
    <w:rsid w:val="70FB5532"/>
    <w:rsid w:val="718F626C"/>
    <w:rsid w:val="71A572AB"/>
    <w:rsid w:val="71DA772B"/>
    <w:rsid w:val="720257FF"/>
    <w:rsid w:val="726339B7"/>
    <w:rsid w:val="72D13F8C"/>
    <w:rsid w:val="73755096"/>
    <w:rsid w:val="737F734B"/>
    <w:rsid w:val="738855D8"/>
    <w:rsid w:val="738A66F7"/>
    <w:rsid w:val="73AC29BE"/>
    <w:rsid w:val="74086758"/>
    <w:rsid w:val="74397CAE"/>
    <w:rsid w:val="743D75F7"/>
    <w:rsid w:val="747929FB"/>
    <w:rsid w:val="748368B4"/>
    <w:rsid w:val="748D6638"/>
    <w:rsid w:val="74DB3AB3"/>
    <w:rsid w:val="74E86974"/>
    <w:rsid w:val="752526AB"/>
    <w:rsid w:val="75D174A6"/>
    <w:rsid w:val="76447818"/>
    <w:rsid w:val="765D2F12"/>
    <w:rsid w:val="76911D13"/>
    <w:rsid w:val="76DF6062"/>
    <w:rsid w:val="76F265F0"/>
    <w:rsid w:val="773F7189"/>
    <w:rsid w:val="77422893"/>
    <w:rsid w:val="774F104A"/>
    <w:rsid w:val="77C72BE8"/>
    <w:rsid w:val="77D7509D"/>
    <w:rsid w:val="78215104"/>
    <w:rsid w:val="783F1611"/>
    <w:rsid w:val="78720F0E"/>
    <w:rsid w:val="78B10D54"/>
    <w:rsid w:val="78C65B3F"/>
    <w:rsid w:val="7931007C"/>
    <w:rsid w:val="79B50936"/>
    <w:rsid w:val="79C26E1C"/>
    <w:rsid w:val="79DF32B5"/>
    <w:rsid w:val="7A00695F"/>
    <w:rsid w:val="7A757DBD"/>
    <w:rsid w:val="7A9C1122"/>
    <w:rsid w:val="7B264314"/>
    <w:rsid w:val="7B32675B"/>
    <w:rsid w:val="7B7607DD"/>
    <w:rsid w:val="7B9F11DE"/>
    <w:rsid w:val="7BC46A40"/>
    <w:rsid w:val="7C3A38BE"/>
    <w:rsid w:val="7C8213DE"/>
    <w:rsid w:val="7C9C2966"/>
    <w:rsid w:val="7CE43318"/>
    <w:rsid w:val="7CFA4751"/>
    <w:rsid w:val="7D1A4ADE"/>
    <w:rsid w:val="7D502D5B"/>
    <w:rsid w:val="7DB276A6"/>
    <w:rsid w:val="7DEB7B41"/>
    <w:rsid w:val="7E7D4006"/>
    <w:rsid w:val="7E896C87"/>
    <w:rsid w:val="7E8F3720"/>
    <w:rsid w:val="7F080156"/>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2"/>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3"/>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4"/>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5"/>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6"/>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7"/>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9"/>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autoRedefine/>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table of authorities"/>
    <w:basedOn w:val="1"/>
    <w:next w:val="1"/>
    <w:autoRedefine/>
    <w:unhideWhenUsed/>
    <w:qFormat/>
    <w:uiPriority w:val="99"/>
    <w:pPr>
      <w:ind w:left="420" w:leftChars="200" w:firstLine="420"/>
    </w:pPr>
    <w:rPr>
      <w:sz w:val="24"/>
    </w:rPr>
  </w:style>
  <w:style w:type="paragraph" w:styleId="13">
    <w:name w:val="Normal Indent"/>
    <w:basedOn w:val="1"/>
    <w:autoRedefine/>
    <w:qFormat/>
    <w:uiPriority w:val="0"/>
    <w:pPr>
      <w:ind w:firstLine="420"/>
    </w:pPr>
  </w:style>
  <w:style w:type="paragraph" w:styleId="14">
    <w:name w:val="Document Map"/>
    <w:basedOn w:val="1"/>
    <w:link w:val="70"/>
    <w:autoRedefine/>
    <w:qFormat/>
    <w:uiPriority w:val="0"/>
    <w:rPr>
      <w:rFonts w:ascii="宋体"/>
      <w:sz w:val="18"/>
      <w:szCs w:val="18"/>
    </w:rPr>
  </w:style>
  <w:style w:type="paragraph" w:styleId="15">
    <w:name w:val="annotation text"/>
    <w:basedOn w:val="1"/>
    <w:link w:val="71"/>
    <w:autoRedefine/>
    <w:qFormat/>
    <w:uiPriority w:val="0"/>
    <w:pPr>
      <w:jc w:val="left"/>
    </w:pPr>
    <w:rPr>
      <w:rFonts w:ascii="Times New Roman" w:hAnsi="Times New Roman"/>
      <w:szCs w:val="20"/>
    </w:rPr>
  </w:style>
  <w:style w:type="paragraph" w:styleId="16">
    <w:name w:val="Body Text 3"/>
    <w:basedOn w:val="1"/>
    <w:link w:val="72"/>
    <w:autoRedefine/>
    <w:qFormat/>
    <w:uiPriority w:val="0"/>
    <w:rPr>
      <w:rFonts w:ascii="宋体"/>
      <w:sz w:val="24"/>
      <w:szCs w:val="20"/>
    </w:rPr>
  </w:style>
  <w:style w:type="paragraph" w:styleId="17">
    <w:name w:val="Body Text"/>
    <w:basedOn w:val="1"/>
    <w:next w:val="18"/>
    <w:link w:val="60"/>
    <w:autoRedefine/>
    <w:unhideWhenUsed/>
    <w:qFormat/>
    <w:uiPriority w:val="0"/>
    <w:pPr>
      <w:spacing w:after="120"/>
    </w:pPr>
    <w:rPr>
      <w:rFonts w:ascii="Times New Roman" w:hAnsi="Times New Roman"/>
      <w:szCs w:val="20"/>
    </w:rPr>
  </w:style>
  <w:style w:type="paragraph" w:styleId="18">
    <w:name w:val="Body Text 2"/>
    <w:basedOn w:val="1"/>
    <w:next w:val="1"/>
    <w:autoRedefine/>
    <w:qFormat/>
    <w:uiPriority w:val="0"/>
  </w:style>
  <w:style w:type="paragraph" w:styleId="19">
    <w:name w:val="Body Text Indent"/>
    <w:basedOn w:val="1"/>
    <w:link w:val="73"/>
    <w:autoRedefine/>
    <w:qFormat/>
    <w:uiPriority w:val="0"/>
    <w:pPr>
      <w:spacing w:after="120"/>
      <w:ind w:left="420" w:leftChars="200"/>
    </w:pPr>
    <w:rPr>
      <w:rFonts w:ascii="Times New Roman" w:hAnsi="Times New Roman"/>
      <w:szCs w:val="20"/>
    </w:rPr>
  </w:style>
  <w:style w:type="paragraph" w:styleId="20">
    <w:name w:val="toc 5"/>
    <w:basedOn w:val="1"/>
    <w:next w:val="1"/>
    <w:autoRedefine/>
    <w:qFormat/>
    <w:uiPriority w:val="39"/>
    <w:pPr>
      <w:ind w:left="800" w:leftChars="800"/>
    </w:pPr>
  </w:style>
  <w:style w:type="paragraph" w:styleId="21">
    <w:name w:val="toc 3"/>
    <w:basedOn w:val="1"/>
    <w:next w:val="1"/>
    <w:autoRedefine/>
    <w:qFormat/>
    <w:uiPriority w:val="39"/>
    <w:pPr>
      <w:ind w:left="400" w:leftChars="400"/>
    </w:pPr>
  </w:style>
  <w:style w:type="paragraph" w:styleId="22">
    <w:name w:val="Plain Text"/>
    <w:basedOn w:val="1"/>
    <w:link w:val="74"/>
    <w:autoRedefine/>
    <w:qFormat/>
    <w:uiPriority w:val="0"/>
    <w:rPr>
      <w:rFonts w:ascii="宋体"/>
    </w:rPr>
  </w:style>
  <w:style w:type="paragraph" w:styleId="23">
    <w:name w:val="toc 8"/>
    <w:basedOn w:val="1"/>
    <w:next w:val="1"/>
    <w:autoRedefine/>
    <w:qFormat/>
    <w:uiPriority w:val="39"/>
    <w:pPr>
      <w:ind w:left="1400" w:leftChars="1400"/>
    </w:pPr>
  </w:style>
  <w:style w:type="paragraph" w:styleId="24">
    <w:name w:val="Date"/>
    <w:basedOn w:val="1"/>
    <w:next w:val="1"/>
    <w:link w:val="75"/>
    <w:autoRedefine/>
    <w:qFormat/>
    <w:uiPriority w:val="0"/>
    <w:pPr>
      <w:ind w:left="2500" w:leftChars="2500"/>
    </w:pPr>
    <w:rPr>
      <w:rFonts w:ascii="Times New Roman" w:hAnsi="Times New Roman"/>
      <w:szCs w:val="20"/>
    </w:rPr>
  </w:style>
  <w:style w:type="paragraph" w:styleId="25">
    <w:name w:val="Balloon Text"/>
    <w:basedOn w:val="1"/>
    <w:link w:val="76"/>
    <w:autoRedefine/>
    <w:qFormat/>
    <w:uiPriority w:val="0"/>
    <w:rPr>
      <w:rFonts w:ascii="Times New Roman" w:hAnsi="Times New Roman"/>
      <w:sz w:val="18"/>
      <w:szCs w:val="20"/>
    </w:rPr>
  </w:style>
  <w:style w:type="paragraph" w:styleId="26">
    <w:name w:val="footer"/>
    <w:basedOn w:val="1"/>
    <w:link w:val="77"/>
    <w:autoRedefine/>
    <w:qFormat/>
    <w:uiPriority w:val="0"/>
    <w:pPr>
      <w:tabs>
        <w:tab w:val="center" w:pos="4153"/>
        <w:tab w:val="right" w:pos="8306"/>
      </w:tabs>
      <w:snapToGrid w:val="0"/>
      <w:jc w:val="left"/>
    </w:pPr>
    <w:rPr>
      <w:sz w:val="18"/>
    </w:rPr>
  </w:style>
  <w:style w:type="paragraph" w:styleId="27">
    <w:name w:val="header"/>
    <w:basedOn w:val="1"/>
    <w:link w:val="78"/>
    <w:autoRedefine/>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autoRedefine/>
    <w:qFormat/>
    <w:uiPriority w:val="39"/>
  </w:style>
  <w:style w:type="paragraph" w:styleId="29">
    <w:name w:val="toc 4"/>
    <w:basedOn w:val="1"/>
    <w:next w:val="1"/>
    <w:autoRedefine/>
    <w:qFormat/>
    <w:uiPriority w:val="39"/>
    <w:pPr>
      <w:ind w:left="600" w:leftChars="600"/>
    </w:pPr>
  </w:style>
  <w:style w:type="paragraph" w:styleId="30">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1">
    <w:name w:val="toc 6"/>
    <w:basedOn w:val="1"/>
    <w:next w:val="1"/>
    <w:autoRedefine/>
    <w:qFormat/>
    <w:uiPriority w:val="39"/>
    <w:pPr>
      <w:ind w:left="1000" w:leftChars="1000"/>
    </w:pPr>
  </w:style>
  <w:style w:type="paragraph" w:styleId="32">
    <w:name w:val="Body Text Indent 3"/>
    <w:basedOn w:val="1"/>
    <w:link w:val="79"/>
    <w:autoRedefine/>
    <w:qFormat/>
    <w:uiPriority w:val="0"/>
    <w:pPr>
      <w:spacing w:after="120"/>
      <w:ind w:left="200" w:leftChars="200"/>
    </w:pPr>
    <w:rPr>
      <w:sz w:val="16"/>
      <w:szCs w:val="16"/>
    </w:rPr>
  </w:style>
  <w:style w:type="paragraph" w:styleId="33">
    <w:name w:val="toc 2"/>
    <w:basedOn w:val="1"/>
    <w:next w:val="1"/>
    <w:autoRedefine/>
    <w:qFormat/>
    <w:uiPriority w:val="39"/>
    <w:pPr>
      <w:ind w:left="200" w:leftChars="200"/>
    </w:pPr>
  </w:style>
  <w:style w:type="paragraph" w:styleId="34">
    <w:name w:val="toc 9"/>
    <w:basedOn w:val="1"/>
    <w:next w:val="1"/>
    <w:autoRedefine/>
    <w:qFormat/>
    <w:uiPriority w:val="39"/>
    <w:pPr>
      <w:ind w:left="1600" w:leftChars="1600"/>
    </w:pPr>
  </w:style>
  <w:style w:type="paragraph" w:styleId="35">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autoRedefine/>
    <w:qFormat/>
    <w:uiPriority w:val="0"/>
    <w:pPr>
      <w:spacing w:line="220" w:lineRule="exact"/>
      <w:jc w:val="center"/>
    </w:pPr>
    <w:rPr>
      <w:rFonts w:ascii="仿宋_GB2312" w:hAnsi="Times New Roman" w:eastAsia="仿宋_GB2312"/>
      <w:szCs w:val="21"/>
    </w:rPr>
  </w:style>
  <w:style w:type="paragraph" w:styleId="37">
    <w:name w:val="Title"/>
    <w:basedOn w:val="1"/>
    <w:link w:val="8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1"/>
    <w:autoRedefine/>
    <w:qFormat/>
    <w:uiPriority w:val="0"/>
  </w:style>
  <w:style w:type="paragraph" w:styleId="39">
    <w:name w:val="Body Text First Indent"/>
    <w:basedOn w:val="1"/>
    <w:link w:val="82"/>
    <w:autoRedefine/>
    <w:qFormat/>
    <w:uiPriority w:val="0"/>
    <w:pPr>
      <w:spacing w:line="312" w:lineRule="auto"/>
      <w:ind w:firstLine="420"/>
    </w:pPr>
    <w:rPr>
      <w:rFonts w:ascii="Times New Roman" w:hAnsi="Times New Roman"/>
      <w:szCs w:val="24"/>
    </w:rPr>
  </w:style>
  <w:style w:type="paragraph" w:styleId="40">
    <w:name w:val="Body Text First Indent 2"/>
    <w:basedOn w:val="19"/>
    <w:autoRedefine/>
    <w:qFormat/>
    <w:uiPriority w:val="99"/>
    <w:pPr>
      <w:ind w:firstLine="420" w:firstLineChars="200"/>
    </w:pPr>
  </w:style>
  <w:style w:type="table" w:styleId="42">
    <w:name w:val="Table Grid"/>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basedOn w:val="43"/>
    <w:autoRedefine/>
    <w:unhideWhenUsed/>
    <w:qFormat/>
    <w:uiPriority w:val="99"/>
    <w:rPr>
      <w:color w:val="800080"/>
      <w:u w:val="none"/>
    </w:rPr>
  </w:style>
  <w:style w:type="character" w:styleId="47">
    <w:name w:val="Emphasis"/>
    <w:basedOn w:val="43"/>
    <w:autoRedefine/>
    <w:qFormat/>
    <w:uiPriority w:val="0"/>
    <w:rPr>
      <w:b/>
    </w:rPr>
  </w:style>
  <w:style w:type="character" w:styleId="48">
    <w:name w:val="HTML Definition"/>
    <w:basedOn w:val="43"/>
    <w:autoRedefine/>
    <w:unhideWhenUsed/>
    <w:qFormat/>
    <w:uiPriority w:val="0"/>
  </w:style>
  <w:style w:type="character" w:styleId="49">
    <w:name w:val="HTML Typewriter"/>
    <w:basedOn w:val="43"/>
    <w:autoRedefine/>
    <w:unhideWhenUsed/>
    <w:qFormat/>
    <w:uiPriority w:val="0"/>
    <w:rPr>
      <w:rFonts w:hint="default" w:ascii="monospace" w:hAnsi="monospace" w:eastAsia="monospace" w:cs="monospace"/>
      <w:sz w:val="19"/>
      <w:szCs w:val="19"/>
    </w:rPr>
  </w:style>
  <w:style w:type="character" w:styleId="50">
    <w:name w:val="HTML Acronym"/>
    <w:basedOn w:val="43"/>
    <w:autoRedefine/>
    <w:unhideWhenUsed/>
    <w:qFormat/>
    <w:uiPriority w:val="0"/>
  </w:style>
  <w:style w:type="character" w:styleId="51">
    <w:name w:val="HTML Variable"/>
    <w:basedOn w:val="43"/>
    <w:autoRedefine/>
    <w:unhideWhenUsed/>
    <w:qFormat/>
    <w:uiPriority w:val="0"/>
  </w:style>
  <w:style w:type="character" w:styleId="52">
    <w:name w:val="Hyperlink"/>
    <w:basedOn w:val="43"/>
    <w:autoRedefine/>
    <w:qFormat/>
    <w:uiPriority w:val="99"/>
    <w:rPr>
      <w:color w:val="0000FF"/>
      <w:u w:val="none"/>
    </w:rPr>
  </w:style>
  <w:style w:type="character" w:styleId="53">
    <w:name w:val="HTML Code"/>
    <w:basedOn w:val="43"/>
    <w:autoRedefine/>
    <w:unhideWhenUsed/>
    <w:qFormat/>
    <w:uiPriority w:val="0"/>
    <w:rPr>
      <w:rFonts w:hint="default" w:ascii="monospace" w:hAnsi="monospace" w:eastAsia="monospace" w:cs="monospace"/>
      <w:sz w:val="20"/>
    </w:rPr>
  </w:style>
  <w:style w:type="character" w:styleId="54">
    <w:name w:val="annotation reference"/>
    <w:autoRedefine/>
    <w:qFormat/>
    <w:uiPriority w:val="0"/>
    <w:rPr>
      <w:sz w:val="21"/>
    </w:rPr>
  </w:style>
  <w:style w:type="character" w:styleId="55">
    <w:name w:val="HTML Cite"/>
    <w:basedOn w:val="43"/>
    <w:autoRedefine/>
    <w:unhideWhenUsed/>
    <w:qFormat/>
    <w:uiPriority w:val="0"/>
  </w:style>
  <w:style w:type="character" w:styleId="56">
    <w:name w:val="footnote reference"/>
    <w:autoRedefine/>
    <w:qFormat/>
    <w:uiPriority w:val="0"/>
    <w:rPr>
      <w:vertAlign w:val="superscript"/>
    </w:rPr>
  </w:style>
  <w:style w:type="character" w:styleId="57">
    <w:name w:val="HTML Keyboard"/>
    <w:basedOn w:val="43"/>
    <w:autoRedefine/>
    <w:unhideWhenUsed/>
    <w:qFormat/>
    <w:uiPriority w:val="0"/>
    <w:rPr>
      <w:rFonts w:hint="default" w:ascii="monospace" w:hAnsi="monospace" w:eastAsia="monospace" w:cs="monospace"/>
      <w:sz w:val="20"/>
    </w:rPr>
  </w:style>
  <w:style w:type="character" w:styleId="58">
    <w:name w:val="HTML Sample"/>
    <w:basedOn w:val="43"/>
    <w:autoRedefine/>
    <w:unhideWhenUsed/>
    <w:qFormat/>
    <w:uiPriority w:val="0"/>
    <w:rPr>
      <w:rFonts w:ascii="monospace" w:hAnsi="monospace" w:eastAsia="monospace" w:cs="monospace"/>
    </w:rPr>
  </w:style>
  <w:style w:type="paragraph" w:customStyle="1" w:styleId="59">
    <w:name w:val="Default"/>
    <w:autoRedefine/>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character" w:customStyle="1" w:styleId="60">
    <w:name w:val="正文文本 Char1"/>
    <w:basedOn w:val="43"/>
    <w:link w:val="17"/>
    <w:autoRedefine/>
    <w:qFormat/>
    <w:uiPriority w:val="0"/>
    <w:rPr>
      <w:rFonts w:eastAsia="宋体"/>
      <w:kern w:val="2"/>
      <w:sz w:val="21"/>
    </w:rPr>
  </w:style>
  <w:style w:type="character" w:customStyle="1" w:styleId="61">
    <w:name w:val="标题 1 Char"/>
    <w:basedOn w:val="43"/>
    <w:link w:val="2"/>
    <w:autoRedefine/>
    <w:qFormat/>
    <w:uiPriority w:val="0"/>
    <w:rPr>
      <w:rFonts w:eastAsia="宋体"/>
      <w:b/>
      <w:kern w:val="44"/>
      <w:sz w:val="44"/>
    </w:rPr>
  </w:style>
  <w:style w:type="character" w:customStyle="1" w:styleId="62">
    <w:name w:val="标题 2 Char"/>
    <w:basedOn w:val="43"/>
    <w:link w:val="3"/>
    <w:autoRedefine/>
    <w:qFormat/>
    <w:uiPriority w:val="0"/>
    <w:rPr>
      <w:rFonts w:ascii="Arial" w:hAnsi="Arial" w:eastAsia="黑体"/>
      <w:b/>
      <w:kern w:val="2"/>
      <w:sz w:val="32"/>
    </w:rPr>
  </w:style>
  <w:style w:type="character" w:customStyle="1" w:styleId="63">
    <w:name w:val="标题 3 Char"/>
    <w:basedOn w:val="43"/>
    <w:link w:val="4"/>
    <w:autoRedefine/>
    <w:qFormat/>
    <w:uiPriority w:val="0"/>
    <w:rPr>
      <w:rFonts w:ascii="黑体" w:hAnsi="Calibri" w:eastAsia="黑体"/>
      <w:kern w:val="2"/>
      <w:sz w:val="28"/>
    </w:rPr>
  </w:style>
  <w:style w:type="character" w:customStyle="1" w:styleId="64">
    <w:name w:val="标题 4 Char"/>
    <w:basedOn w:val="43"/>
    <w:link w:val="5"/>
    <w:autoRedefine/>
    <w:qFormat/>
    <w:uiPriority w:val="0"/>
    <w:rPr>
      <w:rFonts w:ascii="Arial" w:hAnsi="Arial" w:eastAsia="黑体"/>
      <w:b/>
      <w:bCs/>
      <w:kern w:val="2"/>
      <w:sz w:val="28"/>
      <w:szCs w:val="28"/>
    </w:rPr>
  </w:style>
  <w:style w:type="character" w:customStyle="1" w:styleId="65">
    <w:name w:val="标题 5 Char"/>
    <w:basedOn w:val="43"/>
    <w:link w:val="6"/>
    <w:autoRedefine/>
    <w:semiHidden/>
    <w:qFormat/>
    <w:uiPriority w:val="9"/>
    <w:rPr>
      <w:rFonts w:eastAsia="宋体"/>
      <w:b/>
      <w:bCs/>
      <w:kern w:val="2"/>
      <w:sz w:val="28"/>
      <w:szCs w:val="28"/>
    </w:rPr>
  </w:style>
  <w:style w:type="character" w:customStyle="1" w:styleId="66">
    <w:name w:val="标题 6 Char"/>
    <w:basedOn w:val="43"/>
    <w:link w:val="7"/>
    <w:autoRedefine/>
    <w:qFormat/>
    <w:uiPriority w:val="0"/>
    <w:rPr>
      <w:rFonts w:ascii="Arial" w:hAnsi="Arial" w:eastAsia="黑体"/>
      <w:b/>
      <w:bCs/>
      <w:sz w:val="24"/>
    </w:rPr>
  </w:style>
  <w:style w:type="character" w:customStyle="1" w:styleId="67">
    <w:name w:val="标题 7 Char"/>
    <w:basedOn w:val="43"/>
    <w:link w:val="8"/>
    <w:autoRedefine/>
    <w:qFormat/>
    <w:uiPriority w:val="0"/>
    <w:rPr>
      <w:rFonts w:eastAsia="宋体"/>
      <w:b/>
      <w:bCs/>
      <w:sz w:val="24"/>
    </w:rPr>
  </w:style>
  <w:style w:type="character" w:customStyle="1" w:styleId="68">
    <w:name w:val="标题 8 Char"/>
    <w:basedOn w:val="43"/>
    <w:link w:val="9"/>
    <w:autoRedefine/>
    <w:qFormat/>
    <w:uiPriority w:val="0"/>
    <w:rPr>
      <w:rFonts w:ascii="Arial" w:hAnsi="Arial" w:eastAsia="黑体"/>
      <w:sz w:val="24"/>
    </w:rPr>
  </w:style>
  <w:style w:type="character" w:customStyle="1" w:styleId="69">
    <w:name w:val="标题 9 Char"/>
    <w:basedOn w:val="43"/>
    <w:link w:val="10"/>
    <w:autoRedefine/>
    <w:qFormat/>
    <w:uiPriority w:val="0"/>
    <w:rPr>
      <w:rFonts w:ascii="Arial" w:hAnsi="Arial" w:eastAsia="黑体"/>
      <w:sz w:val="21"/>
      <w:szCs w:val="21"/>
    </w:rPr>
  </w:style>
  <w:style w:type="character" w:customStyle="1" w:styleId="70">
    <w:name w:val="文档结构图 Char"/>
    <w:link w:val="14"/>
    <w:autoRedefine/>
    <w:qFormat/>
    <w:uiPriority w:val="0"/>
    <w:rPr>
      <w:rFonts w:ascii="宋体" w:hAnsi="Calibri" w:eastAsia="宋体" w:cs="宋体"/>
      <w:kern w:val="2"/>
      <w:sz w:val="18"/>
      <w:szCs w:val="18"/>
    </w:rPr>
  </w:style>
  <w:style w:type="character" w:customStyle="1" w:styleId="71">
    <w:name w:val="批注文字 Char"/>
    <w:basedOn w:val="43"/>
    <w:link w:val="15"/>
    <w:autoRedefine/>
    <w:qFormat/>
    <w:uiPriority w:val="0"/>
    <w:rPr>
      <w:rFonts w:eastAsia="宋体"/>
      <w:kern w:val="2"/>
      <w:sz w:val="21"/>
    </w:rPr>
  </w:style>
  <w:style w:type="character" w:customStyle="1" w:styleId="72">
    <w:name w:val="正文文本 3 Char"/>
    <w:basedOn w:val="43"/>
    <w:link w:val="16"/>
    <w:autoRedefine/>
    <w:qFormat/>
    <w:uiPriority w:val="0"/>
    <w:rPr>
      <w:rFonts w:ascii="宋体" w:hAnsi="Calibri" w:eastAsia="宋体"/>
      <w:kern w:val="2"/>
      <w:sz w:val="24"/>
    </w:rPr>
  </w:style>
  <w:style w:type="character" w:customStyle="1" w:styleId="73">
    <w:name w:val="正文文本缩进 Char"/>
    <w:basedOn w:val="43"/>
    <w:link w:val="19"/>
    <w:autoRedefine/>
    <w:qFormat/>
    <w:uiPriority w:val="0"/>
    <w:rPr>
      <w:rFonts w:eastAsia="宋体"/>
      <w:kern w:val="2"/>
      <w:sz w:val="21"/>
    </w:rPr>
  </w:style>
  <w:style w:type="character" w:customStyle="1" w:styleId="74">
    <w:name w:val="纯文本 Char"/>
    <w:link w:val="22"/>
    <w:autoRedefine/>
    <w:qFormat/>
    <w:uiPriority w:val="0"/>
    <w:rPr>
      <w:rFonts w:ascii="宋体" w:hAnsi="Calibri"/>
      <w:kern w:val="2"/>
      <w:sz w:val="21"/>
      <w:szCs w:val="22"/>
    </w:rPr>
  </w:style>
  <w:style w:type="character" w:customStyle="1" w:styleId="75">
    <w:name w:val="日期 Char"/>
    <w:link w:val="24"/>
    <w:autoRedefine/>
    <w:qFormat/>
    <w:uiPriority w:val="0"/>
    <w:rPr>
      <w:rFonts w:eastAsia="宋体"/>
      <w:kern w:val="2"/>
      <w:sz w:val="21"/>
    </w:rPr>
  </w:style>
  <w:style w:type="character" w:customStyle="1" w:styleId="76">
    <w:name w:val="批注框文本 Char"/>
    <w:link w:val="25"/>
    <w:autoRedefine/>
    <w:qFormat/>
    <w:uiPriority w:val="0"/>
    <w:rPr>
      <w:rFonts w:eastAsia="宋体"/>
      <w:kern w:val="2"/>
      <w:sz w:val="18"/>
    </w:rPr>
  </w:style>
  <w:style w:type="character" w:customStyle="1" w:styleId="77">
    <w:name w:val="页脚 Char"/>
    <w:link w:val="26"/>
    <w:autoRedefine/>
    <w:qFormat/>
    <w:uiPriority w:val="0"/>
    <w:rPr>
      <w:rFonts w:ascii="Calibri" w:hAnsi="Calibri" w:eastAsia="宋体"/>
      <w:kern w:val="2"/>
      <w:sz w:val="18"/>
      <w:szCs w:val="22"/>
    </w:rPr>
  </w:style>
  <w:style w:type="character" w:customStyle="1" w:styleId="78">
    <w:name w:val="页眉 Char"/>
    <w:link w:val="27"/>
    <w:autoRedefine/>
    <w:qFormat/>
    <w:uiPriority w:val="0"/>
    <w:rPr>
      <w:rFonts w:eastAsia="宋体"/>
      <w:kern w:val="2"/>
      <w:sz w:val="18"/>
    </w:rPr>
  </w:style>
  <w:style w:type="character" w:customStyle="1" w:styleId="79">
    <w:name w:val="正文文本缩进 3 Char"/>
    <w:basedOn w:val="43"/>
    <w:link w:val="32"/>
    <w:autoRedefine/>
    <w:qFormat/>
    <w:uiPriority w:val="0"/>
    <w:rPr>
      <w:rFonts w:ascii="Calibri" w:hAnsi="Calibri" w:eastAsia="宋体"/>
      <w:kern w:val="2"/>
      <w:sz w:val="16"/>
      <w:szCs w:val="16"/>
    </w:rPr>
  </w:style>
  <w:style w:type="character" w:customStyle="1" w:styleId="80">
    <w:name w:val="标题 Char"/>
    <w:basedOn w:val="43"/>
    <w:link w:val="37"/>
    <w:autoRedefine/>
    <w:qFormat/>
    <w:uiPriority w:val="0"/>
    <w:rPr>
      <w:rFonts w:ascii="Arial" w:hAnsi="Arial" w:eastAsia="宋体"/>
      <w:b/>
      <w:sz w:val="32"/>
    </w:rPr>
  </w:style>
  <w:style w:type="character" w:customStyle="1" w:styleId="81">
    <w:name w:val="批注主题 Char"/>
    <w:link w:val="38"/>
    <w:autoRedefine/>
    <w:qFormat/>
    <w:uiPriority w:val="0"/>
    <w:rPr>
      <w:rFonts w:eastAsia="宋体"/>
      <w:kern w:val="2"/>
      <w:sz w:val="21"/>
    </w:rPr>
  </w:style>
  <w:style w:type="character" w:customStyle="1" w:styleId="82">
    <w:name w:val="正文首行缩进 Char1"/>
    <w:basedOn w:val="60"/>
    <w:link w:val="39"/>
    <w:autoRedefine/>
    <w:qFormat/>
    <w:uiPriority w:val="99"/>
    <w:rPr>
      <w:rFonts w:eastAsia="宋体"/>
      <w:kern w:val="2"/>
      <w:sz w:val="21"/>
    </w:rPr>
  </w:style>
  <w:style w:type="paragraph" w:customStyle="1" w:styleId="83">
    <w:name w:val="BodyText"/>
    <w:basedOn w:val="1"/>
    <w:autoRedefine/>
    <w:qFormat/>
    <w:uiPriority w:val="0"/>
    <w:pPr>
      <w:spacing w:before="260" w:after="260" w:line="360" w:lineRule="auto"/>
    </w:pPr>
    <w:rPr>
      <w:rFonts w:ascii="Times New Roman" w:hAnsi="Times New Roman"/>
      <w:sz w:val="24"/>
      <w:szCs w:val="20"/>
    </w:rPr>
  </w:style>
  <w:style w:type="character" w:customStyle="1" w:styleId="84">
    <w:name w:val="批注文字 Char1"/>
    <w:autoRedefine/>
    <w:qFormat/>
    <w:uiPriority w:val="0"/>
    <w:rPr>
      <w:rFonts w:ascii="Times New Roman" w:hAnsi="Times New Roman" w:eastAsia="宋体" w:cs="Times New Roman"/>
      <w:sz w:val="20"/>
      <w:szCs w:val="20"/>
      <w:lang w:bidi="ar-SA"/>
    </w:rPr>
  </w:style>
  <w:style w:type="character" w:customStyle="1" w:styleId="85">
    <w:name w:val="Comment Text Char"/>
    <w:autoRedefine/>
    <w:qFormat/>
    <w:uiPriority w:val="0"/>
  </w:style>
  <w:style w:type="character" w:customStyle="1" w:styleId="86">
    <w:name w:val="正文首行缩进 Char"/>
    <w:basedOn w:val="87"/>
    <w:autoRedefine/>
    <w:qFormat/>
    <w:uiPriority w:val="0"/>
    <w:rPr>
      <w:rFonts w:eastAsia="宋体"/>
      <w:kern w:val="2"/>
      <w:sz w:val="21"/>
      <w:szCs w:val="24"/>
      <w:lang w:val="en-US" w:eastAsia="zh-CN" w:bidi="ar-SA"/>
    </w:rPr>
  </w:style>
  <w:style w:type="character" w:customStyle="1" w:styleId="87">
    <w:name w:val="正文文本 Char"/>
    <w:autoRedefine/>
    <w:qFormat/>
    <w:uiPriority w:val="0"/>
    <w:rPr>
      <w:rFonts w:eastAsia="宋体"/>
      <w:kern w:val="2"/>
      <w:sz w:val="21"/>
      <w:szCs w:val="24"/>
      <w:lang w:val="en-US" w:eastAsia="zh-CN" w:bidi="ar-SA"/>
    </w:rPr>
  </w:style>
  <w:style w:type="character" w:customStyle="1" w:styleId="88">
    <w:name w:val="style_kwd"/>
    <w:basedOn w:val="43"/>
    <w:autoRedefine/>
    <w:qFormat/>
    <w:uiPriority w:val="0"/>
  </w:style>
  <w:style w:type="character" w:customStyle="1" w:styleId="89">
    <w:name w:val="font161"/>
    <w:autoRedefine/>
    <w:qFormat/>
    <w:uiPriority w:val="0"/>
    <w:rPr>
      <w:b/>
      <w:bCs/>
      <w:sz w:val="32"/>
      <w:szCs w:val="32"/>
    </w:rPr>
  </w:style>
  <w:style w:type="character" w:customStyle="1" w:styleId="90">
    <w:name w:val="无间隔 Char"/>
    <w:link w:val="91"/>
    <w:autoRedefine/>
    <w:qFormat/>
    <w:uiPriority w:val="1"/>
    <w:rPr>
      <w:sz w:val="24"/>
      <w:szCs w:val="24"/>
      <w:lang w:val="en-US" w:eastAsia="zh-CN" w:bidi="ar-SA"/>
    </w:rPr>
  </w:style>
  <w:style w:type="paragraph" w:styleId="91">
    <w:name w:val="No Spacing"/>
    <w:link w:val="90"/>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2">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3">
    <w:name w:val="Table Paragraph"/>
    <w:basedOn w:val="1"/>
    <w:autoRedefine/>
    <w:qFormat/>
    <w:uiPriority w:val="1"/>
    <w:pPr>
      <w:jc w:val="left"/>
    </w:pPr>
    <w:rPr>
      <w:sz w:val="22"/>
      <w:lang w:eastAsia="en-US"/>
    </w:rPr>
  </w:style>
  <w:style w:type="paragraph" w:customStyle="1" w:styleId="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5">
    <w:name w:val="List Paragraph"/>
    <w:basedOn w:val="1"/>
    <w:autoRedefine/>
    <w:qFormat/>
    <w:uiPriority w:val="0"/>
    <w:pPr>
      <w:ind w:firstLine="420" w:firstLineChars="200"/>
    </w:pPr>
  </w:style>
  <w:style w:type="paragraph" w:customStyle="1" w:styleId="96">
    <w:name w:val="_Style 2"/>
    <w:basedOn w:val="1"/>
    <w:next w:val="1"/>
    <w:autoRedefine/>
    <w:qFormat/>
    <w:uiPriority w:val="99"/>
    <w:pPr>
      <w:tabs>
        <w:tab w:val="left" w:pos="840"/>
      </w:tabs>
      <w:ind w:firstLine="420" w:firstLineChars="200"/>
    </w:pPr>
  </w:style>
  <w:style w:type="paragraph" w:customStyle="1" w:styleId="97">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8">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9">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100">
    <w:name w:val="1"/>
    <w:basedOn w:val="1"/>
    <w:autoRedefine/>
    <w:qFormat/>
    <w:uiPriority w:val="0"/>
    <w:rPr>
      <w:rFonts w:ascii="Times New Roman" w:hAnsi="Times New Roman"/>
      <w:szCs w:val="20"/>
    </w:rPr>
  </w:style>
  <w:style w:type="paragraph" w:customStyle="1" w:styleId="101">
    <w:name w:val="我的正文"/>
    <w:basedOn w:val="1"/>
    <w:autoRedefine/>
    <w:qFormat/>
    <w:uiPriority w:val="0"/>
    <w:rPr>
      <w:rFonts w:ascii="宋体" w:hAnsi="宋体"/>
      <w:sz w:val="24"/>
      <w:szCs w:val="24"/>
    </w:rPr>
  </w:style>
  <w:style w:type="paragraph" w:customStyle="1" w:styleId="102">
    <w:name w:val="Char1"/>
    <w:basedOn w:val="1"/>
    <w:autoRedefine/>
    <w:qFormat/>
    <w:uiPriority w:val="0"/>
    <w:pPr>
      <w:tabs>
        <w:tab w:val="left" w:pos="360"/>
      </w:tabs>
    </w:pPr>
    <w:rPr>
      <w:rFonts w:ascii="Times New Roman" w:hAnsi="Times New Roman"/>
      <w:sz w:val="24"/>
      <w:szCs w:val="20"/>
    </w:rPr>
  </w:style>
  <w:style w:type="paragraph" w:customStyle="1" w:styleId="103">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4">
    <w:name w:val="样式2"/>
    <w:basedOn w:val="4"/>
    <w:autoRedefine/>
    <w:qFormat/>
    <w:uiPriority w:val="0"/>
    <w:pPr>
      <w:spacing w:line="415" w:lineRule="auto"/>
      <w:ind w:firstLine="137"/>
    </w:pPr>
    <w:rPr>
      <w:rFonts w:hAnsi="Times New Roman"/>
      <w:bCs/>
      <w:i/>
      <w:szCs w:val="28"/>
    </w:rPr>
  </w:style>
  <w:style w:type="paragraph" w:customStyle="1" w:styleId="105">
    <w:name w:val="样式1"/>
    <w:basedOn w:val="1"/>
    <w:next w:val="5"/>
    <w:autoRedefine/>
    <w:qFormat/>
    <w:uiPriority w:val="0"/>
    <w:pPr>
      <w:spacing w:line="360" w:lineRule="auto"/>
      <w:ind w:firstLine="420" w:firstLineChars="200"/>
    </w:pPr>
    <w:rPr>
      <w:rFonts w:ascii="宋体" w:hAnsi="宋体"/>
      <w:szCs w:val="21"/>
    </w:rPr>
  </w:style>
  <w:style w:type="paragraph" w:customStyle="1" w:styleId="10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7">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8">
    <w:name w:val="表格"/>
    <w:basedOn w:val="1"/>
    <w:autoRedefine/>
    <w:qFormat/>
    <w:uiPriority w:val="0"/>
    <w:pPr>
      <w:jc w:val="center"/>
      <w:textAlignment w:val="center"/>
    </w:pPr>
    <w:rPr>
      <w:rFonts w:ascii="华文细黑" w:hAnsi="华文细黑"/>
      <w:kern w:val="0"/>
      <w:szCs w:val="20"/>
    </w:rPr>
  </w:style>
  <w:style w:type="paragraph" w:customStyle="1" w:styleId="109">
    <w:name w:val="_Style 23"/>
    <w:basedOn w:val="1"/>
    <w:autoRedefine/>
    <w:qFormat/>
    <w:uiPriority w:val="0"/>
    <w:pPr>
      <w:widowControl/>
      <w:spacing w:after="160" w:line="240" w:lineRule="exact"/>
      <w:jc w:val="left"/>
    </w:pPr>
  </w:style>
  <w:style w:type="paragraph" w:customStyle="1" w:styleId="11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11">
    <w:name w:val="修订3"/>
    <w:autoRedefine/>
    <w:qFormat/>
    <w:uiPriority w:val="0"/>
    <w:rPr>
      <w:rFonts w:ascii="Times New Roman" w:hAnsi="Times New Roman" w:eastAsia="宋体" w:cs="Times New Roman"/>
      <w:kern w:val="2"/>
      <w:sz w:val="21"/>
      <w:lang w:val="en-US" w:eastAsia="zh-CN" w:bidi="ar-SA"/>
    </w:rPr>
  </w:style>
  <w:style w:type="paragraph" w:customStyle="1" w:styleId="112">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3">
    <w:name w:val="正文00"/>
    <w:basedOn w:val="1"/>
    <w:autoRedefine/>
    <w:qFormat/>
    <w:uiPriority w:val="0"/>
    <w:pPr>
      <w:topLinePunct/>
    </w:pPr>
    <w:rPr>
      <w:sz w:val="24"/>
      <w:szCs w:val="21"/>
    </w:rPr>
  </w:style>
  <w:style w:type="paragraph" w:customStyle="1" w:styleId="114">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5">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6">
    <w:name w:val="网格型1"/>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17031</Words>
  <Characters>19403</Characters>
  <Lines>72</Lines>
  <Paragraphs>20</Paragraphs>
  <TotalTime>0</TotalTime>
  <ScaleCrop>false</ScaleCrop>
  <LinksUpToDate>false</LinksUpToDate>
  <CharactersWithSpaces>20853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2021-04-19T06:13:00Z</dcterms:created>
  <dc:creator>Administrator</dc:creator>
  <cp:lastModifiedBy>心随我动</cp:lastModifiedBy>
  <cp:lastPrinted>2021-04-19T23:38:00Z</cp:lastPrinted>
  <dcterms:modified xsi:type="dcterms:W3CDTF">2024-05-29T08:46:11Z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9A66A170B3514223A032186D1EF23489_13</vt:lpwstr>
  </property>
</Properties>
</file>