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line="400" w:lineRule="exact"/>
        <w:ind w:firstLine="420" w:firstLineChars="200"/>
        <w:rPr>
          <w:rFonts w:ascii="宋体" w:hAnsi="宋体"/>
          <w:color w:val="auto"/>
          <w:highlight w:val="none"/>
        </w:rPr>
      </w:pPr>
    </w:p>
    <w:p>
      <w:pPr>
        <w:spacing w:beforeLines="50" w:afterLines="50" w:line="360" w:lineRule="auto"/>
        <w:jc w:val="center"/>
        <w:rPr>
          <w:rFonts w:ascii="宋体" w:hAnsi="宋体"/>
          <w:b/>
          <w:bCs/>
          <w:color w:val="auto"/>
          <w:sz w:val="40"/>
          <w:szCs w:val="44"/>
          <w:highlight w:val="none"/>
        </w:rPr>
      </w:pPr>
    </w:p>
    <w:p>
      <w:pPr>
        <w:spacing w:beforeLines="50" w:afterLines="50" w:line="360" w:lineRule="auto"/>
        <w:jc w:val="center"/>
        <w:rPr>
          <w:rFonts w:hint="eastAsia" w:ascii="宋体" w:hAnsi="宋体"/>
          <w:b/>
          <w:bCs/>
          <w:color w:val="auto"/>
          <w:sz w:val="40"/>
          <w:szCs w:val="44"/>
          <w:highlight w:val="none"/>
          <w:lang w:eastAsia="zh-CN"/>
        </w:rPr>
      </w:pPr>
      <w:r>
        <w:rPr>
          <w:rFonts w:hint="eastAsia" w:ascii="宋体" w:hAnsi="宋体"/>
          <w:b/>
          <w:bCs/>
          <w:color w:val="auto"/>
          <w:sz w:val="40"/>
          <w:szCs w:val="44"/>
          <w:highlight w:val="none"/>
        </w:rPr>
        <w:t>河北高速公路集团有限公司</w:t>
      </w:r>
      <w:r>
        <w:rPr>
          <w:rFonts w:hint="eastAsia" w:ascii="宋体" w:hAnsi="宋体"/>
          <w:b/>
          <w:bCs/>
          <w:color w:val="auto"/>
          <w:sz w:val="40"/>
          <w:szCs w:val="44"/>
          <w:highlight w:val="none"/>
          <w:lang w:val="en-US" w:eastAsia="zh-CN"/>
        </w:rPr>
        <w:t>承德分公司</w:t>
      </w:r>
      <w:r>
        <w:rPr>
          <w:rFonts w:hint="eastAsia" w:ascii="宋体" w:hAnsi="宋体"/>
          <w:b/>
          <w:bCs/>
          <w:color w:val="auto"/>
          <w:sz w:val="40"/>
          <w:szCs w:val="44"/>
          <w:highlight w:val="none"/>
          <w:lang w:eastAsia="zh-CN"/>
        </w:rPr>
        <w:t>“</w:t>
      </w:r>
      <w:r>
        <w:rPr>
          <w:rFonts w:hint="eastAsia" w:ascii="宋体" w:hAnsi="宋体"/>
          <w:b/>
          <w:bCs/>
          <w:color w:val="auto"/>
          <w:sz w:val="40"/>
          <w:szCs w:val="44"/>
          <w:highlight w:val="none"/>
        </w:rPr>
        <w:t>高寒地区零碳智慧隧道智能降耗关键技术研究与试点应用</w:t>
      </w:r>
      <w:r>
        <w:rPr>
          <w:rFonts w:hint="eastAsia" w:ascii="宋体" w:hAnsi="宋体"/>
          <w:b/>
          <w:bCs/>
          <w:color w:val="auto"/>
          <w:sz w:val="40"/>
          <w:szCs w:val="44"/>
          <w:highlight w:val="none"/>
          <w:lang w:eastAsia="zh-CN"/>
        </w:rPr>
        <w:t>”</w:t>
      </w:r>
    </w:p>
    <w:p>
      <w:pPr>
        <w:spacing w:beforeLines="50" w:afterLines="50" w:line="360" w:lineRule="auto"/>
        <w:jc w:val="center"/>
        <w:rPr>
          <w:rFonts w:ascii="宋体" w:hAnsi="宋体"/>
          <w:bCs/>
          <w:color w:val="auto"/>
          <w:sz w:val="44"/>
          <w:szCs w:val="44"/>
          <w:highlight w:val="none"/>
        </w:rPr>
      </w:pPr>
      <w:r>
        <w:rPr>
          <w:rFonts w:hint="eastAsia" w:ascii="宋体" w:hAnsi="宋体"/>
          <w:b/>
          <w:bCs/>
          <w:color w:val="auto"/>
          <w:sz w:val="40"/>
          <w:szCs w:val="44"/>
          <w:highlight w:val="none"/>
        </w:rPr>
        <w:t>科技创新项目</w:t>
      </w: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pStyle w:val="16"/>
        <w:rPr>
          <w:rFonts w:ascii="宋体" w:hAnsi="宋体"/>
          <w:color w:val="auto"/>
          <w:highlight w:val="none"/>
        </w:rPr>
      </w:pPr>
    </w:p>
    <w:p>
      <w:pPr>
        <w:pStyle w:val="17"/>
        <w:rPr>
          <w:rFonts w:ascii="宋体" w:hAnsi="宋体"/>
          <w:color w:val="auto"/>
          <w:highlight w:val="none"/>
        </w:rPr>
      </w:pPr>
    </w:p>
    <w:p>
      <w:pPr>
        <w:rPr>
          <w:rFonts w:ascii="宋体" w:hAnsi="宋体"/>
          <w:color w:val="auto"/>
          <w:highlight w:val="none"/>
        </w:rPr>
      </w:pPr>
    </w:p>
    <w:p>
      <w:pPr>
        <w:spacing w:beforeLines="5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pPr>
        <w:spacing w:beforeLines="50" w:afterLines="50"/>
        <w:jc w:val="center"/>
        <w:rPr>
          <w:rFonts w:ascii="宋体" w:hAnsi="宋体"/>
          <w:bCs/>
          <w:color w:val="auto"/>
          <w:sz w:val="30"/>
          <w:szCs w:val="30"/>
          <w:highlight w:val="none"/>
        </w:rPr>
      </w:pPr>
    </w:p>
    <w:p>
      <w:pPr>
        <w:spacing w:beforeLines="50" w:afterLines="50"/>
        <w:jc w:val="center"/>
        <w:rPr>
          <w:rFonts w:hint="default" w:ascii="宋体" w:hAnsi="宋体" w:eastAsia="宋体"/>
          <w:color w:val="auto"/>
          <w:highlight w:val="none"/>
          <w:lang w:val="en-US" w:eastAsia="zh-CN"/>
        </w:rPr>
      </w:pPr>
      <w:r>
        <w:rPr>
          <w:rFonts w:hint="eastAsia" w:ascii="宋体" w:hAnsi="宋体"/>
          <w:bCs/>
          <w:color w:val="auto"/>
          <w:sz w:val="30"/>
          <w:szCs w:val="30"/>
          <w:highlight w:val="none"/>
        </w:rPr>
        <w:t>项目编号：</w:t>
      </w:r>
      <w:r>
        <w:rPr>
          <w:rFonts w:hint="eastAsia" w:ascii="宋体" w:hAnsi="宋体"/>
          <w:bCs/>
          <w:color w:val="auto"/>
          <w:sz w:val="30"/>
          <w:szCs w:val="30"/>
          <w:highlight w:val="none"/>
          <w:lang w:val="en-US" w:eastAsia="zh-CN"/>
        </w:rPr>
        <w:t>ZXGS-JBGS-202405-2</w:t>
      </w:r>
    </w:p>
    <w:p>
      <w:pPr>
        <w:spacing w:beforeLines="50" w:afterLines="50"/>
        <w:jc w:val="center"/>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spacing w:beforeLines="50" w:afterLines="50"/>
        <w:ind w:firstLine="420" w:firstLineChars="200"/>
        <w:jc w:val="left"/>
        <w:rPr>
          <w:rFonts w:ascii="宋体" w:hAnsi="宋体"/>
          <w:color w:val="auto"/>
          <w:highlight w:val="none"/>
        </w:rPr>
      </w:pPr>
    </w:p>
    <w:p>
      <w:pPr>
        <w:pStyle w:val="39"/>
        <w:rPr>
          <w:rFonts w:ascii="宋体" w:hAnsi="宋体"/>
          <w:color w:val="auto"/>
          <w:highlight w:val="none"/>
        </w:rPr>
      </w:pPr>
    </w:p>
    <w:p>
      <w:pPr>
        <w:spacing w:beforeLines="50" w:afterLines="50" w:line="400" w:lineRule="exact"/>
        <w:ind w:firstLine="420" w:firstLineChars="200"/>
        <w:rPr>
          <w:rFonts w:ascii="宋体" w:hAnsi="宋体"/>
          <w:color w:val="auto"/>
          <w:highlight w:val="none"/>
        </w:rPr>
      </w:pPr>
    </w:p>
    <w:p>
      <w:pPr>
        <w:adjustRightInd w:val="0"/>
        <w:snapToGrid w:val="0"/>
        <w:spacing w:beforeLines="50" w:afterLines="50"/>
        <w:rPr>
          <w:rFonts w:ascii="宋体" w:hAnsi="宋体"/>
          <w:bCs/>
          <w:color w:val="auto"/>
          <w:sz w:val="30"/>
          <w:szCs w:val="30"/>
          <w:highlight w:val="none"/>
        </w:rPr>
      </w:pPr>
    </w:p>
    <w:p>
      <w:pPr>
        <w:adjustRightInd w:val="0"/>
        <w:snapToGrid w:val="0"/>
        <w:spacing w:line="480" w:lineRule="auto"/>
        <w:ind w:firstLine="1699" w:firstLineChars="607"/>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lang w:eastAsia="zh-CN"/>
        </w:rPr>
        <w:t>用户单位</w:t>
      </w:r>
      <w:r>
        <w:rPr>
          <w:rFonts w:hint="eastAsia" w:ascii="宋体" w:hAnsi="宋体"/>
          <w:bCs/>
          <w:color w:val="auto"/>
          <w:sz w:val="28"/>
          <w:szCs w:val="28"/>
          <w:highlight w:val="none"/>
        </w:rPr>
        <w:t>：河北高速公路集团有限公司</w:t>
      </w:r>
      <w:r>
        <w:rPr>
          <w:rFonts w:hint="eastAsia" w:ascii="宋体" w:hAnsi="宋体"/>
          <w:bCs/>
          <w:color w:val="auto"/>
          <w:sz w:val="28"/>
          <w:szCs w:val="28"/>
          <w:highlight w:val="none"/>
          <w:lang w:eastAsia="zh-CN"/>
        </w:rPr>
        <w:t>承德分公司</w:t>
      </w:r>
    </w:p>
    <w:p>
      <w:pPr>
        <w:adjustRightInd w:val="0"/>
        <w:snapToGrid w:val="0"/>
        <w:spacing w:line="480" w:lineRule="auto"/>
        <w:ind w:firstLine="1699" w:firstLineChars="607"/>
        <w:rPr>
          <w:rFonts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z w:val="28"/>
          <w:szCs w:val="28"/>
          <w:highlight w:val="none"/>
          <w:lang w:eastAsia="zh-CN"/>
        </w:rPr>
        <w:t>河北高速集团工程咨询有限公司</w:t>
      </w:r>
      <w:r>
        <w:rPr>
          <w:rFonts w:hint="eastAsia" w:ascii="宋体" w:hAnsi="宋体"/>
          <w:bCs/>
          <w:color w:val="auto"/>
          <w:sz w:val="28"/>
          <w:szCs w:val="28"/>
          <w:highlight w:val="none"/>
        </w:rPr>
        <w:t xml:space="preserve">    </w:t>
      </w:r>
    </w:p>
    <w:p>
      <w:pPr>
        <w:adjustRightInd w:val="0"/>
        <w:snapToGrid w:val="0"/>
        <w:spacing w:line="480" w:lineRule="auto"/>
        <w:ind w:firstLine="4250" w:firstLineChars="1518"/>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24年5月</w:t>
      </w:r>
    </w:p>
    <w:p>
      <w:pPr>
        <w:pStyle w:val="94"/>
        <w:spacing w:beforeLines="50" w:afterLines="50" w:line="400" w:lineRule="exact"/>
        <w:jc w:val="center"/>
        <w:rPr>
          <w:rFonts w:ascii="宋体" w:hAnsi="宋体"/>
          <w:color w:val="auto"/>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fmt="decimal" w:start="1"/>
          <w:cols w:space="720" w:num="1"/>
          <w:docGrid w:linePitch="285" w:charSpace="0"/>
        </w:sectPr>
      </w:pPr>
    </w:p>
    <w:p>
      <w:pPr>
        <w:jc w:val="center"/>
        <w:rPr>
          <w:rFonts w:ascii="宋体" w:hAnsi="宋体"/>
          <w:color w:val="auto"/>
          <w:highlight w:val="none"/>
        </w:rPr>
      </w:pPr>
    </w:p>
    <w:p>
      <w:pPr>
        <w:pStyle w:val="101"/>
        <w:jc w:val="center"/>
        <w:rPr>
          <w:rFonts w:ascii="宋体" w:hAnsi="宋体"/>
          <w:b w:val="0"/>
          <w:color w:val="auto"/>
          <w:highlight w:val="none"/>
        </w:rPr>
      </w:pPr>
      <w:bookmarkStart w:id="0" w:name="_Toc20130"/>
      <w:bookmarkStart w:id="1" w:name="_Toc1184"/>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pPr>
        <w:pStyle w:val="27"/>
        <w:tabs>
          <w:tab w:val="right" w:leader="dot" w:pos="8630"/>
        </w:tabs>
        <w:jc w:val="center"/>
        <w:rPr>
          <w:rFonts w:ascii="宋体" w:hAnsi="宋体"/>
          <w:color w:val="auto"/>
          <w:highlight w:val="none"/>
        </w:rPr>
      </w:pPr>
    </w:p>
    <w:p>
      <w:pPr>
        <w:pStyle w:val="27"/>
        <w:tabs>
          <w:tab w:val="right" w:leader="dot" w:pos="8640"/>
        </w:tabs>
        <w:spacing w:line="720" w:lineRule="auto"/>
        <w:ind w:right="46" w:rightChars="22"/>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TOC \o "1-3" \h \u </w:instrText>
      </w:r>
      <w:r>
        <w:rPr>
          <w:rFonts w:ascii="宋体" w:hAnsi="宋体"/>
          <w:color w:val="auto"/>
          <w:szCs w:val="21"/>
          <w:highlight w:val="none"/>
        </w:rPr>
        <w:fldChar w:fldCharType="separate"/>
      </w:r>
    </w:p>
    <w:p>
      <w:pPr>
        <w:pStyle w:val="27"/>
        <w:tabs>
          <w:tab w:val="right" w:leader="dot" w:pos="9498"/>
        </w:tabs>
        <w:spacing w:line="720" w:lineRule="auto"/>
        <w:rPr>
          <w:rFonts w:ascii="宋体" w:hAnsi="宋体"/>
          <w:color w:val="auto"/>
          <w:szCs w:val="21"/>
          <w:highlight w:val="none"/>
        </w:rPr>
      </w:pPr>
      <w:r>
        <w:rPr>
          <w:color w:val="auto"/>
          <w:highlight w:val="none"/>
        </w:rPr>
        <w:fldChar w:fldCharType="begin"/>
      </w:r>
      <w:r>
        <w:rPr>
          <w:color w:val="auto"/>
          <w:highlight w:val="none"/>
        </w:rPr>
        <w:instrText xml:space="preserve"> HYPERLINK \l "_Toc27944" </w:instrText>
      </w:r>
      <w:r>
        <w:rPr>
          <w:color w:val="auto"/>
          <w:highlight w:val="none"/>
        </w:rPr>
        <w:fldChar w:fldCharType="separate"/>
      </w:r>
      <w:r>
        <w:rPr>
          <w:rFonts w:ascii="宋体" w:hAnsi="宋体"/>
          <w:color w:val="auto"/>
          <w:szCs w:val="21"/>
          <w:highlight w:val="none"/>
        </w:rPr>
        <w:t>第一章</w:t>
      </w:r>
      <w:r>
        <w:rPr>
          <w:rFonts w:hint="eastAsia" w:ascii="宋体" w:hAnsi="宋体"/>
          <w:color w:val="auto"/>
          <w:szCs w:val="21"/>
          <w:highlight w:val="none"/>
        </w:rPr>
        <w:t>“揭榜挂帅”榜单</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_Toc27944 \h </w:instrText>
      </w:r>
      <w:r>
        <w:rPr>
          <w:rFonts w:ascii="宋体" w:hAnsi="宋体"/>
          <w:color w:val="auto"/>
          <w:szCs w:val="21"/>
          <w:highlight w:val="none"/>
        </w:rPr>
        <w:fldChar w:fldCharType="separate"/>
      </w:r>
      <w:r>
        <w:rPr>
          <w:rFonts w:ascii="宋体" w:hAnsi="宋体"/>
          <w:color w:val="auto"/>
          <w:szCs w:val="21"/>
          <w:highlight w:val="none"/>
        </w:rPr>
        <w:t>2</w:t>
      </w:r>
      <w:r>
        <w:rPr>
          <w:rFonts w:ascii="宋体" w:hAnsi="宋体"/>
          <w:color w:val="auto"/>
          <w:szCs w:val="21"/>
          <w:highlight w:val="none"/>
        </w:rPr>
        <w:fldChar w:fldCharType="end"/>
      </w:r>
      <w:r>
        <w:rPr>
          <w:rFonts w:ascii="宋体" w:hAnsi="宋体"/>
          <w:color w:val="auto"/>
          <w:szCs w:val="21"/>
          <w:highlight w:val="none"/>
        </w:rPr>
        <w:fldChar w:fldCharType="end"/>
      </w:r>
    </w:p>
    <w:p>
      <w:pPr>
        <w:pStyle w:val="27"/>
        <w:tabs>
          <w:tab w:val="right" w:leader="dot" w:pos="9498"/>
        </w:tabs>
        <w:spacing w:line="720" w:lineRule="auto"/>
        <w:rPr>
          <w:rFonts w:hint="default" w:ascii="宋体" w:hAnsi="宋体" w:eastAsia="宋体"/>
          <w:color w:val="auto"/>
          <w:szCs w:val="21"/>
          <w:highlight w:val="none"/>
          <w:lang w:val="en-US" w:eastAsia="zh-CN"/>
        </w:rPr>
      </w:pPr>
      <w:r>
        <w:rPr>
          <w:color w:val="auto"/>
          <w:highlight w:val="none"/>
        </w:rPr>
        <w:fldChar w:fldCharType="begin"/>
      </w:r>
      <w:r>
        <w:rPr>
          <w:color w:val="auto"/>
          <w:highlight w:val="none"/>
        </w:rPr>
        <w:instrText xml:space="preserve"> HYPERLINK \l "_Toc4524"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章</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揭榜人须知</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10</w:t>
      </w:r>
    </w:p>
    <w:p>
      <w:pPr>
        <w:pStyle w:val="27"/>
        <w:tabs>
          <w:tab w:val="right" w:leader="dot" w:pos="9498"/>
        </w:tabs>
        <w:spacing w:line="720"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第三章 </w:t>
      </w:r>
      <w:r>
        <w:rPr>
          <w:rFonts w:hint="eastAsia" w:ascii="宋体" w:hAnsi="宋体"/>
          <w:color w:val="auto"/>
          <w:szCs w:val="21"/>
          <w:highlight w:val="none"/>
        </w:rPr>
        <w:t>评审</w:t>
      </w:r>
      <w:r>
        <w:rPr>
          <w:rFonts w:ascii="宋体" w:hAnsi="宋体"/>
          <w:color w:val="auto"/>
          <w:szCs w:val="21"/>
          <w:highlight w:val="none"/>
        </w:rPr>
        <w:t>办法</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_Toc4524 \h </w:instrText>
      </w:r>
      <w:r>
        <w:rPr>
          <w:rFonts w:ascii="宋体" w:hAnsi="宋体"/>
          <w:color w:val="auto"/>
          <w:szCs w:val="21"/>
          <w:highlight w:val="none"/>
        </w:rPr>
        <w:fldChar w:fldCharType="separate"/>
      </w:r>
      <w:r>
        <w:rPr>
          <w:rFonts w:ascii="宋体" w:hAnsi="宋体"/>
          <w:color w:val="auto"/>
          <w:szCs w:val="21"/>
          <w:highlight w:val="none"/>
        </w:rPr>
        <w:t>14</w:t>
      </w:r>
      <w:r>
        <w:rPr>
          <w:rFonts w:ascii="宋体" w:hAnsi="宋体"/>
          <w:color w:val="auto"/>
          <w:szCs w:val="21"/>
          <w:highlight w:val="none"/>
        </w:rPr>
        <w:fldChar w:fldCharType="end"/>
      </w:r>
      <w:r>
        <w:rPr>
          <w:rFonts w:ascii="宋体" w:hAnsi="宋体"/>
          <w:color w:val="auto"/>
          <w:szCs w:val="21"/>
          <w:highlight w:val="none"/>
        </w:rPr>
        <w:fldChar w:fldCharType="end"/>
      </w:r>
      <w:r>
        <w:rPr>
          <w:rFonts w:hint="eastAsia" w:ascii="宋体" w:hAnsi="宋体"/>
          <w:color w:val="auto"/>
          <w:szCs w:val="21"/>
          <w:highlight w:val="none"/>
          <w:lang w:val="en-US" w:eastAsia="zh-CN"/>
        </w:rPr>
        <w:t>5</w:t>
      </w:r>
    </w:p>
    <w:p>
      <w:pPr>
        <w:pStyle w:val="27"/>
        <w:tabs>
          <w:tab w:val="right" w:leader="dot" w:pos="9498"/>
        </w:tabs>
        <w:spacing w:line="720" w:lineRule="auto"/>
        <w:rPr>
          <w:rFonts w:hint="eastAsia" w:ascii="宋体" w:hAnsi="宋体" w:eastAsia="宋体"/>
          <w:color w:val="auto"/>
          <w:highlight w:val="none"/>
          <w:lang w:val="en-US" w:eastAsia="zh-CN"/>
        </w:rPr>
      </w:pPr>
      <w:r>
        <w:rPr>
          <w:color w:val="auto"/>
          <w:highlight w:val="none"/>
        </w:rPr>
        <w:fldChar w:fldCharType="begin"/>
      </w:r>
      <w:r>
        <w:rPr>
          <w:color w:val="auto"/>
          <w:highlight w:val="none"/>
        </w:rPr>
        <w:instrText xml:space="preserve"> HYPERLINK \l "_Toc6071" </w:instrText>
      </w:r>
      <w:r>
        <w:rPr>
          <w:color w:val="auto"/>
          <w:highlight w:val="none"/>
        </w:rPr>
        <w:fldChar w:fldCharType="separate"/>
      </w:r>
      <w:r>
        <w:rPr>
          <w:rFonts w:ascii="宋体" w:hAnsi="宋体"/>
          <w:color w:val="auto"/>
          <w:szCs w:val="21"/>
          <w:highlight w:val="none"/>
        </w:rPr>
        <w:t>第</w:t>
      </w:r>
      <w:r>
        <w:rPr>
          <w:rFonts w:hint="eastAsia" w:ascii="宋体" w:hAnsi="宋体"/>
          <w:color w:val="auto"/>
          <w:szCs w:val="21"/>
          <w:highlight w:val="none"/>
          <w:lang w:val="en-US" w:eastAsia="zh-CN"/>
        </w:rPr>
        <w:t>四</w:t>
      </w:r>
      <w:r>
        <w:rPr>
          <w:rFonts w:ascii="宋体" w:hAnsi="宋体"/>
          <w:color w:val="auto"/>
          <w:szCs w:val="21"/>
          <w:highlight w:val="none"/>
        </w:rPr>
        <w:t>章</w:t>
      </w:r>
      <w:r>
        <w:rPr>
          <w:rFonts w:hint="eastAsia" w:ascii="宋体" w:hAnsi="宋体"/>
          <w:color w:val="auto"/>
          <w:szCs w:val="21"/>
          <w:highlight w:val="none"/>
        </w:rPr>
        <w:t xml:space="preserve"> 揭榜响应文件</w:t>
      </w:r>
      <w:r>
        <w:rPr>
          <w:rFonts w:ascii="宋体" w:hAnsi="宋体"/>
          <w:color w:val="auto"/>
          <w:szCs w:val="21"/>
          <w:highlight w:val="none"/>
        </w:rPr>
        <w:t>格式</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_Toc6071 \h </w:instrText>
      </w:r>
      <w:r>
        <w:rPr>
          <w:rFonts w:ascii="宋体" w:hAnsi="宋体"/>
          <w:color w:val="auto"/>
          <w:szCs w:val="21"/>
          <w:highlight w:val="none"/>
        </w:rPr>
        <w:fldChar w:fldCharType="separate"/>
      </w:r>
      <w:r>
        <w:rPr>
          <w:rFonts w:ascii="宋体" w:hAnsi="宋体"/>
          <w:color w:val="auto"/>
          <w:szCs w:val="21"/>
          <w:highlight w:val="none"/>
        </w:rPr>
        <w:t>19</w:t>
      </w:r>
      <w:r>
        <w:rPr>
          <w:rFonts w:ascii="宋体" w:hAnsi="宋体"/>
          <w:color w:val="auto"/>
          <w:szCs w:val="21"/>
          <w:highlight w:val="none"/>
        </w:rPr>
        <w:fldChar w:fldCharType="end"/>
      </w:r>
      <w:r>
        <w:rPr>
          <w:rFonts w:ascii="宋体" w:hAnsi="宋体"/>
          <w:color w:val="auto"/>
          <w:szCs w:val="21"/>
          <w:highlight w:val="none"/>
        </w:rPr>
        <w:fldChar w:fldCharType="end"/>
      </w:r>
      <w:r>
        <w:rPr>
          <w:rFonts w:hint="eastAsia" w:ascii="宋体" w:hAnsi="宋体"/>
          <w:color w:val="auto"/>
          <w:szCs w:val="21"/>
          <w:highlight w:val="none"/>
          <w:lang w:val="en-US" w:eastAsia="zh-CN"/>
        </w:rPr>
        <w:t>1</w:t>
      </w:r>
    </w:p>
    <w:p>
      <w:pPr>
        <w:pStyle w:val="27"/>
        <w:tabs>
          <w:tab w:val="right" w:leader="dot" w:pos="9498"/>
        </w:tabs>
        <w:spacing w:line="720" w:lineRule="auto"/>
        <w:rPr>
          <w:rFonts w:hint="eastAsia" w:ascii="宋体" w:hAnsi="宋体"/>
          <w:color w:val="auto"/>
          <w:highlight w:val="none"/>
        </w:rPr>
      </w:pPr>
    </w:p>
    <w:p>
      <w:pPr>
        <w:rPr>
          <w:color w:val="auto"/>
          <w:highlight w:val="none"/>
        </w:rPr>
      </w:pPr>
    </w:p>
    <w:p>
      <w:pPr>
        <w:spacing w:line="720" w:lineRule="auto"/>
        <w:rPr>
          <w:rFonts w:ascii="宋体" w:hAnsi="宋体"/>
          <w:color w:val="auto"/>
          <w:szCs w:val="21"/>
          <w:highlight w:val="none"/>
        </w:rPr>
      </w:pPr>
      <w:r>
        <w:rPr>
          <w:rFonts w:ascii="宋体" w:hAnsi="宋体"/>
          <w:color w:val="auto"/>
          <w:szCs w:val="21"/>
          <w:highlight w:val="none"/>
        </w:rPr>
        <w:fldChar w:fldCharType="end"/>
      </w:r>
    </w:p>
    <w:p>
      <w:pPr>
        <w:rPr>
          <w:rFonts w:ascii="宋体" w:hAnsi="宋体"/>
          <w:color w:val="auto"/>
          <w:highlight w:val="none"/>
        </w:rPr>
        <w:sectPr>
          <w:footerReference r:id="rId8" w:type="default"/>
          <w:type w:val="nextColumn"/>
          <w:pgSz w:w="12240" w:h="15840"/>
          <w:pgMar w:top="1418" w:right="1418" w:bottom="1418" w:left="1418" w:header="720" w:footer="720" w:gutter="0"/>
          <w:pgNumType w:fmt="decimal" w:start="1"/>
          <w:cols w:space="720" w:num="1"/>
          <w:docGrid w:linePitch="285" w:charSpace="0"/>
        </w:sectPr>
      </w:pPr>
    </w:p>
    <w:p>
      <w:pPr>
        <w:pStyle w:val="2"/>
        <w:spacing w:line="240" w:lineRule="auto"/>
        <w:jc w:val="center"/>
        <w:rPr>
          <w:rFonts w:hint="eastAsia" w:ascii="宋体" w:hAnsi="宋体"/>
          <w:color w:val="auto"/>
          <w:sz w:val="32"/>
          <w:szCs w:val="32"/>
          <w:highlight w:val="none"/>
        </w:rPr>
      </w:pPr>
      <w:bookmarkStart w:id="5" w:name="_Toc10093"/>
      <w:bookmarkStart w:id="6" w:name="_Toc27944"/>
      <w:r>
        <w:rPr>
          <w:rFonts w:ascii="宋体" w:hAnsi="宋体"/>
          <w:color w:val="auto"/>
          <w:sz w:val="32"/>
          <w:szCs w:val="32"/>
          <w:highlight w:val="none"/>
        </w:rPr>
        <w:t>第一章</w:t>
      </w:r>
      <w:bookmarkEnd w:id="5"/>
      <w:r>
        <w:rPr>
          <w:rFonts w:hint="eastAsia" w:ascii="宋体" w:hAnsi="宋体"/>
          <w:color w:val="auto"/>
          <w:sz w:val="32"/>
          <w:szCs w:val="32"/>
          <w:highlight w:val="none"/>
        </w:rPr>
        <w:t>“揭榜挂帅”榜单</w:t>
      </w:r>
      <w:bookmarkEnd w:id="6"/>
    </w:p>
    <w:p>
      <w:pPr>
        <w:jc w:val="center"/>
        <w:rPr>
          <w:color w:val="auto"/>
          <w:sz w:val="30"/>
          <w:szCs w:val="30"/>
          <w:highlight w:val="none"/>
        </w:rPr>
      </w:pPr>
      <w:r>
        <w:rPr>
          <w:rFonts w:hint="eastAsia" w:ascii="宋体" w:hAnsi="宋体"/>
          <w:b/>
          <w:bCs/>
          <w:color w:val="auto"/>
          <w:sz w:val="30"/>
          <w:szCs w:val="30"/>
          <w:highlight w:val="none"/>
        </w:rPr>
        <w:t>河北高速公路集团有限公司</w:t>
      </w:r>
      <w:r>
        <w:rPr>
          <w:rFonts w:hint="eastAsia" w:ascii="宋体" w:hAnsi="宋体"/>
          <w:b/>
          <w:bCs/>
          <w:color w:val="auto"/>
          <w:sz w:val="30"/>
          <w:szCs w:val="30"/>
          <w:highlight w:val="none"/>
          <w:lang w:val="en-US" w:eastAsia="zh-CN"/>
        </w:rPr>
        <w:t>承德分公司</w:t>
      </w:r>
      <w:r>
        <w:rPr>
          <w:rFonts w:hint="eastAsia" w:ascii="宋体" w:hAnsi="宋体"/>
          <w:b/>
          <w:bCs/>
          <w:color w:val="auto"/>
          <w:sz w:val="30"/>
          <w:szCs w:val="30"/>
          <w:highlight w:val="none"/>
        </w:rPr>
        <w:t>“高寒地区零碳智慧隧道智能降耗关键技术研究与试点应用”科技创新项目“揭榜挂帅”榜单</w:t>
      </w:r>
    </w:p>
    <w:p>
      <w:pPr>
        <w:adjustRightInd w:val="0"/>
        <w:snapToGrid w:val="0"/>
        <w:spacing w:beforeLines="50" w:afterLines="50" w:line="400" w:lineRule="exact"/>
        <w:ind w:left="298" w:leftChars="142" w:firstLine="210" w:firstLineChars="100"/>
        <w:rPr>
          <w:rFonts w:ascii="宋体" w:hAnsi="宋体"/>
          <w:color w:val="auto"/>
          <w:szCs w:val="21"/>
          <w:highlight w:val="none"/>
        </w:rPr>
      </w:pPr>
      <w:bookmarkStart w:id="7" w:name="_Toc492300547"/>
    </w:p>
    <w:p>
      <w:pPr>
        <w:pStyle w:val="3"/>
        <w:spacing w:before="0" w:after="0" w:line="360" w:lineRule="auto"/>
        <w:rPr>
          <w:rFonts w:hint="eastAsia" w:ascii="宋体" w:hAnsi="宋体" w:eastAsia="宋体"/>
          <w:color w:val="auto"/>
          <w:sz w:val="24"/>
          <w:szCs w:val="24"/>
          <w:highlight w:val="none"/>
        </w:rPr>
      </w:pPr>
      <w:bookmarkStart w:id="8" w:name="_Toc21281"/>
      <w:bookmarkStart w:id="9" w:name="_Toc17762"/>
      <w:r>
        <w:rPr>
          <w:rFonts w:hint="eastAsia" w:ascii="宋体" w:hAnsi="宋体" w:eastAsia="宋体"/>
          <w:color w:val="auto"/>
          <w:sz w:val="24"/>
          <w:szCs w:val="24"/>
          <w:highlight w:val="none"/>
        </w:rPr>
        <w:t>一、项目基本情况</w:t>
      </w:r>
    </w:p>
    <w:bookmarkEnd w:id="2"/>
    <w:bookmarkEnd w:id="3"/>
    <w:bookmarkEnd w:id="4"/>
    <w:bookmarkEnd w:id="7"/>
    <w:bookmarkEnd w:id="8"/>
    <w:bookmarkEnd w:id="9"/>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1.1 项目概述</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本项目在</w:t>
      </w:r>
      <w:r>
        <w:rPr>
          <w:rFonts w:hint="eastAsia" w:ascii="宋体" w:hAnsi="宋体"/>
          <w:color w:val="auto"/>
          <w:sz w:val="24"/>
          <w:szCs w:val="24"/>
          <w:highlight w:val="none"/>
          <w:lang w:val="en-US" w:eastAsia="zh-CN"/>
        </w:rPr>
        <w:t>更换</w:t>
      </w:r>
      <w:r>
        <w:rPr>
          <w:rFonts w:hint="eastAsia" w:ascii="宋体" w:hAnsi="宋体"/>
          <w:color w:val="auto"/>
          <w:sz w:val="24"/>
          <w:szCs w:val="24"/>
          <w:highlight w:val="none"/>
        </w:rPr>
        <w:t>张承高速</w:t>
      </w:r>
      <w:r>
        <w:rPr>
          <w:rFonts w:hint="eastAsia" w:ascii="宋体" w:hAnsi="宋体"/>
          <w:color w:val="auto"/>
          <w:sz w:val="24"/>
          <w:szCs w:val="24"/>
          <w:highlight w:val="none"/>
          <w:lang w:val="en-US" w:eastAsia="zh-CN"/>
        </w:rPr>
        <w:t>承德段</w:t>
      </w:r>
      <w:r>
        <w:rPr>
          <w:rFonts w:hint="eastAsia" w:ascii="宋体" w:hAnsi="宋体"/>
          <w:color w:val="auto"/>
          <w:sz w:val="24"/>
          <w:szCs w:val="24"/>
          <w:highlight w:val="none"/>
        </w:rPr>
        <w:t>老龙湾隧道</w:t>
      </w:r>
      <w:r>
        <w:rPr>
          <w:rFonts w:hint="eastAsia" w:ascii="宋体" w:hAnsi="宋体"/>
          <w:color w:val="auto"/>
          <w:sz w:val="24"/>
          <w:szCs w:val="24"/>
          <w:highlight w:val="none"/>
          <w:lang w:eastAsia="zh-CN"/>
        </w:rPr>
        <w:t>（承德方向1440米，张家口方向1412米）</w:t>
      </w:r>
      <w:r>
        <w:rPr>
          <w:rFonts w:hint="eastAsia" w:ascii="宋体" w:hAnsi="宋体"/>
          <w:color w:val="auto"/>
          <w:sz w:val="24"/>
          <w:szCs w:val="24"/>
          <w:highlight w:val="none"/>
        </w:rPr>
        <w:t>、套鹿沟隧道</w:t>
      </w:r>
      <w:r>
        <w:rPr>
          <w:rFonts w:hint="eastAsia" w:ascii="宋体" w:hAnsi="宋体"/>
          <w:color w:val="auto"/>
          <w:sz w:val="24"/>
          <w:szCs w:val="24"/>
          <w:highlight w:val="none"/>
          <w:lang w:eastAsia="zh-CN"/>
        </w:rPr>
        <w:t>（承德方向3700米，张家口方向3732米）</w:t>
      </w:r>
      <w:r>
        <w:rPr>
          <w:rFonts w:hint="eastAsia" w:ascii="宋体" w:hAnsi="宋体"/>
          <w:color w:val="auto"/>
          <w:sz w:val="24"/>
          <w:szCs w:val="24"/>
          <w:highlight w:val="none"/>
          <w:lang w:val="en-US" w:eastAsia="zh-CN"/>
        </w:rPr>
        <w:t>照明灯具</w:t>
      </w:r>
      <w:r>
        <w:rPr>
          <w:rFonts w:hint="eastAsia" w:ascii="宋体" w:hAnsi="宋体"/>
          <w:color w:val="auto"/>
          <w:sz w:val="24"/>
          <w:szCs w:val="24"/>
          <w:highlight w:val="none"/>
        </w:rPr>
        <w:t>的基础上，项目致力于探索和优化高速公路隧道内的节能调光控制策略，通过构建精细化的调光控制模型、开发驾驶模拟仿真测试平台，并实施先进的仿真优化技术，全面评估调光策略对于驾驶安全、体验和能源消耗的影响。项目基于车辆检测器和照度仪的实时数据，拟合计算隧道内所需照明亮度，设计一种动态调光策略，以车辆队列为单位，动态调整照明亮度。同时，研究利用融合注意力机制的循环神经网络模型提高照明控制的精确度和适应性。通过搭建基于现有驾驶仿真和隧道光照仿真软件的测试平台，模拟不同的条件，验证调光策略的效果，最终采用交叉组合策略和机器学习方法，在多种隧道长度和环境条件下寻找最节能且安全的调光控制策略，旨在为高速公路隧道照明提供一套高效、节能且安全的调光解决方案。</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1.2 项目研究的主要目的</w:t>
      </w:r>
    </w:p>
    <w:p>
      <w:pPr>
        <w:tabs>
          <w:tab w:val="left" w:pos="1283"/>
          <w:tab w:val="left" w:pos="1922"/>
        </w:tabs>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隧道照明是影响道路交通安全的关键因素，在现有的大部分隧道照明中，只是增大照明亮度，来增加隧道内的亮度，这样设计满足一定的安全行驶，但无形中增加了能源消耗。针对传统的公路隧道照明中存在的节能效果和调光准确效果均不足，本研究提出隧道内随车调光控制方案。通过设计合适的隧道照明控制系统，基于分区控制调光、车辆组团检测的方法，在实现准确调光的同时，改善隧道照明控制系统的照明节能效果。同时，研究会构建驾驶模拟仿真测试平台进行验证，并进行随车调光控制策略的仿真优化，以获得最佳的控制方案。</w:t>
      </w:r>
    </w:p>
    <w:p>
      <w:pPr>
        <w:tabs>
          <w:tab w:val="left" w:pos="1283"/>
          <w:tab w:val="left" w:pos="1922"/>
        </w:tabs>
        <w:autoSpaceDE w:val="0"/>
        <w:autoSpaceDN w:val="0"/>
        <w:spacing w:line="360" w:lineRule="auto"/>
        <w:ind w:firstLine="480" w:firstLineChars="200"/>
        <w:jc w:val="left"/>
        <w:rPr>
          <w:rFonts w:ascii="宋体" w:hAnsi="宋体" w:cs="宋体"/>
          <w:b/>
          <w:bCs/>
          <w:color w:val="auto"/>
          <w:kern w:val="0"/>
          <w:sz w:val="24"/>
          <w:szCs w:val="24"/>
          <w:highlight w:val="none"/>
        </w:rPr>
      </w:pPr>
      <w:r>
        <w:rPr>
          <w:rFonts w:hint="eastAsia" w:ascii="宋体" w:hAnsi="宋体" w:cs="黑体"/>
          <w:color w:val="auto"/>
          <w:kern w:val="0"/>
          <w:sz w:val="24"/>
          <w:szCs w:val="24"/>
          <w:highlight w:val="none"/>
        </w:rPr>
        <w:t>1.3 主要研究内容</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1.3.1 隧道节能调光控制模型构建</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车辆检测器和照度仪的布设是本研究的基础。车辆检测器通常采用雷达或红外传感器，位于隧道的入口、出口和中间段。这些检测器能实时获取车流量、车速和车辆类型等信息。照度仪则布置在隧道的各个关键区域，包括入口、出口和过渡段，用于测量不同时间和天气条件下的外部和内部亮度。</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之后考虑不同照明路段的照明需求。在入口段，亮度通常设置为相对较高的值，比如500-1000勒克斯，以减轻由于黑白洞效应引起的视觉不适。过渡段的亮度逐渐减小，通常在200-500勒克斯之间，以帮助驾驶员逐渐适应内部环境。中间段通常维持在一个相对稳定的低亮度水平，比如100-200勒克斯。出口段的亮度则需要逐渐增加，以准备驾驶员进入更明亮的外部环境。</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然后基于《公路隧道照明设计细则（JTGT D70 2 01 2014）》中的标准规范，结合实时收集的数据，应用最小二乘法进行了照明需求亮度的拟合计算。具体来说，将使用车流量、车速和外部亮度等信息作为自变量，最小二乘拟合得到洞内照明亮度计算曲线，以代替规范要求给出的离散取值，实现按需照明亮度计算。</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之后，研究将采用一种考虑交通流的动态调光策略，基于分区控制调光+车辆组团检测的方法来进行控制系统的设计。具体来说，以车辆队列作为检测单元，队列所在区域调亮照明，而队列之间没有车辆区域调暗照明。为了实现这一策略，研究将在车辆队列的前端和尾端都设置缓冲区。这些缓冲区作为照明调整的“预警”区域，能够提前准备系统进行快速的亮度调整。</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之后研究将构建一个融合注意力机制的循环神经网络模型，以实现更为精细化的照明控制。这个模型考虑了隧道照明系统的时变性，并能适应不同的交通和环境条件。模型的输入参数包括实时的车流量、车速和外部亮度，这些数据通过传感器和检测器实时收集。模型则通过自注意机制来挖掘这些序列数据的内部相关特征，从而实现更精确的照明控制。</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最终，通过训练模型来识别交通流量、车速和外部亮度等因素的长期趋势和模式，实现长期时间依赖性的学习。训练后的模型能够动态地调整照明亮度，以实现灯光随交通流的动态控制。</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1.3.2隧道节能调光的驾驶模拟仿真测试平台构建</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驾驶模拟仿真测试平台以驾驶仿真软件和隧道光照仿真软件作为基础，借助于交通环境模块、隧道照明条件模块和详细的数据分析工具，模拟在不同车辆类型、交通密度、天气条件以及道路类型条件下，仿真测试驾驶通过隧道的安全及能耗情况。</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仿真平台集成隧道照明调光控制模块，根据《公路隧道照明设计细则》中的规定，模拟隧道内各个区域（入口段、过渡段、中间段和出口段）的照明需求。同时在仿真系统中输入隧道照明的相关参数，包括照明强度、分布和可能的动态调整策略，如基于车流量、车速和外部环境亮度的调光策略。利用仿真系统的数据收集和分析能力，评估不同调光策略对驾驶安全、驾驶体验和能源消耗的影响。收集的数据包括车辆的行驶速度、行驶路径、驾驶员的操作行为（如加速、刹车、转向等）、以及驾驶员对不同照明条件的反应时间和主观评价。</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最终构建的仿真平台具有高度逼真的视觉和感觉反馈机制，能够模拟各种不同的隧道几何结构和天气条件，从而提供一个全面和灵活的测试环境。此外，仿真平台也能够模拟照明效果和能耗，以及车辆动力学和驾驶员行为。因此，研究能够从多个角度来评估调光控制算法的效果和节能性能。</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1.3.3隧道随车调光控制策略仿真优化技术</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在仿真优化阶段，采用一种交叉组合策略，以全面考察调光控制算法在不同场景下的性能。具体而言，将模拟短、中、长、特长四种不同长度的隧道，同时模拟晴天和阴天两种天气条件，以及低、中、高三种不同的交通流量。在每一种场景组合下，构建两种能耗公式：一种是基于传统照明设计的，另一种则是基于调光节能算法。这些公式考虑各种影响因素，如亮度、车流量和天气条件，以实现尽可能准确的能耗估计。</w:t>
      </w:r>
    </w:p>
    <w:p>
      <w:pPr>
        <w:tabs>
          <w:tab w:val="left" w:pos="1283"/>
          <w:tab w:val="left" w:pos="1922"/>
        </w:tabs>
        <w:autoSpaceDE w:val="0"/>
        <w:autoSpaceDN w:val="0"/>
        <w:spacing w:line="360" w:lineRule="auto"/>
        <w:ind w:firstLine="472" w:firstLineChars="200"/>
        <w:jc w:val="left"/>
        <w:rPr>
          <w:rFonts w:ascii="宋体" w:hAnsi="宋体"/>
          <w:color w:val="auto"/>
          <w:spacing w:val="-2"/>
          <w:sz w:val="24"/>
          <w:szCs w:val="24"/>
          <w:highlight w:val="none"/>
        </w:rPr>
      </w:pPr>
      <w:r>
        <w:rPr>
          <w:rFonts w:hint="eastAsia" w:ascii="宋体" w:hAnsi="宋体"/>
          <w:color w:val="auto"/>
          <w:spacing w:val="-2"/>
          <w:sz w:val="24"/>
          <w:szCs w:val="24"/>
          <w:highlight w:val="none"/>
        </w:rPr>
        <w:t>之后借助于构建好的仿真平台，通过模拟实验来测试不同的照明调控策略，以寻找最优化的调光策略。这包括动态调整照明强度以模拟隧道内随车调光的效果，同时考虑到节能和驾驶安全的双重目标。基于收集到的数据进行深入分析，找出最能节省能源同时确保驾驶安全和舒适度的照明控制策略。分析过程中，可以采用统计学方法来评价不同策略的效果，也可以采用机器学习方法来识别最佳的调光参数组合。最后，项目将运行大量的仿真测试，以验证上述调光控制算法的节能效果。</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1.4 主要技术指标（如形成专利、论文、专著等数量、指标及其水平，可推广和复制的新技术、新产品、新材料等）</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（1）专利和论文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本课题形成发明专利1项，发表</w:t>
      </w:r>
      <w:r>
        <w:rPr>
          <w:rFonts w:hint="eastAsia" w:ascii="宋体" w:hAnsi="宋体" w:cs="黑体"/>
          <w:color w:val="auto"/>
          <w:kern w:val="0"/>
          <w:sz w:val="24"/>
          <w:szCs w:val="24"/>
          <w:highlight w:val="none"/>
          <w:lang w:val="en-US" w:eastAsia="zh-CN"/>
        </w:rPr>
        <w:t>中文核心期刊</w:t>
      </w:r>
      <w:r>
        <w:rPr>
          <w:rFonts w:hint="eastAsia" w:ascii="宋体" w:hAnsi="宋体" w:cs="黑体"/>
          <w:color w:val="auto"/>
          <w:kern w:val="0"/>
          <w:sz w:val="24"/>
          <w:szCs w:val="24"/>
          <w:highlight w:val="none"/>
        </w:rPr>
        <w:t>论文1篇。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（2）新技术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本课题形成3项隧道内随车调光新技术，其中包括：</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1）考虑隧道出入口黑白洞效应的照明需求辨识技术；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2）基于车辆队列检测的隧道节能调光控制技术；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3）隧道随车调光控制策略仿真优化技术;</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 主要经济指标</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1.5.1经济效益：</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（1）提高隧道通行交通效率，减少交通拥堵和交通延误，从而减少行车通勤时间和燃料消耗，降低居民出行成本。</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（2）改善隧道照明，提高隧道可视性，减少事故风险，提升高速公路隧道行车安全性，从而减少经济损失。</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（3）降低隧道运营能源消耗，照明能耗降低25%以上；提高隧道设备效率，减少设备维护需求，延长设备寿命，有助于减少高速公路隧道运营成本，促进可持续性发展。</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（4）促进交通行业不同领域的技术创新升级，提升和引领河北省高速公路运营水平、服务水平，带动高速公路沿线区域的经济发展，进而推动区域协同发展。</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1.5.2社会效益：</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（1）提高高速公路驾驶和乘坐舒适性，改善居民生活质量，从而提高城市整体竞争力。</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（2）引领和推动智能交通行业科技和产业发展，提升河北省在智能交通方向上科技水平和产业布局，促进地区之间的政治、经济、文化的交往。</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1.6设备技术参数</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1.6.1</w:t>
      </w:r>
      <w:r>
        <w:rPr>
          <w:rFonts w:hint="default" w:ascii="宋体" w:hAnsi="宋体" w:cs="黑体"/>
          <w:color w:val="auto"/>
          <w:kern w:val="0"/>
          <w:sz w:val="24"/>
          <w:szCs w:val="24"/>
          <w:highlight w:val="none"/>
          <w:lang w:val="en-US" w:eastAsia="zh-CN"/>
        </w:rPr>
        <w:t>光源性能：本项目在隧道中全部采用节能、环保、显色性好的隧道专用LED灯。</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主要性能指标如下：</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整灯光效（含电源）≥150 lm/w。</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整灯使用寿命不少于50000h(光通量衰减30%条件下)。</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灯体应具有良好的散热机构，灯正常点燃时灯体温度比环境温度不高出25℃。</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灯在燃点3000h时，其光通量维持率不低于90%；在燃点6000h时，其光通量维持率不低于85%。</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色温在3000K～5000K范围内；显色指数Ra≥70。</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在-</w:t>
      </w:r>
      <w:r>
        <w:rPr>
          <w:rFonts w:hint="eastAsia" w:ascii="宋体" w:hAnsi="宋体" w:cs="黑体"/>
          <w:color w:val="auto"/>
          <w:kern w:val="0"/>
          <w:sz w:val="24"/>
          <w:szCs w:val="24"/>
          <w:highlight w:val="none"/>
          <w:lang w:val="en-US" w:eastAsia="zh-CN"/>
        </w:rPr>
        <w:t>4</w:t>
      </w:r>
      <w:r>
        <w:rPr>
          <w:rFonts w:hint="default" w:ascii="宋体" w:hAnsi="宋体" w:cs="黑体"/>
          <w:color w:val="auto"/>
          <w:kern w:val="0"/>
          <w:sz w:val="24"/>
          <w:szCs w:val="24"/>
          <w:highlight w:val="none"/>
          <w:lang w:val="en-US" w:eastAsia="zh-CN"/>
        </w:rPr>
        <w:t>0℃～55℃环境温度下应能正常工作。</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单颗LED损坏时，在不用焊接的情况下可方便更换。</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应具有模拟无级调光功能，调光输入信号为0～5V或0～10V，亮度调整范围为0%～100%。</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防护等级：不低于IP65。</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 xml:space="preserve">1.6.2 </w:t>
      </w:r>
      <w:r>
        <w:rPr>
          <w:rFonts w:hint="default" w:ascii="宋体" w:hAnsi="宋体" w:cs="黑体"/>
          <w:color w:val="auto"/>
          <w:kern w:val="0"/>
          <w:sz w:val="24"/>
          <w:szCs w:val="24"/>
          <w:highlight w:val="none"/>
          <w:lang w:val="en-US" w:eastAsia="zh-CN"/>
        </w:rPr>
        <w:t>雷达型调光控制器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具有雷达车辆检测功能和调光控制功能，附着并连接隧道LED灯具，既实现对车辆、人员的探测跟踪，又实现对单灯亮度无极调节，采用无线传输及组网。</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输入电压/频率：100-250VAC，50/60HZ</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输出电压：0-10VDC</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工作环境温度：-40℃～+</w:t>
      </w:r>
      <w:r>
        <w:rPr>
          <w:rFonts w:hint="eastAsia" w:ascii="宋体" w:hAnsi="宋体" w:cs="黑体"/>
          <w:color w:val="auto"/>
          <w:kern w:val="0"/>
          <w:sz w:val="24"/>
          <w:szCs w:val="24"/>
          <w:highlight w:val="none"/>
          <w:lang w:val="en-US" w:eastAsia="zh-CN"/>
        </w:rPr>
        <w:t>50</w:t>
      </w:r>
      <w:r>
        <w:rPr>
          <w:rFonts w:hint="default" w:ascii="宋体" w:hAnsi="宋体" w:cs="黑体"/>
          <w:color w:val="auto"/>
          <w:kern w:val="0"/>
          <w:sz w:val="24"/>
          <w:szCs w:val="24"/>
          <w:highlight w:val="none"/>
          <w:lang w:val="en-US" w:eastAsia="zh-CN"/>
        </w:rPr>
        <w:t>℃</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工作环境湿度：0-95%RH无冷凝</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防护等级：IP67（以第三方权威机构检测数据为准，并提供权威CMA、CNAS检测报告）</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阻燃等级：V0级（以第三方权威机构检测数据为准，并提供权威CMA、CNAS检测报告）</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调光响应时间：＜300ms（以第三方权威机构检测数据为准，并提供权威CMA、CNAS检测报告）</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探测及性能：雷达探测，探测距离＞60米（以第三方权威机构检测数据为准，并提供权威CMA、CNAS检测报告）</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功率：≤1W</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 xml:space="preserve">1.6.3 </w:t>
      </w:r>
      <w:r>
        <w:rPr>
          <w:rFonts w:hint="default" w:ascii="宋体" w:hAnsi="宋体" w:cs="黑体"/>
          <w:color w:val="auto"/>
          <w:kern w:val="0"/>
          <w:sz w:val="24"/>
          <w:szCs w:val="24"/>
          <w:highlight w:val="none"/>
          <w:lang w:val="en-US" w:eastAsia="zh-CN"/>
        </w:rPr>
        <w:t>网关型调光控制器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具有物联网网关功能和调光控制功能，附着并连接隧道LED灯具，既实现网络管理及传输，又实现对管辖灯具亮度无极调节，采用无线/有线传输及组网。</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输入电压/频率：100-250VAC，50/60HZ</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输出电压：0-10VDC</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工作环境温度：-40℃～+</w:t>
      </w:r>
      <w:r>
        <w:rPr>
          <w:rFonts w:hint="eastAsia" w:ascii="宋体" w:hAnsi="宋体" w:cs="黑体"/>
          <w:color w:val="auto"/>
          <w:kern w:val="0"/>
          <w:sz w:val="24"/>
          <w:szCs w:val="24"/>
          <w:highlight w:val="none"/>
          <w:lang w:val="en-US" w:eastAsia="zh-CN"/>
        </w:rPr>
        <w:t>50</w:t>
      </w:r>
      <w:r>
        <w:rPr>
          <w:rFonts w:hint="default" w:ascii="宋体" w:hAnsi="宋体" w:cs="黑体"/>
          <w:color w:val="auto"/>
          <w:kern w:val="0"/>
          <w:sz w:val="24"/>
          <w:szCs w:val="24"/>
          <w:highlight w:val="none"/>
          <w:lang w:val="en-US" w:eastAsia="zh-CN"/>
        </w:rPr>
        <w:t>℃</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工作环境湿度：0-95%RH无冷凝</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防护等级：IP67</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阻燃等级：V0级</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调光响应时间：＜300ms</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接口及功能：具有Bluetooth2.4G/ZigBee/Lora/4g等无线接口,可配置RJ45有线接口通信功能（以第三方权威机构检测数据为准，并提供权威CMA、CNAS检测报告）</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功率：≤1W</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 xml:space="preserve">1.6.4 </w:t>
      </w:r>
      <w:r>
        <w:rPr>
          <w:rFonts w:hint="default" w:ascii="宋体" w:hAnsi="宋体" w:cs="黑体"/>
          <w:color w:val="auto"/>
          <w:kern w:val="0"/>
          <w:sz w:val="24"/>
          <w:szCs w:val="24"/>
          <w:highlight w:val="none"/>
          <w:lang w:val="en-US" w:eastAsia="zh-CN"/>
        </w:rPr>
        <w:t>网联边缘控制主机</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包含触摸控制屏及控制柜，安装于隧道箱变内，实现调光系统的本地管理和控制。</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尺寸及材质：钢制防腐</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防护等级：IP54</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工作电压：88-264VAC，47/63HZ</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工作电流: ≤2A</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工作环境：-40℃～+</w:t>
      </w:r>
      <w:r>
        <w:rPr>
          <w:rFonts w:hint="eastAsia" w:ascii="宋体" w:hAnsi="宋体" w:cs="黑体"/>
          <w:color w:val="auto"/>
          <w:kern w:val="0"/>
          <w:sz w:val="24"/>
          <w:szCs w:val="24"/>
          <w:highlight w:val="none"/>
          <w:lang w:val="en-US" w:eastAsia="zh-CN"/>
        </w:rPr>
        <w:t>50</w:t>
      </w:r>
      <w:r>
        <w:rPr>
          <w:rFonts w:hint="default" w:ascii="宋体" w:hAnsi="宋体" w:cs="黑体"/>
          <w:color w:val="auto"/>
          <w:kern w:val="0"/>
          <w:sz w:val="24"/>
          <w:szCs w:val="24"/>
          <w:highlight w:val="none"/>
          <w:lang w:val="en-US" w:eastAsia="zh-CN"/>
        </w:rPr>
        <w:t>℃，湿度≤98%RH</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触摸屏控制：10.1/15.6寸电容触摸屏，或定制</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响应时间：对上位机响应≤1S；对亮度、车流量指令响应≤0.1S</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调光性能：调光等级＞24级，也可在15-254级间设定；兼容0-10V或0-5V调光信号，调光范围10%-100%可调；具有一键关闭/恢复调光功能。</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接口要求：通信接口：具备Bluetooth2.4G/Lora/4G等无线通信接口,RS485/RS232串口接口及RJ45以太网接口；输入接口：RS485≥2，模拟量接口≥2，开关量接口≥2；输出接口：RS485≥4，开关量接口≥4。可按需定制接口。</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功能要求：开机自检、状态指示、时钟校准、现场操作、断电保护、本地存储、预设本地接管模式，具备本地调光控制软件。</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 xml:space="preserve">1.6.5 </w:t>
      </w:r>
      <w:r>
        <w:rPr>
          <w:rFonts w:hint="default" w:ascii="宋体" w:hAnsi="宋体" w:cs="黑体"/>
          <w:color w:val="auto"/>
          <w:kern w:val="0"/>
          <w:sz w:val="24"/>
          <w:szCs w:val="24"/>
          <w:highlight w:val="none"/>
          <w:lang w:val="en-US" w:eastAsia="zh-CN"/>
        </w:rPr>
        <w:t>平台软件</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物联网随车调光系统管理平台（平台软件）是整个系统管理和控制中心，负责对设备的工作状态，日常运行策略，用户权限等进行设置和管理，主要包括以下四大模块：运行监测、系统控制、用户及权限管理、日志及审计。系统软件可实现整个路段所有隧道的调光控制及展示功能，具有统计和控制功能，能展示隧道照明灯具布设状态并统计展示亮暗时长、节能效率等照明系统数据；能实时展示照明“与车随行”效果；能实现对照明系统的控制与在线巡查；能实现对封道、断电等事件的判别及告警。</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1.6.6 工作站</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处理器：不低于酷睿I7 10代处理器；</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内存：16GB DDR4；</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硬盘：配置容量不小于 2TB，SATA3，7200rpm，并配置容量不小于512GB的SSD；</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配置1套2G独立显卡和1台液晶显示器；</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液晶显示器不小于27寸，分辨率不低于1080p，亮度不低于300cd/m2，对比度500:1；</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响应时间不超过 8ms；</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数据接口 2×USB 2.0，4×USB 3.0；</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视频输出接口：1个 VGA、1个 HDMI；</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音频接口：1个音频输入接口，1个音频输出接口，1个麦克风输入接口；</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配置标准键盘、鼠标等；</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网卡：集成千兆以太网网卡；</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预装操作系统：不低于正版 Windows 7专业版64位。</w:t>
      </w:r>
    </w:p>
    <w:p>
      <w:pPr>
        <w:tabs>
          <w:tab w:val="left" w:pos="1283"/>
          <w:tab w:val="left" w:pos="1922"/>
        </w:tabs>
        <w:autoSpaceDE w:val="0"/>
        <w:autoSpaceDN w:val="0"/>
        <w:spacing w:line="360" w:lineRule="auto"/>
        <w:ind w:firstLine="480" w:firstLineChars="200"/>
        <w:jc w:val="left"/>
        <w:rPr>
          <w:rFonts w:hint="eastAsia"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项目实施时，应按照当时主流配置进行采购，3年质保。</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 xml:space="preserve">1.6.7 </w:t>
      </w:r>
      <w:r>
        <w:rPr>
          <w:rFonts w:hint="default" w:ascii="宋体" w:hAnsi="宋体" w:cs="黑体"/>
          <w:color w:val="auto"/>
          <w:kern w:val="0"/>
          <w:sz w:val="24"/>
          <w:szCs w:val="24"/>
          <w:highlight w:val="none"/>
          <w:lang w:val="en-US" w:eastAsia="zh-CN"/>
        </w:rPr>
        <w:t>亮度检测器（带空气净化装置）</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（1）洞外亮度检测器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测量范围：0～6500cd/m2  电源：AC100～250V，50Hz测量精度：±1cd/m2</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示值误差 ：±1%</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示值重复性：≤0.1% 光谱响应误差：≤1% 负载阻抗 ：1000 Ω</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输出信号保护：24V</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工作湿度 ：0%～100% 防护等级 ：IP67</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信号输出 ：开关量输出：3 组继电器触点</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模拟量输出：4～20mA 与 0～6500cd/m2 成正比关系 数字量输出：可选。</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除尘方式：无尘窗口 正向气压团</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轻空气输入接口：KJ45（配接空气粒子分离器）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（2）洞内</w:t>
      </w:r>
      <w:r>
        <w:rPr>
          <w:rFonts w:hint="eastAsia" w:ascii="宋体" w:hAnsi="宋体" w:cs="黑体"/>
          <w:color w:val="auto"/>
          <w:kern w:val="0"/>
          <w:sz w:val="24"/>
          <w:szCs w:val="24"/>
          <w:highlight w:val="none"/>
          <w:lang w:val="en-US" w:eastAsia="zh-CN"/>
        </w:rPr>
        <w:t>照</w:t>
      </w:r>
      <w:r>
        <w:rPr>
          <w:rFonts w:hint="default" w:ascii="宋体" w:hAnsi="宋体" w:cs="黑体"/>
          <w:color w:val="auto"/>
          <w:kern w:val="0"/>
          <w:sz w:val="24"/>
          <w:szCs w:val="24"/>
          <w:highlight w:val="none"/>
          <w:lang w:val="en-US" w:eastAsia="zh-CN"/>
        </w:rPr>
        <w:t>度检测器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测量范围：0～500cd/m2  测量角度：-20 度～70 度 示值误差：≤± 1%</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示值重复性：≤±0.1% 光谱响应误差：≤± 1% 测量精度：≤±1cd/㎡</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电源：交流100～240VAC  50Hz</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模拟输出：4～20mA 防护等级：IP66</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传输接口</w:t>
      </w:r>
      <w:r>
        <w:rPr>
          <w:rFonts w:hint="eastAsia" w:ascii="宋体" w:hAnsi="宋体" w:cs="黑体"/>
          <w:color w:val="auto"/>
          <w:kern w:val="0"/>
          <w:sz w:val="24"/>
          <w:szCs w:val="24"/>
          <w:highlight w:val="none"/>
          <w:lang w:val="en-US" w:eastAsia="zh-CN"/>
        </w:rPr>
        <w:t>：</w:t>
      </w:r>
      <w:r>
        <w:rPr>
          <w:rFonts w:hint="default" w:ascii="宋体" w:hAnsi="宋体" w:cs="黑体"/>
          <w:color w:val="auto"/>
          <w:kern w:val="0"/>
          <w:sz w:val="24"/>
          <w:szCs w:val="24"/>
          <w:highlight w:val="none"/>
          <w:lang w:val="en-US" w:eastAsia="zh-CN"/>
        </w:rPr>
        <w:t>RS232/RS485 负载阻抗：1000 欧</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工作湿度</w:t>
      </w:r>
      <w:r>
        <w:rPr>
          <w:rFonts w:hint="eastAsia" w:ascii="宋体" w:hAnsi="宋体" w:cs="黑体"/>
          <w:color w:val="auto"/>
          <w:kern w:val="0"/>
          <w:sz w:val="24"/>
          <w:szCs w:val="24"/>
          <w:highlight w:val="none"/>
          <w:lang w:val="en-US" w:eastAsia="zh-CN"/>
        </w:rPr>
        <w:t>：</w:t>
      </w:r>
      <w:r>
        <w:rPr>
          <w:rFonts w:hint="default" w:ascii="宋体" w:hAnsi="宋体" w:cs="黑体"/>
          <w:color w:val="auto"/>
          <w:kern w:val="0"/>
          <w:sz w:val="24"/>
          <w:szCs w:val="24"/>
          <w:highlight w:val="none"/>
          <w:lang w:val="en-US" w:eastAsia="zh-CN"/>
        </w:rPr>
        <w:t>0～100%</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除尘方式：无尘窗口 正向气压团</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轻空气输入接口：KJ45（配接空气粒子分离器）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（3）空气粒子分离器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净化通风量：10–20m³/h 重力加速片长度：70mm</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净风循环次数：20次</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输入电压：AC 36V±20%</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1.6.8 洞口</w:t>
      </w:r>
      <w:r>
        <w:rPr>
          <w:rFonts w:hint="default" w:ascii="宋体" w:hAnsi="宋体" w:cs="黑体"/>
          <w:color w:val="auto"/>
          <w:kern w:val="0"/>
          <w:sz w:val="24"/>
          <w:szCs w:val="24"/>
          <w:highlight w:val="none"/>
          <w:lang w:val="en-US" w:eastAsia="zh-CN"/>
        </w:rPr>
        <w:t>车辆检测器</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车辆检测器应能够可靠地检测公路上四轮以上（含四轮）的所有类型的机动车，拖车作为一辆车检测，并应能防止由于邻近车道车辆造成的误检或漏检。</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检测器子系统应能提供以下交通参数（每车道小车、大车、拖车分别计数）：</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(1)每一车道的车辆数</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(2)每一车道的车辆速度</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(3)每一车道的车辆占有率</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检测器应具有予处理功能，能按1分钟、5分钟、15分钟、30分钟、1小时进行车辆数、车辆速度、车辆占有率的统计。</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检测器应具有存储功能，应能存储7天以上的检测数据，具有通信端口（RS232或RS485），能输入数据到中心计算机及本地维护终端。</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检测器可以设置交通参数取样时间，可以调整检测器灵敏度。</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器在控制器内（或便携式计算机）应有模拟车辆驶过计数的功能，以利于调试及检修。检测器能够连续不间断工作，具有自检/故障诊断功能，能提供工作状态信息，可在处理器面板上利用指示灯显示并可传至中心计算机系统和便携式计算机。</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检测器应在复电（或复位）30 秒后自动恢复正常状态，原有储存数据保持不变。</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检测速度范围：1～180 公里/小时±3％;</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车辆速度检测精度≥90％；</w:t>
      </w:r>
    </w:p>
    <w:p>
      <w:pPr>
        <w:tabs>
          <w:tab w:val="left" w:pos="1283"/>
          <w:tab w:val="left" w:pos="1922"/>
        </w:tabs>
        <w:autoSpaceDE w:val="0"/>
        <w:autoSpaceDN w:val="0"/>
        <w:spacing w:line="360" w:lineRule="auto"/>
        <w:ind w:firstLine="480" w:firstLineChars="200"/>
        <w:jc w:val="left"/>
        <w:rPr>
          <w:rFonts w:hint="default" w:ascii="宋体" w:hAnsi="宋体" w:cs="黑体"/>
          <w:color w:val="auto"/>
          <w:kern w:val="0"/>
          <w:sz w:val="24"/>
          <w:szCs w:val="24"/>
          <w:highlight w:val="none"/>
          <w:lang w:val="en-US" w:eastAsia="zh-CN"/>
        </w:rPr>
      </w:pPr>
      <w:r>
        <w:rPr>
          <w:rFonts w:hint="default" w:ascii="宋体" w:hAnsi="宋体" w:cs="黑体"/>
          <w:color w:val="auto"/>
          <w:kern w:val="0"/>
          <w:sz w:val="24"/>
          <w:szCs w:val="24"/>
          <w:highlight w:val="none"/>
          <w:lang w:val="en-US" w:eastAsia="zh-CN"/>
        </w:rPr>
        <w:t>交通量检测精度：≥90%。</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hint="eastAsia" w:ascii="宋体" w:hAnsi="宋体" w:cs="黑体"/>
          <w:color w:val="auto"/>
          <w:kern w:val="0"/>
          <w:sz w:val="24"/>
          <w:szCs w:val="24"/>
          <w:highlight w:val="none"/>
          <w:lang w:val="en-US" w:eastAsia="zh-CN"/>
        </w:rPr>
        <w:t>7</w:t>
      </w:r>
      <w:r>
        <w:rPr>
          <w:rFonts w:hint="eastAsia" w:ascii="宋体" w:hAnsi="宋体" w:cs="黑体"/>
          <w:color w:val="auto"/>
          <w:kern w:val="0"/>
          <w:sz w:val="24"/>
          <w:szCs w:val="24"/>
          <w:highlight w:val="none"/>
        </w:rPr>
        <w:t xml:space="preserve"> 项目时间要求</w:t>
      </w:r>
    </w:p>
    <w:tbl>
      <w:tblPr>
        <w:tblStyle w:val="40"/>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44"/>
        <w:gridCol w:w="2819"/>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blHeader/>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ascii="宋体" w:hAnsi="宋体"/>
                <w:color w:val="auto"/>
                <w:szCs w:val="21"/>
                <w:highlight w:val="none"/>
              </w:rPr>
              <w:t>时间</w:t>
            </w:r>
          </w:p>
        </w:tc>
        <w:tc>
          <w:tcPr>
            <w:tcW w:w="4532" w:type="dxa"/>
            <w:vAlign w:val="center"/>
          </w:tcPr>
          <w:p>
            <w:pPr>
              <w:widowControl/>
              <w:jc w:val="center"/>
              <w:rPr>
                <w:rFonts w:ascii="宋体" w:hAnsi="宋体"/>
                <w:color w:val="auto"/>
                <w:szCs w:val="21"/>
                <w:highlight w:val="none"/>
              </w:rPr>
            </w:pPr>
            <w:r>
              <w:rPr>
                <w:rFonts w:ascii="宋体" w:hAnsi="宋体"/>
                <w:color w:val="auto"/>
                <w:szCs w:val="21"/>
                <w:highlight w:val="none"/>
              </w:rPr>
              <w:t>项目进度计划及目标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第一阶段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自合同签订之日起</w:t>
            </w:r>
          </w:p>
          <w:p>
            <w:pPr>
              <w:widowControl/>
              <w:jc w:val="center"/>
              <w:rPr>
                <w:rFonts w:ascii="宋体" w:hAnsi="宋体"/>
                <w:color w:val="auto"/>
                <w:szCs w:val="21"/>
                <w:highlight w:val="none"/>
              </w:rPr>
            </w:pPr>
            <w:r>
              <w:rPr>
                <w:rFonts w:hint="eastAsia" w:ascii="宋体" w:hAnsi="宋体"/>
                <w:color w:val="auto"/>
                <w:szCs w:val="21"/>
                <w:highlight w:val="none"/>
              </w:rPr>
              <w:t>15工作日内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完成开题大纲编制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开题大纲评审后15工作日内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完成施工图设计编制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三</w:t>
            </w: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施工图批复后2个月内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完成配套设施安装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四</w:t>
            </w: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自合同签订之日起4</w:t>
            </w:r>
            <w:r>
              <w:rPr>
                <w:rFonts w:ascii="宋体" w:hAnsi="宋体"/>
                <w:color w:val="auto"/>
                <w:szCs w:val="21"/>
                <w:highlight w:val="none"/>
              </w:rPr>
              <w:t>个月</w:t>
            </w:r>
            <w:r>
              <w:rPr>
                <w:rFonts w:hint="eastAsia" w:ascii="宋体" w:hAnsi="宋体"/>
                <w:color w:val="auto"/>
                <w:szCs w:val="21"/>
                <w:highlight w:val="none"/>
              </w:rPr>
              <w:t>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（1）提交研究开发计划；</w:t>
            </w:r>
          </w:p>
          <w:p>
            <w:pPr>
              <w:widowControl/>
              <w:rPr>
                <w:rFonts w:ascii="宋体" w:hAnsi="宋体"/>
                <w:color w:val="auto"/>
                <w:szCs w:val="21"/>
                <w:highlight w:val="none"/>
              </w:rPr>
            </w:pPr>
            <w:r>
              <w:rPr>
                <w:rFonts w:hint="eastAsia" w:ascii="宋体" w:hAnsi="宋体"/>
                <w:color w:val="auto"/>
                <w:szCs w:val="21"/>
                <w:highlight w:val="none"/>
              </w:rPr>
              <w:t>（2）实现数据采集装置的搭建和数据采集；</w:t>
            </w:r>
          </w:p>
          <w:p>
            <w:pPr>
              <w:widowControl/>
              <w:rPr>
                <w:rFonts w:ascii="宋体" w:hAnsi="宋体"/>
                <w:color w:val="auto"/>
                <w:szCs w:val="21"/>
                <w:highlight w:val="none"/>
              </w:rPr>
            </w:pPr>
            <w:r>
              <w:rPr>
                <w:rFonts w:hint="eastAsia" w:ascii="宋体" w:hAnsi="宋体"/>
                <w:color w:val="auto"/>
                <w:szCs w:val="21"/>
                <w:highlight w:val="none"/>
              </w:rPr>
              <w:t>（3）划分隧道不同段落并进行洞内照明亮度计算曲线的拟合；</w:t>
            </w:r>
          </w:p>
          <w:p>
            <w:pPr>
              <w:widowControl/>
              <w:rPr>
                <w:rFonts w:ascii="宋体" w:hAnsi="宋体"/>
                <w:color w:val="auto"/>
                <w:szCs w:val="21"/>
                <w:highlight w:val="none"/>
              </w:rPr>
            </w:pPr>
            <w:r>
              <w:rPr>
                <w:rFonts w:hint="eastAsia" w:ascii="宋体" w:hAnsi="宋体"/>
                <w:color w:val="auto"/>
                <w:szCs w:val="21"/>
                <w:highlight w:val="none"/>
              </w:rPr>
              <w:t>（4）设计并验证融合注意力机制的循环神经网络调光控制算法；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五</w:t>
            </w: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自合同签订之日起6个月内</w:t>
            </w:r>
          </w:p>
        </w:tc>
        <w:tc>
          <w:tcPr>
            <w:tcW w:w="4532" w:type="dxa"/>
            <w:vAlign w:val="center"/>
          </w:tcPr>
          <w:p>
            <w:pPr>
              <w:widowControl/>
              <w:rPr>
                <w:rFonts w:hint="default" w:ascii="宋体" w:hAnsi="宋体" w:eastAsia="宋体"/>
                <w:color w:val="auto"/>
                <w:szCs w:val="21"/>
                <w:highlight w:val="none"/>
                <w:lang w:val="en-US" w:eastAsia="zh-CN"/>
              </w:rPr>
            </w:pPr>
            <w:r>
              <w:rPr>
                <w:rFonts w:hint="eastAsia" w:ascii="宋体" w:hAnsi="宋体"/>
                <w:color w:val="auto"/>
                <w:szCs w:val="21"/>
                <w:highlight w:val="none"/>
              </w:rPr>
              <w:t>项目中期验收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对已经完成的研发内容及配套设施的使用效果进行验收。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六</w:t>
            </w: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自合同签订之日起7</w:t>
            </w:r>
            <w:r>
              <w:rPr>
                <w:rFonts w:ascii="宋体" w:hAnsi="宋体"/>
                <w:color w:val="auto"/>
                <w:szCs w:val="21"/>
                <w:highlight w:val="none"/>
              </w:rPr>
              <w:t>个月</w:t>
            </w:r>
            <w:r>
              <w:rPr>
                <w:rFonts w:hint="eastAsia" w:ascii="宋体" w:hAnsi="宋体"/>
                <w:color w:val="auto"/>
                <w:szCs w:val="21"/>
                <w:highlight w:val="none"/>
              </w:rPr>
              <w:t>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（1）建设驾驶模拟仿真平台、进行仿真测试；</w:t>
            </w:r>
          </w:p>
          <w:p>
            <w:pPr>
              <w:widowControl/>
              <w:rPr>
                <w:rFonts w:ascii="宋体" w:hAnsi="宋体"/>
                <w:color w:val="auto"/>
                <w:szCs w:val="21"/>
                <w:highlight w:val="none"/>
              </w:rPr>
            </w:pPr>
            <w:r>
              <w:rPr>
                <w:rFonts w:hint="eastAsia" w:ascii="宋体" w:hAnsi="宋体"/>
                <w:color w:val="auto"/>
                <w:szCs w:val="21"/>
                <w:highlight w:val="none"/>
              </w:rPr>
              <w:t>（2）收集车辆行驶数据和驾驶员反应数据；</w:t>
            </w:r>
          </w:p>
          <w:p>
            <w:pPr>
              <w:widowControl/>
              <w:rPr>
                <w:rFonts w:ascii="宋体" w:hAnsi="宋体"/>
                <w:color w:val="auto"/>
                <w:szCs w:val="21"/>
                <w:highlight w:val="none"/>
              </w:rPr>
            </w:pPr>
            <w:r>
              <w:rPr>
                <w:rFonts w:hint="eastAsia" w:ascii="宋体" w:hAnsi="宋体"/>
                <w:color w:val="auto"/>
                <w:szCs w:val="21"/>
                <w:highlight w:val="none"/>
              </w:rPr>
              <w:t>（3）验证随车调光控制策略的效果和节能性能。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七</w:t>
            </w:r>
            <w:r>
              <w:rPr>
                <w:rFonts w:ascii="宋体" w:hAnsi="宋体"/>
                <w:color w:val="auto"/>
                <w:szCs w:val="21"/>
                <w:highlight w:val="none"/>
              </w:rPr>
              <w:t>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自合同签订之日起10</w:t>
            </w:r>
            <w:r>
              <w:rPr>
                <w:rFonts w:ascii="宋体" w:hAnsi="宋体"/>
                <w:color w:val="auto"/>
                <w:szCs w:val="21"/>
                <w:highlight w:val="none"/>
              </w:rPr>
              <w:t>个月</w:t>
            </w:r>
            <w:r>
              <w:rPr>
                <w:rFonts w:hint="eastAsia" w:ascii="宋体" w:hAnsi="宋体"/>
                <w:color w:val="auto"/>
                <w:szCs w:val="21"/>
                <w:highlight w:val="none"/>
              </w:rPr>
              <w:t>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（1）隧道随车调光控制策略仿真优化方法的设计与验证；</w:t>
            </w:r>
          </w:p>
          <w:p>
            <w:pPr>
              <w:widowControl/>
              <w:rPr>
                <w:rFonts w:ascii="宋体" w:hAnsi="宋体"/>
                <w:color w:val="auto"/>
                <w:szCs w:val="21"/>
                <w:highlight w:val="none"/>
              </w:rPr>
            </w:pPr>
            <w:r>
              <w:rPr>
                <w:rFonts w:hint="eastAsia" w:ascii="宋体" w:hAnsi="宋体"/>
                <w:color w:val="auto"/>
                <w:szCs w:val="21"/>
                <w:highlight w:val="none"/>
              </w:rPr>
              <w:t>（2）构建多样化的仿真场景、设计节能算法能耗计算公式；</w:t>
            </w:r>
          </w:p>
          <w:p>
            <w:pPr>
              <w:widowControl/>
              <w:rPr>
                <w:rFonts w:ascii="宋体" w:hAnsi="宋体"/>
                <w:color w:val="auto"/>
                <w:szCs w:val="21"/>
                <w:highlight w:val="none"/>
              </w:rPr>
            </w:pPr>
            <w:r>
              <w:rPr>
                <w:rFonts w:hint="eastAsia" w:ascii="宋体" w:hAnsi="宋体"/>
                <w:color w:val="auto"/>
                <w:szCs w:val="21"/>
                <w:highlight w:val="none"/>
              </w:rPr>
              <w:t>（3）通过仿真进行参数与优化；</w:t>
            </w:r>
          </w:p>
          <w:p>
            <w:pPr>
              <w:widowControl/>
              <w:rPr>
                <w:rFonts w:ascii="宋体" w:hAnsi="宋体"/>
                <w:color w:val="auto"/>
                <w:szCs w:val="21"/>
                <w:highlight w:val="none"/>
              </w:rPr>
            </w:pPr>
            <w:r>
              <w:rPr>
                <w:rFonts w:hint="eastAsia" w:ascii="宋体" w:hAnsi="宋体"/>
                <w:color w:val="auto"/>
                <w:szCs w:val="21"/>
                <w:highlight w:val="none"/>
              </w:rPr>
              <w:t>（4）投稿一项发明专利。</w:t>
            </w:r>
          </w:p>
          <w:p>
            <w:pPr>
              <w:widowControl/>
              <w:rPr>
                <w:rFonts w:ascii="宋体" w:hAnsi="宋体"/>
                <w:color w:val="auto"/>
                <w:szCs w:val="21"/>
                <w:highlight w:val="none"/>
              </w:rPr>
            </w:pPr>
            <w:r>
              <w:rPr>
                <w:rFonts w:hint="eastAsia" w:ascii="宋体" w:hAnsi="宋体"/>
                <w:color w:val="auto"/>
                <w:szCs w:val="21"/>
                <w:highlight w:val="none"/>
              </w:rPr>
              <w:t>（5）投稿一篇中文核心期刊论文。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jc w:val="center"/>
        </w:trPr>
        <w:tc>
          <w:tcPr>
            <w:tcW w:w="1344"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第八阶段</w:t>
            </w:r>
          </w:p>
        </w:tc>
        <w:tc>
          <w:tcPr>
            <w:tcW w:w="2819" w:type="dxa"/>
            <w:vAlign w:val="center"/>
          </w:tcPr>
          <w:p>
            <w:pPr>
              <w:widowControl/>
              <w:jc w:val="center"/>
              <w:rPr>
                <w:rFonts w:ascii="宋体" w:hAnsi="宋体"/>
                <w:color w:val="auto"/>
                <w:szCs w:val="21"/>
                <w:highlight w:val="none"/>
              </w:rPr>
            </w:pPr>
            <w:r>
              <w:rPr>
                <w:rFonts w:hint="eastAsia" w:ascii="宋体" w:hAnsi="宋体"/>
                <w:color w:val="auto"/>
                <w:szCs w:val="21"/>
                <w:highlight w:val="none"/>
              </w:rPr>
              <w:t>自合同签订之日起12</w:t>
            </w:r>
            <w:r>
              <w:rPr>
                <w:rFonts w:ascii="宋体" w:hAnsi="宋体"/>
                <w:color w:val="auto"/>
                <w:szCs w:val="21"/>
                <w:highlight w:val="none"/>
              </w:rPr>
              <w:t>个月</w:t>
            </w:r>
            <w:r>
              <w:rPr>
                <w:rFonts w:hint="eastAsia" w:ascii="宋体" w:hAnsi="宋体"/>
                <w:color w:val="auto"/>
                <w:szCs w:val="21"/>
                <w:highlight w:val="none"/>
              </w:rPr>
              <w:t>内</w:t>
            </w:r>
          </w:p>
        </w:tc>
        <w:tc>
          <w:tcPr>
            <w:tcW w:w="4532" w:type="dxa"/>
            <w:vAlign w:val="center"/>
          </w:tcPr>
          <w:p>
            <w:pPr>
              <w:widowControl/>
              <w:rPr>
                <w:rFonts w:ascii="宋体" w:hAnsi="宋体"/>
                <w:color w:val="auto"/>
                <w:szCs w:val="21"/>
                <w:highlight w:val="none"/>
              </w:rPr>
            </w:pPr>
            <w:r>
              <w:rPr>
                <w:rFonts w:hint="eastAsia" w:ascii="宋体" w:hAnsi="宋体"/>
                <w:color w:val="auto"/>
                <w:szCs w:val="21"/>
                <w:highlight w:val="none"/>
              </w:rPr>
              <w:t>项目成果总结阶段，进行终期验收。</w:t>
            </w:r>
          </w:p>
          <w:p>
            <w:pPr>
              <w:widowControl/>
              <w:rPr>
                <w:rFonts w:ascii="宋体" w:hAnsi="宋体"/>
                <w:color w:val="auto"/>
                <w:szCs w:val="21"/>
                <w:highlight w:val="none"/>
              </w:rPr>
            </w:pPr>
            <w:r>
              <w:rPr>
                <w:rFonts w:hint="eastAsia" w:ascii="宋体" w:hAnsi="宋体"/>
                <w:color w:val="auto"/>
                <w:szCs w:val="21"/>
                <w:highlight w:val="none"/>
              </w:rPr>
              <w:t>（1）研发随车调光优化策略及算法；</w:t>
            </w:r>
          </w:p>
          <w:p>
            <w:pPr>
              <w:widowControl/>
              <w:rPr>
                <w:rFonts w:ascii="宋体" w:hAnsi="宋体"/>
                <w:color w:val="auto"/>
                <w:szCs w:val="21"/>
                <w:highlight w:val="none"/>
              </w:rPr>
            </w:pPr>
            <w:r>
              <w:rPr>
                <w:rFonts w:hint="eastAsia" w:ascii="宋体" w:hAnsi="宋体"/>
                <w:color w:val="auto"/>
                <w:szCs w:val="21"/>
                <w:highlight w:val="none"/>
              </w:rPr>
              <w:t>（2）对规定隧道进行示范应用及测试验证；</w:t>
            </w:r>
          </w:p>
          <w:p>
            <w:pPr>
              <w:widowControl/>
              <w:rPr>
                <w:rFonts w:ascii="宋体" w:hAnsi="宋体"/>
                <w:color w:val="auto"/>
                <w:szCs w:val="21"/>
                <w:highlight w:val="none"/>
              </w:rPr>
            </w:pPr>
            <w:r>
              <w:rPr>
                <w:rFonts w:hint="eastAsia" w:ascii="宋体" w:hAnsi="宋体"/>
                <w:color w:val="auto"/>
                <w:szCs w:val="21"/>
                <w:highlight w:val="none"/>
              </w:rPr>
              <w:t>（3）提交研究报告；</w:t>
            </w:r>
          </w:p>
        </w:tc>
      </w:tr>
    </w:tbl>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hint="eastAsia" w:ascii="宋体" w:hAnsi="宋体" w:cs="黑体"/>
          <w:color w:val="auto"/>
          <w:kern w:val="0"/>
          <w:sz w:val="24"/>
          <w:szCs w:val="24"/>
          <w:highlight w:val="none"/>
          <w:lang w:val="en-US" w:eastAsia="zh-CN"/>
        </w:rPr>
        <w:t>8</w:t>
      </w:r>
      <w:r>
        <w:rPr>
          <w:rFonts w:hint="eastAsia" w:ascii="宋体" w:hAnsi="宋体" w:cs="黑体"/>
          <w:color w:val="auto"/>
          <w:kern w:val="0"/>
          <w:sz w:val="24"/>
          <w:szCs w:val="24"/>
          <w:highlight w:val="none"/>
        </w:rPr>
        <w:t xml:space="preserve"> 项目预算投入</w:t>
      </w:r>
    </w:p>
    <w:p>
      <w:pPr>
        <w:pStyle w:val="16"/>
        <w:spacing w:after="0" w:line="360" w:lineRule="auto"/>
        <w:ind w:firstLine="200"/>
        <w:rPr>
          <w:rFonts w:ascii="宋体" w:hAnsi="宋体"/>
          <w:color w:val="auto"/>
          <w:sz w:val="24"/>
          <w:szCs w:val="24"/>
          <w:highlight w:val="none"/>
        </w:rPr>
      </w:pPr>
      <w:r>
        <w:rPr>
          <w:rFonts w:hint="eastAsia" w:ascii="宋体" w:hAnsi="宋体"/>
          <w:color w:val="auto"/>
          <w:sz w:val="24"/>
          <w:szCs w:val="24"/>
          <w:highlight w:val="none"/>
        </w:rPr>
        <w:t>榜单金额538.2568万元，其中科研费42.75万元，设计服务费8.6658万元，配套设施费486.8410万元。</w:t>
      </w:r>
    </w:p>
    <w:p>
      <w:pPr>
        <w:pStyle w:val="3"/>
        <w:spacing w:before="0" w:after="0"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二、揭榜基本要求</w:t>
      </w:r>
    </w:p>
    <w:p>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bookmarkStart w:id="10" w:name="_Toc179632530"/>
      <w:bookmarkStart w:id="11" w:name="_Toc144974482"/>
      <w:bookmarkStart w:id="12" w:name="_Toc152042290"/>
      <w:bookmarkStart w:id="13" w:name="_Toc152045514"/>
      <w:r>
        <w:rPr>
          <w:rFonts w:hint="eastAsia" w:ascii="宋体" w:hAnsi="宋体" w:cs="黑体"/>
          <w:color w:val="auto"/>
          <w:kern w:val="0"/>
          <w:sz w:val="24"/>
          <w:szCs w:val="24"/>
          <w:highlight w:val="none"/>
        </w:rPr>
        <w:t>2.1 揭榜人要求</w:t>
      </w:r>
      <w:bookmarkEnd w:id="10"/>
      <w:bookmarkEnd w:id="11"/>
      <w:bookmarkEnd w:id="12"/>
      <w:bookmarkEnd w:id="13"/>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2.1.1 揭榜团队须为在中华人民共和国境内注册、具有独立法人资格的企事业单位。项目中如有与研发内容密不可分、定制设备材料的提供、机电设备安装施工、设计勘察等内容，联合单位须具备开展相关业务的国家或行业规定的相关资质。</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2.1.2 业绩要求：揭榜团队应了解行业最新动态，近5年（2019年5月1日至发榜截止时间，以通过成果验收或鉴定时间或登记时间为准）至少承担过1项智慧高速公路隧道相关科研课题的研究，近5年（2019年5月1日至发榜截止时间，以</w:t>
      </w:r>
      <w:bookmarkStart w:id="80" w:name="_GoBack"/>
      <w:r>
        <w:rPr>
          <w:rFonts w:hint="eastAsia" w:ascii="宋体" w:hAnsi="宋体" w:cs="黑体"/>
          <w:color w:val="auto"/>
          <w:kern w:val="0"/>
          <w:sz w:val="24"/>
          <w:szCs w:val="24"/>
          <w:highlight w:val="none"/>
        </w:rPr>
        <w:t>合同签订或</w:t>
      </w:r>
      <w:bookmarkEnd w:id="80"/>
      <w:r>
        <w:rPr>
          <w:rFonts w:hint="eastAsia" w:ascii="宋体" w:hAnsi="宋体" w:cs="黑体"/>
          <w:color w:val="auto"/>
          <w:kern w:val="0"/>
          <w:sz w:val="24"/>
          <w:szCs w:val="24"/>
          <w:highlight w:val="none"/>
        </w:rPr>
        <w:t>项目竣工验收时间为准）至少承担过1项高速公路隧道照明项目实施工作。</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olor w:val="auto"/>
          <w:sz w:val="24"/>
          <w:szCs w:val="24"/>
          <w:highlight w:val="none"/>
        </w:rPr>
        <w:t>2.1.3</w:t>
      </w:r>
      <w:r>
        <w:rPr>
          <w:rFonts w:hint="eastAsia" w:ascii="宋体" w:hAnsi="宋体" w:cs="黑体"/>
          <w:color w:val="auto"/>
          <w:kern w:val="0"/>
          <w:sz w:val="24"/>
          <w:szCs w:val="24"/>
          <w:highlight w:val="none"/>
        </w:rPr>
        <w:t xml:space="preserve"> 本次“揭榜挂帅”</w:t>
      </w:r>
      <w:r>
        <w:rPr>
          <w:rFonts w:hint="eastAsia" w:ascii="宋体" w:hAnsi="宋体" w:cs="黑体"/>
          <w:color w:val="auto"/>
          <w:kern w:val="0"/>
          <w:sz w:val="24"/>
          <w:szCs w:val="24"/>
          <w:highlight w:val="none"/>
          <w:u w:val="single"/>
        </w:rPr>
        <w:t xml:space="preserve"> 接受 </w:t>
      </w:r>
      <w:r>
        <w:rPr>
          <w:rFonts w:hint="eastAsia" w:ascii="宋体" w:hAnsi="宋体" w:cs="黑体"/>
          <w:color w:val="auto"/>
          <w:kern w:val="0"/>
          <w:sz w:val="24"/>
          <w:szCs w:val="24"/>
          <w:highlight w:val="none"/>
        </w:rPr>
        <w:t>联合体揭榜。牵头单位为1家，联合体成员不超过3家。</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联合申报时的要求：</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（1）项目中研究内容需两家或两家以上单位联合完成的，</w:t>
      </w:r>
      <w:r>
        <w:rPr>
          <w:rFonts w:hint="eastAsia" w:ascii="宋体" w:hAnsi="宋体" w:cs="黑体"/>
          <w:color w:val="auto"/>
          <w:kern w:val="0"/>
          <w:sz w:val="24"/>
          <w:szCs w:val="24"/>
          <w:highlight w:val="none"/>
          <w:lang w:val="en-US" w:eastAsia="zh-CN"/>
        </w:rPr>
        <w:t>揭榜团队须在资质、业绩方面符合揭榜人相应的要求</w:t>
      </w:r>
      <w:r>
        <w:rPr>
          <w:rFonts w:hint="eastAsia" w:ascii="宋体" w:hAnsi="宋体" w:cs="黑体"/>
          <w:color w:val="auto"/>
          <w:kern w:val="0"/>
          <w:sz w:val="24"/>
          <w:szCs w:val="24"/>
          <w:highlight w:val="none"/>
        </w:rPr>
        <w:t>。</w:t>
      </w:r>
    </w:p>
    <w:p>
      <w:pPr>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w:t>
      </w:r>
      <w:r>
        <w:rPr>
          <w:rFonts w:hint="eastAsia" w:ascii="宋体" w:hAnsi="宋体" w:cs="黑体"/>
          <w:color w:val="auto"/>
          <w:kern w:val="0"/>
          <w:sz w:val="24"/>
          <w:szCs w:val="24"/>
          <w:highlight w:val="none"/>
          <w:lang w:val="en-US" w:eastAsia="zh-CN"/>
        </w:rPr>
        <w:t>2</w:t>
      </w:r>
      <w:r>
        <w:rPr>
          <w:rFonts w:hint="eastAsia" w:ascii="宋体" w:hAnsi="宋体" w:cs="黑体"/>
          <w:color w:val="auto"/>
          <w:kern w:val="0"/>
          <w:sz w:val="24"/>
          <w:szCs w:val="24"/>
          <w:highlight w:val="none"/>
        </w:rPr>
        <w:t>）凡联合体报名的，报名时须提交联合体申报声明，声明中要明确牵头单位和成员单位及其分工和权利义务。牵头单位在项目中负责项目的整体组织实施，并对其他联合单位完成内容负连带责任，其他成员单位按照分工承担相应责任。</w:t>
      </w:r>
    </w:p>
    <w:p>
      <w:pPr>
        <w:pStyle w:val="16"/>
        <w:spacing w:after="0" w:line="360" w:lineRule="auto"/>
        <w:ind w:firstLine="480" w:firstLineChars="200"/>
        <w:rPr>
          <w:rFonts w:hint="default" w:ascii="宋体" w:hAnsi="宋体" w:eastAsia="宋体" w:cs="仿宋_GB2312"/>
          <w:bCs/>
          <w:color w:val="auto"/>
          <w:kern w:val="0"/>
          <w:sz w:val="24"/>
          <w:szCs w:val="24"/>
          <w:highlight w:val="none"/>
          <w:lang w:val="en-US" w:eastAsia="zh-CN"/>
        </w:rPr>
      </w:pPr>
    </w:p>
    <w:p>
      <w:pPr>
        <w:pStyle w:val="16"/>
        <w:spacing w:after="0" w:line="360" w:lineRule="auto"/>
        <w:ind w:firstLine="420" w:firstLineChars="200"/>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p>
      <w:pPr>
        <w:pStyle w:val="2"/>
        <w:spacing w:line="240" w:lineRule="auto"/>
        <w:jc w:val="center"/>
        <w:rPr>
          <w:rFonts w:hint="default" w:ascii="宋体" w:hAnsi="宋体" w:eastAsia="宋体"/>
          <w:color w:val="auto"/>
          <w:highlight w:val="none"/>
          <w:lang w:val="en-US" w:eastAsia="zh-CN"/>
        </w:rPr>
      </w:pPr>
      <w:bookmarkStart w:id="14" w:name="_Toc24590"/>
      <w:r>
        <w:rPr>
          <w:rFonts w:ascii="宋体" w:hAnsi="宋体"/>
          <w:color w:val="auto"/>
          <w:highlight w:val="none"/>
        </w:rPr>
        <w:t>第</w:t>
      </w:r>
      <w:r>
        <w:rPr>
          <w:rFonts w:hint="eastAsia" w:ascii="宋体" w:hAnsi="宋体"/>
          <w:color w:val="auto"/>
          <w:highlight w:val="none"/>
        </w:rPr>
        <w:t>二</w:t>
      </w:r>
      <w:r>
        <w:rPr>
          <w:rFonts w:ascii="宋体" w:hAnsi="宋体"/>
          <w:color w:val="auto"/>
          <w:highlight w:val="none"/>
        </w:rPr>
        <w:t>章</w:t>
      </w:r>
      <w:r>
        <w:rPr>
          <w:rFonts w:hint="eastAsia" w:ascii="宋体" w:hAnsi="宋体"/>
          <w:color w:val="auto"/>
          <w:highlight w:val="none"/>
          <w:lang w:val="en-US" w:eastAsia="zh-CN"/>
        </w:rPr>
        <w:t xml:space="preserve"> 揭榜人须知</w:t>
      </w:r>
      <w:bookmarkEnd w:id="14"/>
    </w:p>
    <w:tbl>
      <w:tblPr>
        <w:tblStyle w:val="40"/>
        <w:tblW w:w="9872" w:type="dxa"/>
        <w:jc w:val="center"/>
        <w:tblLayout w:type="fixed"/>
        <w:tblCellMar>
          <w:top w:w="0" w:type="dxa"/>
          <w:left w:w="108" w:type="dxa"/>
          <w:bottom w:w="0" w:type="dxa"/>
          <w:right w:w="108" w:type="dxa"/>
        </w:tblCellMar>
      </w:tblPr>
      <w:tblGrid>
        <w:gridCol w:w="1086"/>
        <w:gridCol w:w="3575"/>
        <w:gridCol w:w="5211"/>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编列内容</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用户单位</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用户单位：河北高速公路集团有限公司承德分公司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址：承德市双滦区双塔山镇黄地沟村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 067000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联 系 人： 赵雅、张雪帆</w:t>
            </w:r>
          </w:p>
          <w:p>
            <w:pPr>
              <w:spacing w:line="400" w:lineRule="exact"/>
              <w:jc w:val="both"/>
              <w:rPr>
                <w:rFonts w:ascii="宋体" w:hAnsi="宋体"/>
                <w:color w:val="auto"/>
                <w:sz w:val="21"/>
                <w:szCs w:val="21"/>
                <w:highlight w:val="none"/>
              </w:rPr>
            </w:pPr>
            <w:r>
              <w:rPr>
                <w:rFonts w:hint="eastAsia" w:ascii="宋体" w:hAnsi="宋体" w:cs="宋体"/>
                <w:color w:val="auto"/>
                <w:highlight w:val="none"/>
              </w:rPr>
              <w:t>电    话： 0314-3176910</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代理机构</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宋体" w:hAnsi="宋体" w:cs="宋体"/>
                <w:color w:val="auto"/>
                <w:highlight w:val="none"/>
              </w:rPr>
            </w:pPr>
            <w:r>
              <w:rPr>
                <w:rFonts w:hint="eastAsia" w:ascii="宋体" w:hAnsi="宋体" w:cs="宋体"/>
                <w:color w:val="auto"/>
                <w:highlight w:val="none"/>
              </w:rPr>
              <w:t>代理机构：河北高速集团工程咨询有限公司</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地    址：石家庄高新区黄河大道136号石家庄科技中心2号楼22层  </w:t>
            </w:r>
            <w:r>
              <w:rPr>
                <w:rFonts w:hint="eastAsia" w:ascii="宋体" w:hAnsi="宋体" w:cs="宋体"/>
                <w:color w:val="auto"/>
                <w:highlight w:val="none"/>
              </w:rPr>
              <w:tab/>
            </w:r>
            <w:r>
              <w:rPr>
                <w:rFonts w:hint="eastAsia" w:ascii="宋体" w:hAnsi="宋体" w:cs="宋体"/>
                <w:color w:val="auto"/>
                <w:highlight w:val="none"/>
              </w:rPr>
              <w:t xml:space="preserve">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邮    编：050000                            </w:t>
            </w:r>
          </w:p>
          <w:p>
            <w:pPr>
              <w:spacing w:line="400" w:lineRule="exact"/>
              <w:jc w:val="both"/>
              <w:rPr>
                <w:rFonts w:hint="eastAsia" w:ascii="宋体" w:hAnsi="宋体" w:cs="宋体"/>
                <w:color w:val="auto"/>
                <w:highlight w:val="none"/>
              </w:rPr>
            </w:pPr>
            <w:r>
              <w:rPr>
                <w:rFonts w:hint="eastAsia" w:ascii="宋体" w:hAnsi="宋体" w:cs="宋体"/>
                <w:color w:val="auto"/>
                <w:highlight w:val="none"/>
              </w:rPr>
              <w:t xml:space="preserve">联 系 人：张德祥、张光磊、张宁       </w:t>
            </w:r>
          </w:p>
          <w:p>
            <w:pPr>
              <w:spacing w:line="400" w:lineRule="exact"/>
              <w:jc w:val="both"/>
              <w:rPr>
                <w:rFonts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电    话：18932539796 13229867006</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“揭榜挂帅”项目名称</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highlight w:val="none"/>
              </w:rPr>
              <w:t>河北高速公路集团有限公司</w:t>
            </w:r>
            <w:r>
              <w:rPr>
                <w:rFonts w:hint="eastAsia" w:ascii="黑体" w:hAnsi="黑体" w:eastAsia="黑体" w:cs="黑体"/>
                <w:b/>
                <w:bCs/>
                <w:color w:val="auto"/>
                <w:highlight w:val="none"/>
                <w:lang w:val="en-US" w:eastAsia="zh-CN"/>
              </w:rPr>
              <w:t>承德分公司</w:t>
            </w:r>
            <w:r>
              <w:rPr>
                <w:rFonts w:hint="eastAsia" w:ascii="黑体" w:hAnsi="黑体" w:eastAsia="黑体" w:cs="黑体"/>
                <w:b/>
                <w:bCs/>
                <w:color w:val="auto"/>
                <w:highlight w:val="none"/>
              </w:rPr>
              <w:t>“高寒地区零碳智慧隧道智能降耗关键技术研究与试点应用”科技创新项目“揭榜挂帅”</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项目地点</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项目概况</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资金来源</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自筹</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资金落实情况</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已落实</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揭榜方资质条件、能力、信誉</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是否接受联合体揭榜</w:t>
            </w:r>
          </w:p>
        </w:tc>
        <w:tc>
          <w:tcPr>
            <w:tcW w:w="5211" w:type="dxa"/>
            <w:tcBorders>
              <w:top w:val="single" w:color="auto" w:sz="4" w:space="0"/>
              <w:left w:val="single" w:color="auto" w:sz="4" w:space="0"/>
              <w:bottom w:val="single" w:color="auto" w:sz="4" w:space="0"/>
              <w:right w:val="single" w:color="auto" w:sz="4" w:space="0"/>
            </w:tcBorders>
            <w:vAlign w:val="center"/>
          </w:tcPr>
          <w:p>
            <w:pPr>
              <w:topLinePunct/>
              <w:spacing w:line="400" w:lineRule="exact"/>
              <w:rPr>
                <w:rFonts w:hint="eastAsia"/>
                <w:b/>
                <w:bCs/>
                <w:color w:val="auto"/>
                <w:highlight w:val="none"/>
              </w:rPr>
            </w:pPr>
            <w:r>
              <w:rPr>
                <w:rFonts w:hint="eastAsia"/>
                <w:b/>
                <w:bCs/>
                <w:color w:val="auto"/>
                <w:highlight w:val="none"/>
              </w:rPr>
              <w:t>本次“揭榜挂帅” 接受 联合体揭榜。牵头单位为1家，联合体成员不超过3家。</w:t>
            </w:r>
          </w:p>
          <w:p>
            <w:pPr>
              <w:topLinePunct/>
              <w:spacing w:line="400" w:lineRule="exact"/>
              <w:rPr>
                <w:rFonts w:hint="eastAsia"/>
                <w:b/>
                <w:bCs/>
                <w:color w:val="auto"/>
                <w:highlight w:val="none"/>
              </w:rPr>
            </w:pPr>
            <w:r>
              <w:rPr>
                <w:rFonts w:hint="eastAsia"/>
                <w:b/>
                <w:bCs/>
                <w:color w:val="auto"/>
                <w:highlight w:val="none"/>
              </w:rPr>
              <w:t>联合申报时的要求：</w:t>
            </w:r>
          </w:p>
          <w:p>
            <w:pPr>
              <w:topLinePunct/>
              <w:spacing w:line="400" w:lineRule="exact"/>
              <w:rPr>
                <w:rFonts w:hint="eastAsia"/>
                <w:b/>
                <w:bCs/>
                <w:color w:val="auto"/>
                <w:highlight w:val="none"/>
              </w:rPr>
            </w:pPr>
            <w:r>
              <w:rPr>
                <w:rFonts w:hint="eastAsia"/>
                <w:b/>
                <w:bCs/>
                <w:color w:val="auto"/>
                <w:highlight w:val="none"/>
              </w:rPr>
              <w:t>（1）项目中研究内容需两家或两家以上单位联合完成的，揭榜团队须在资质、业绩方面符合揭榜人相应的要求。</w:t>
            </w:r>
          </w:p>
          <w:p>
            <w:pPr>
              <w:topLinePunct/>
              <w:spacing w:line="400" w:lineRule="exact"/>
              <w:rPr>
                <w:rFonts w:hint="eastAsia"/>
                <w:b/>
                <w:bCs/>
                <w:color w:val="auto"/>
                <w:highlight w:val="none"/>
              </w:rPr>
            </w:pPr>
            <w:r>
              <w:rPr>
                <w:rFonts w:hint="eastAsia"/>
                <w:b/>
                <w:bCs/>
                <w:color w:val="auto"/>
                <w:highlight w:val="none"/>
              </w:rPr>
              <w:t>（2）项目中如有与研发内容密不可分、定制设备材料的提供、土建安装施工、设计勘察等内容，联合单位须具备开展相关业务的国家或行业规定的相关资质。</w:t>
            </w:r>
          </w:p>
          <w:p>
            <w:pPr>
              <w:topLinePunct/>
              <w:spacing w:line="400" w:lineRule="exact"/>
              <w:rPr>
                <w:rFonts w:cs="黑体" w:asciiTheme="minorEastAsia" w:hAnsiTheme="minorEastAsia" w:eastAsiaTheme="minorEastAsia"/>
                <w:bCs/>
                <w:color w:val="auto"/>
                <w:sz w:val="21"/>
                <w:szCs w:val="21"/>
                <w:highlight w:val="none"/>
              </w:rPr>
            </w:pPr>
            <w:r>
              <w:rPr>
                <w:rFonts w:hint="eastAsia"/>
                <w:b/>
                <w:bCs/>
                <w:color w:val="auto"/>
                <w:highlight w:val="none"/>
              </w:rPr>
              <w:t>（3）凡联合体报名的，报名时须提交联合体申报声明，声明中要明确牵头单位和成员单位及其分工和权利义务。牵头单位在项目中负责项目的整体组织实施，并对其他联合单位完成内容负连带责任，其他成员单位按照分工承担相应责任。</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踏勘现场</w:t>
            </w:r>
          </w:p>
        </w:tc>
        <w:tc>
          <w:tcPr>
            <w:tcW w:w="5211"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不组织</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预备会</w:t>
            </w:r>
          </w:p>
        </w:tc>
        <w:tc>
          <w:tcPr>
            <w:tcW w:w="5211"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不召开</w:t>
            </w:r>
          </w:p>
        </w:tc>
      </w:tr>
      <w:tr>
        <w:tblPrEx>
          <w:tblCellMar>
            <w:top w:w="0" w:type="dxa"/>
            <w:left w:w="108" w:type="dxa"/>
            <w:bottom w:w="0" w:type="dxa"/>
            <w:right w:w="108" w:type="dxa"/>
          </w:tblCellMar>
        </w:tblPrEx>
        <w:trPr>
          <w:trHeight w:val="40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偏差</w:t>
            </w:r>
          </w:p>
        </w:tc>
        <w:tc>
          <w:tcPr>
            <w:tcW w:w="5211" w:type="dxa"/>
            <w:tcBorders>
              <w:top w:val="single" w:color="auto" w:sz="4" w:space="0"/>
              <w:left w:val="single" w:color="auto" w:sz="4" w:space="0"/>
              <w:bottom w:val="single" w:color="auto" w:sz="4" w:space="0"/>
              <w:right w:val="single" w:color="auto" w:sz="4" w:space="0"/>
            </w:tcBorders>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揭榜响应文件对榜单的实质性要求和条件作出响应，否则，视为揭榜响应文件存在重大偏差，揭榜人的响应将被否决。</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构成《揭榜指南文件》的</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14</w:t>
            </w:r>
          </w:p>
        </w:tc>
        <w:tc>
          <w:tcPr>
            <w:tcW w:w="3575" w:type="dxa"/>
            <w:vMerge w:val="restart"/>
            <w:tcBorders>
              <w:top w:val="single" w:color="auto" w:sz="4" w:space="0"/>
              <w:left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时间：递交截止时间前</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日</w:t>
            </w:r>
          </w:p>
        </w:tc>
      </w:tr>
      <w:tr>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形式：电子邮件</w:t>
            </w:r>
            <w:r>
              <w:rPr>
                <w:rFonts w:hint="eastAsia" w:cs="宋体" w:asciiTheme="minorEastAsia" w:hAnsiTheme="minorEastAsia" w:eastAsiaTheme="minorEastAsia"/>
                <w:color w:val="auto"/>
                <w:sz w:val="21"/>
                <w:szCs w:val="21"/>
                <w:highlight w:val="none"/>
                <w:lang w:eastAsia="zh-CN"/>
              </w:rPr>
              <w:t>，邮箱地址：1835763884@qq.com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15</w:t>
            </w:r>
          </w:p>
        </w:tc>
        <w:tc>
          <w:tcPr>
            <w:tcW w:w="3575" w:type="dxa"/>
            <w:tcBorders>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揭榜方确认收到《申请指南</w:t>
            </w:r>
          </w:p>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增值税税金的计算方法</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按照国家最新政策</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538.2568万元，其中科研费42.75万元，设计服务费8.6658万元，配套设施费486.8410万元。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23</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tbl>
            <w:tblPr>
              <w:tblStyle w:val="40"/>
              <w:tblW w:w="9872" w:type="dxa"/>
              <w:jc w:val="center"/>
              <w:tblLayout w:type="fixed"/>
              <w:tblCellMar>
                <w:top w:w="0" w:type="dxa"/>
                <w:left w:w="108" w:type="dxa"/>
                <w:bottom w:w="0" w:type="dxa"/>
                <w:right w:w="108" w:type="dxa"/>
              </w:tblCellMar>
            </w:tblPr>
            <w:tblGrid>
              <w:gridCol w:w="5211"/>
            </w:tblGrid>
            <w:tr>
              <w:tblPrEx>
                <w:tblCellMar>
                  <w:top w:w="0" w:type="dxa"/>
                  <w:left w:w="108" w:type="dxa"/>
                  <w:bottom w:w="0" w:type="dxa"/>
                  <w:right w:w="108" w:type="dxa"/>
                </w:tblCellMar>
              </w:tblPrEx>
              <w:trPr>
                <w:trHeight w:val="548" w:hRule="atLeast"/>
                <w:jc w:val="center"/>
              </w:trPr>
              <w:tc>
                <w:tcPr>
                  <w:tcW w:w="521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cs="宋体" w:asciiTheme="minorEastAsia" w:hAnsiTheme="minorEastAsia" w:eastAsiaTheme="minorEastAsia"/>
                      <w:sz w:val="21"/>
                      <w:szCs w:val="21"/>
                      <w:highlight w:val="none"/>
                      <w:lang w:val="en-US" w:eastAsia="zh-CN"/>
                    </w:rPr>
                  </w:pPr>
                  <w:bookmarkStart w:id="15" w:name="_Toc384308207"/>
                  <w:bookmarkStart w:id="16" w:name="_Toc369531512"/>
                  <w:bookmarkStart w:id="17" w:name="_Toc352691470"/>
                  <w:bookmarkStart w:id="18" w:name="_Toc361508582"/>
                  <w:bookmarkStart w:id="19" w:name="_Toc300834946"/>
                  <w:bookmarkStart w:id="20" w:name="_Toc1789"/>
                  <w:r>
                    <w:rPr>
                      <w:rFonts w:hint="default" w:cs="宋体" w:asciiTheme="minorEastAsia" w:hAnsiTheme="minorEastAsia" w:eastAsiaTheme="minorEastAsia"/>
                      <w:sz w:val="21"/>
                      <w:szCs w:val="21"/>
                      <w:highlight w:val="none"/>
                      <w:lang w:val="en-US" w:eastAsia="zh-CN"/>
                    </w:rPr>
                    <w:t>《揭榜响应文件》所附证书证件要求均为原件扫描件，揭榜方须对其所附证件的真实性、有效性、清晰性、完整性负责。</w:t>
                  </w:r>
                </w:p>
                <w:p>
                  <w:pPr>
                    <w:spacing w:line="360" w:lineRule="auto"/>
                    <w:rPr>
                      <w:rFonts w:hint="default" w:cs="宋体" w:asciiTheme="minorEastAsia" w:hAnsiTheme="minorEastAsia" w:eastAsiaTheme="minorEastAsia"/>
                      <w:sz w:val="21"/>
                      <w:szCs w:val="21"/>
                      <w:highlight w:val="none"/>
                      <w:lang w:val="en-US" w:eastAsia="zh-CN"/>
                    </w:rPr>
                  </w:pPr>
                  <w:r>
                    <w:rPr>
                      <w:rFonts w:hint="default" w:cs="宋体" w:asciiTheme="minorEastAsia" w:hAnsiTheme="minorEastAsia" w:eastAsiaTheme="minorEastAsia"/>
                      <w:sz w:val="21"/>
                      <w:szCs w:val="21"/>
                      <w:highlight w:val="none"/>
                      <w:lang w:val="en-US" w:eastAsia="zh-CN"/>
                    </w:rPr>
                    <w:t>（1）业绩证明资料：科研业绩须提供承接类似项目的合同（或任务书）、成果验收或鉴定证书或已完成成果登记的证明材料复印件。</w:t>
                  </w:r>
                  <w:r>
                    <w:rPr>
                      <w:rFonts w:hint="eastAsia" w:cs="宋体" w:asciiTheme="minorEastAsia" w:hAnsiTheme="minorEastAsia" w:eastAsiaTheme="minorEastAsia"/>
                      <w:sz w:val="21"/>
                      <w:szCs w:val="21"/>
                      <w:highlight w:val="none"/>
                      <w:lang w:val="en-US" w:eastAsia="zh-CN"/>
                    </w:rPr>
                    <w:t>实施</w:t>
                  </w:r>
                  <w:r>
                    <w:rPr>
                      <w:rFonts w:hint="default" w:cs="宋体" w:asciiTheme="minorEastAsia" w:hAnsiTheme="minorEastAsia" w:eastAsiaTheme="minorEastAsia"/>
                      <w:sz w:val="21"/>
                      <w:szCs w:val="21"/>
                      <w:highlight w:val="none"/>
                      <w:lang w:val="en-US" w:eastAsia="zh-CN"/>
                    </w:rPr>
                    <w:t>业绩须提供承接类似项目的合同及交工证书等相关证明资料的</w:t>
                  </w:r>
                  <w:r>
                    <w:rPr>
                      <w:rFonts w:hint="eastAsia" w:cs="宋体" w:asciiTheme="minorEastAsia" w:hAnsiTheme="minorEastAsia" w:eastAsiaTheme="minorEastAsia"/>
                      <w:sz w:val="21"/>
                      <w:szCs w:val="21"/>
                      <w:highlight w:val="none"/>
                      <w:lang w:val="en-US" w:eastAsia="zh-CN"/>
                    </w:rPr>
                    <w:t>复印件</w:t>
                  </w:r>
                  <w:r>
                    <w:rPr>
                      <w:rFonts w:hint="default" w:cs="宋体" w:asciiTheme="minorEastAsia" w:hAnsiTheme="minorEastAsia" w:eastAsiaTheme="minorEastAsia"/>
                      <w:sz w:val="21"/>
                      <w:szCs w:val="21"/>
                      <w:highlight w:val="none"/>
                      <w:lang w:val="en-US" w:eastAsia="zh-CN"/>
                    </w:rPr>
                    <w:t>。</w:t>
                  </w:r>
                </w:p>
                <w:p>
                  <w:pPr>
                    <w:spacing w:line="360" w:lineRule="auto"/>
                    <w:rPr>
                      <w:rFonts w:hint="default" w:cs="宋体" w:asciiTheme="minorEastAsia" w:hAnsiTheme="minorEastAsia" w:eastAsiaTheme="minorEastAsia"/>
                      <w:sz w:val="21"/>
                      <w:szCs w:val="21"/>
                      <w:highlight w:val="none"/>
                      <w:lang w:val="en-US" w:eastAsia="zh-CN"/>
                    </w:rPr>
                  </w:pPr>
                  <w:r>
                    <w:rPr>
                      <w:rFonts w:hint="default" w:cs="宋体" w:asciiTheme="minorEastAsia" w:hAnsiTheme="minorEastAsia" w:eastAsiaTheme="minorEastAsia"/>
                      <w:sz w:val="21"/>
                      <w:szCs w:val="21"/>
                      <w:highlight w:val="none"/>
                      <w:lang w:val="en-US" w:eastAsia="zh-CN"/>
                    </w:rPr>
                    <w:t>（2）团队人员证件：应附身份证、职称证、学历证，人才类别有效证明（国内外顶尖人才、国家级领军人才、地方级领军人才、地方级优秀人才、其他类别人才）。作为项目负责人或主研人员参与过的类似科技创新项目附合同协议书复印件（本响应文件复印件均指彩色扫描输出件，下同）、项目鉴定证书复印件、项目获奖证书复印件。</w:t>
                  </w:r>
                </w:p>
              </w:tc>
            </w:tr>
          </w:tbl>
          <w:p>
            <w:pPr>
              <w:pStyle w:val="15"/>
              <w:topLinePunct/>
              <w:spacing w:line="400" w:lineRule="exact"/>
              <w:rPr>
                <w:rFonts w:cs="宋体" w:asciiTheme="minorEastAsia" w:hAnsiTheme="minorEastAsia" w:eastAsiaTheme="minorEastAsia"/>
                <w:color w:val="auto"/>
                <w:kern w:val="2"/>
                <w:sz w:val="21"/>
                <w:szCs w:val="21"/>
                <w:highlight w:val="none"/>
                <w:lang w:val="en-US" w:eastAsia="zh-CN" w:bidi="ar-SA"/>
              </w:rPr>
            </w:pPr>
          </w:p>
        </w:tc>
      </w:tr>
      <w:bookmarkEnd w:id="15"/>
      <w:bookmarkEnd w:id="16"/>
      <w:bookmarkEnd w:id="17"/>
      <w:bookmarkEnd w:id="18"/>
      <w:bookmarkEnd w:id="19"/>
      <w:bookmarkEnd w:id="20"/>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一正九副，电子版U盘一个，上述资料一起密封在一个封套中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符合第四章揭榜响应文件签字盖章要求。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项目名称：</w:t>
            </w:r>
          </w:p>
          <w:p>
            <w:pPr>
              <w:spacing w:line="400" w:lineRule="exact"/>
              <w:jc w:val="lef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揭榜人名称：</w:t>
            </w:r>
          </w:p>
          <w:p>
            <w:pPr>
              <w:spacing w:line="400" w:lineRule="exact"/>
              <w:jc w:val="left"/>
              <w:rPr>
                <w:rFonts w:ascii="Calibri" w:hAnsi="Calibri" w:eastAsia="宋体" w:cs="Times New Roman"/>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及揭榜人认为需要载明的其他信息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29</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《揭榜响应文件》递交截止时间</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hint="default"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30</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递交《揭榜响应文件》地点</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hint="default"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《揭榜响应文件》是否退还</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否</w:t>
            </w:r>
          </w:p>
        </w:tc>
      </w:tr>
      <w:tr>
        <w:tblPrEx>
          <w:tblCellMar>
            <w:top w:w="0" w:type="dxa"/>
            <w:left w:w="108" w:type="dxa"/>
            <w:bottom w:w="0" w:type="dxa"/>
            <w:right w:w="108" w:type="dxa"/>
          </w:tblCellMar>
        </w:tblPrEx>
        <w:trPr>
          <w:trHeight w:val="42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32</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会议时间和地点</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rPr>
                <w:rFonts w:cs="黑体" w:asciiTheme="minorEastAsia" w:hAnsiTheme="minorEastAsia" w:eastAsiaTheme="minorEastAsia"/>
                <w:bCs/>
                <w:color w:val="auto"/>
                <w:kern w:val="2"/>
                <w:sz w:val="21"/>
                <w:szCs w:val="21"/>
                <w:highlight w:val="none"/>
                <w:lang w:val="en-US" w:eastAsia="zh-CN" w:bidi="ar-SA"/>
              </w:rPr>
            </w:pPr>
            <w:r>
              <w:rPr>
                <w:rFonts w:hint="eastAsia" w:ascii="黑体" w:hAnsi="黑体" w:eastAsia="黑体" w:cs="黑体"/>
                <w:b/>
                <w:bCs/>
                <w:color w:val="auto"/>
                <w:szCs w:val="21"/>
                <w:highlight w:val="none"/>
              </w:rPr>
              <w:t>详见“揭榜挂帅”</w:t>
            </w:r>
            <w:r>
              <w:rPr>
                <w:rFonts w:hint="eastAsia" w:ascii="黑体" w:hAnsi="黑体" w:eastAsia="黑体" w:cs="黑体"/>
                <w:b/>
                <w:bCs/>
                <w:color w:val="auto"/>
                <w:szCs w:val="21"/>
                <w:highlight w:val="none"/>
                <w:lang w:val="en-US" w:eastAsia="zh-CN"/>
              </w:rPr>
              <w:t>榜单公告</w:t>
            </w:r>
          </w:p>
        </w:tc>
      </w:tr>
      <w:tr>
        <w:tblPrEx>
          <w:tblCellMar>
            <w:top w:w="0" w:type="dxa"/>
            <w:left w:w="108" w:type="dxa"/>
            <w:bottom w:w="0" w:type="dxa"/>
            <w:right w:w="108" w:type="dxa"/>
          </w:tblCellMar>
        </w:tblPrEx>
        <w:trPr>
          <w:trHeight w:val="528" w:hRule="atLeast"/>
          <w:jc w:val="center"/>
        </w:trPr>
        <w:tc>
          <w:tcPr>
            <w:tcW w:w="1086"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33</w:t>
            </w:r>
          </w:p>
        </w:tc>
        <w:tc>
          <w:tcPr>
            <w:tcW w:w="3575" w:type="dxa"/>
            <w:tcBorders>
              <w:top w:val="single" w:color="auto" w:sz="4" w:space="0"/>
              <w:left w:val="single" w:color="auto" w:sz="4" w:space="0"/>
              <w:bottom w:val="nil"/>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评审委员会的组建</w:t>
            </w:r>
          </w:p>
        </w:tc>
        <w:tc>
          <w:tcPr>
            <w:tcW w:w="5211" w:type="dxa"/>
            <w:tcBorders>
              <w:top w:val="single" w:color="auto" w:sz="4" w:space="0"/>
              <w:left w:val="single" w:color="auto" w:sz="4" w:space="0"/>
              <w:bottom w:val="nil"/>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仿宋" w:asciiTheme="minorEastAsia" w:hAnsiTheme="minorEastAsia" w:eastAsiaTheme="minorEastAsia"/>
                <w:bCs/>
                <w:color w:val="auto"/>
                <w:sz w:val="21"/>
                <w:szCs w:val="21"/>
                <w:highlight w:val="none"/>
              </w:rPr>
              <w:t>评榜委员会由7人组成，其中用户单位2人，外部专家由</w:t>
            </w:r>
            <w:r>
              <w:rPr>
                <w:rFonts w:hint="eastAsia" w:ascii="宋体" w:hAnsi="宋体"/>
                <w:color w:val="auto"/>
                <w:sz w:val="21"/>
                <w:szCs w:val="21"/>
                <w:highlight w:val="none"/>
              </w:rPr>
              <w:t>河北高速公路集团有限公司</w:t>
            </w:r>
            <w:r>
              <w:rPr>
                <w:rFonts w:hint="eastAsia" w:cs="仿宋" w:asciiTheme="minorEastAsia" w:hAnsiTheme="minorEastAsia" w:eastAsiaTheme="minorEastAsia"/>
                <w:bCs/>
                <w:color w:val="auto"/>
                <w:sz w:val="21"/>
                <w:szCs w:val="21"/>
                <w:highlight w:val="none"/>
              </w:rPr>
              <w:t>相关部室推荐的项目研究、应用领域知名专家和大学教授组成。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34</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评审委员会按照评审总得分由高至低的顺序对揭榜方进行排序，推荐排名第一的为预中榜人。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35</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榜单公示媒介及期限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公示媒介：</w:t>
            </w:r>
            <w:r>
              <w:rPr>
                <w:rFonts w:hint="eastAsia" w:cs="宋体" w:asciiTheme="minorEastAsia" w:hAnsiTheme="minorEastAsia" w:eastAsiaTheme="minorEastAsia"/>
                <w:color w:val="auto"/>
                <w:spacing w:val="-6"/>
                <w:sz w:val="21"/>
                <w:szCs w:val="21"/>
                <w:highlight w:val="none"/>
              </w:rPr>
              <w:t>发布“揭榜挂帅”公告同一媒介</w:t>
            </w:r>
            <w:r>
              <w:rPr>
                <w:rFonts w:hint="eastAsia" w:cs="宋体" w:asciiTheme="minorEastAsia" w:hAnsiTheme="minorEastAsia" w:eastAsiaTheme="minorEastAsia"/>
                <w:color w:val="auto"/>
                <w:sz w:val="21"/>
                <w:szCs w:val="21"/>
                <w:highlight w:val="none"/>
              </w:rPr>
              <w:t>。</w:t>
            </w:r>
          </w:p>
          <w:p>
            <w:pPr>
              <w:spacing w:line="400" w:lineRule="exact"/>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公示期限：</w:t>
            </w:r>
            <w:r>
              <w:rPr>
                <w:rFonts w:hint="eastAsia" w:cs="宋体" w:asciiTheme="minorEastAsia" w:hAnsiTheme="minorEastAsia" w:eastAsiaTheme="minorEastAsia"/>
                <w:color w:val="auto"/>
                <w:sz w:val="21"/>
                <w:szCs w:val="21"/>
                <w:highlight w:val="none"/>
                <w:u w:val="single"/>
                <w:lang w:val="en-US" w:eastAsia="zh-CN"/>
              </w:rPr>
              <w:t>5</w:t>
            </w:r>
            <w:r>
              <w:rPr>
                <w:rFonts w:hint="eastAsia" w:cs="宋体" w:asciiTheme="minorEastAsia" w:hAnsiTheme="minorEastAsia" w:eastAsiaTheme="minorEastAsia"/>
                <w:color w:val="auto"/>
                <w:sz w:val="21"/>
                <w:szCs w:val="21"/>
                <w:highlight w:val="none"/>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36</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是否授权评审委员会确定中榜人</w:t>
            </w:r>
          </w:p>
        </w:tc>
        <w:tc>
          <w:tcPr>
            <w:tcW w:w="5211"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lang w:val="en-US" w:eastAsia="zh-CN"/>
              </w:rPr>
              <w:t>否</w:t>
            </w:r>
          </w:p>
        </w:tc>
      </w:tr>
      <w:tr>
        <w:tblPrEx>
          <w:tblCellMar>
            <w:top w:w="0" w:type="dxa"/>
            <w:left w:w="108" w:type="dxa"/>
            <w:bottom w:w="0" w:type="dxa"/>
            <w:right w:w="108" w:type="dxa"/>
          </w:tblCellMar>
        </w:tblPrEx>
        <w:trPr>
          <w:trHeight w:val="51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37</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pPr>
              <w:pStyle w:val="15"/>
              <w:topLinePunct/>
              <w:spacing w:line="400" w:lineRule="exact"/>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rPr>
              <w:t>38</w:t>
            </w:r>
          </w:p>
        </w:tc>
        <w:tc>
          <w:tcPr>
            <w:tcW w:w="3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eastAsiaTheme="minorEastAsia"/>
                <w:bCs/>
                <w:color w:val="auto"/>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pPr>
              <w:jc w:val="left"/>
              <w:rPr>
                <w:rFonts w:cs="黑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sz w:val="21"/>
                <w:szCs w:val="21"/>
                <w:highlight w:val="none"/>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宋体" w:asciiTheme="minorEastAsia" w:hAnsiTheme="minorEastAsia" w:eastAsiaTheme="minorEastAsia"/>
                <w:bCs/>
                <w:color w:val="auto"/>
                <w:sz w:val="21"/>
                <w:szCs w:val="21"/>
                <w:highlight w:val="none"/>
                <w:lang w:val="en-US" w:eastAsia="zh-CN"/>
              </w:rPr>
            </w:pPr>
            <w:r>
              <w:rPr>
                <w:rFonts w:hint="eastAsia" w:cs="宋体" w:asciiTheme="minorEastAsia" w:hAnsiTheme="minorEastAsia" w:eastAsiaTheme="minorEastAsia"/>
                <w:bCs/>
                <w:color w:val="auto"/>
                <w:sz w:val="21"/>
                <w:szCs w:val="21"/>
                <w:highlight w:val="none"/>
                <w:lang w:val="en-US" w:eastAsia="zh-CN"/>
              </w:rPr>
              <w:t>39</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w:t>
            </w:r>
          </w:p>
        </w:tc>
        <w:tc>
          <w:tcPr>
            <w:tcW w:w="35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cs="黑体" w:asciiTheme="minorEastAsia" w:hAnsiTheme="minorEastAsia" w:eastAsiaTheme="minorEastAsia"/>
                <w:bCs/>
                <w:color w:val="auto"/>
                <w:sz w:val="21"/>
                <w:szCs w:val="21"/>
                <w:highlight w:val="none"/>
                <w:lang w:val="en-US" w:eastAsia="zh-CN"/>
              </w:rPr>
            </w:pPr>
            <w:r>
              <w:rPr>
                <w:rFonts w:hint="eastAsia" w:cs="黑体" w:asciiTheme="minorEastAsia" w:hAnsiTheme="minorEastAsia" w:eastAsiaTheme="minorEastAsia"/>
                <w:bCs/>
                <w:color w:val="auto"/>
                <w:sz w:val="21"/>
                <w:szCs w:val="21"/>
                <w:highlight w:val="none"/>
                <w:lang w:val="en-US" w:eastAsia="zh-CN"/>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rFonts w:hint="eastAsia" w:cs="黑体" w:asciiTheme="minorEastAsia" w:hAnsiTheme="minorEastAsia" w:eastAsiaTheme="minorEastAsia"/>
                <w:bCs/>
                <w:color w:val="auto"/>
                <w:sz w:val="21"/>
                <w:szCs w:val="21"/>
                <w:highlight w:val="none"/>
              </w:rPr>
            </w:pPr>
            <w:r>
              <w:rPr>
                <w:rFonts w:hint="eastAsia" w:cs="黑体" w:asciiTheme="minorEastAsia" w:hAnsiTheme="minorEastAsia" w:eastAsiaTheme="minorEastAsia"/>
                <w:bCs/>
                <w:color w:val="auto"/>
                <w:sz w:val="21"/>
                <w:szCs w:val="21"/>
                <w:highlight w:val="none"/>
              </w:rPr>
              <w:t>研究过程中形成的相关知识产权归河北高速公路集团有限公司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lang w:val="en-US" w:eastAsia="zh-CN"/>
              </w:rPr>
              <w:t>包括承德分公司</w:t>
            </w:r>
            <w:r>
              <w:rPr>
                <w:rFonts w:hint="eastAsia" w:cs="黑体" w:asciiTheme="minorEastAsia" w:hAnsiTheme="minorEastAsia" w:eastAsiaTheme="minorEastAsia"/>
                <w:bCs/>
                <w:color w:val="auto"/>
                <w:sz w:val="21"/>
                <w:szCs w:val="21"/>
                <w:highlight w:val="none"/>
                <w:lang w:eastAsia="zh-CN"/>
              </w:rPr>
              <w:t>）</w:t>
            </w:r>
            <w:r>
              <w:rPr>
                <w:rFonts w:hint="eastAsia" w:cs="黑体" w:asciiTheme="minorEastAsia" w:hAnsiTheme="minorEastAsia" w:eastAsiaTheme="minorEastAsia"/>
                <w:bCs/>
                <w:color w:val="auto"/>
                <w:sz w:val="21"/>
                <w:szCs w:val="21"/>
                <w:highlight w:val="none"/>
              </w:rPr>
              <w:t>所有。</w:t>
            </w:r>
          </w:p>
        </w:tc>
      </w:tr>
    </w:tbl>
    <w:p>
      <w:pPr>
        <w:spacing w:line="400" w:lineRule="exact"/>
        <w:rPr>
          <w:rFonts w:ascii="Times New Roman" w:hAnsi="Times New Roman"/>
          <w:color w:val="auto"/>
          <w:highlight w:val="none"/>
        </w:rPr>
      </w:pPr>
      <w:r>
        <w:rPr>
          <w:rFonts w:ascii="Times New Roman" w:hAnsi="Times New Roman"/>
          <w:color w:val="auto"/>
          <w:highlight w:val="none"/>
        </w:rPr>
        <w:br w:type="page"/>
      </w:r>
    </w:p>
    <w:p>
      <w:pPr>
        <w:pStyle w:val="2"/>
        <w:spacing w:line="240" w:lineRule="auto"/>
        <w:jc w:val="center"/>
        <w:rPr>
          <w:rFonts w:ascii="宋体" w:hAnsi="宋体"/>
          <w:color w:val="auto"/>
          <w:highlight w:val="none"/>
        </w:rPr>
      </w:pPr>
      <w:bookmarkStart w:id="21" w:name="_Toc23082"/>
      <w:bookmarkStart w:id="22" w:name="_Toc4524"/>
      <w:r>
        <w:rPr>
          <w:rFonts w:ascii="宋体" w:hAnsi="宋体"/>
          <w:color w:val="auto"/>
          <w:highlight w:val="none"/>
        </w:rPr>
        <w:t>第</w:t>
      </w:r>
      <w:r>
        <w:rPr>
          <w:rFonts w:hint="eastAsia" w:ascii="宋体" w:hAnsi="宋体"/>
          <w:color w:val="auto"/>
          <w:highlight w:val="none"/>
          <w:lang w:val="en-US" w:eastAsia="zh-CN"/>
        </w:rPr>
        <w:t>三</w:t>
      </w:r>
      <w:r>
        <w:rPr>
          <w:rFonts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评审</w:t>
      </w:r>
      <w:r>
        <w:rPr>
          <w:rFonts w:ascii="宋体" w:hAnsi="宋体"/>
          <w:color w:val="auto"/>
          <w:highlight w:val="none"/>
        </w:rPr>
        <w:t>办法</w:t>
      </w:r>
      <w:bookmarkEnd w:id="21"/>
      <w:bookmarkEnd w:id="22"/>
    </w:p>
    <w:p>
      <w:pPr>
        <w:keepNext/>
        <w:keepLines/>
        <w:autoSpaceDE w:val="0"/>
        <w:autoSpaceDN w:val="0"/>
        <w:spacing w:line="360" w:lineRule="auto"/>
        <w:ind w:firstLine="482" w:firstLineChars="200"/>
        <w:jc w:val="left"/>
        <w:outlineLvl w:val="1"/>
        <w:rPr>
          <w:rFonts w:ascii="宋体" w:hAnsi="宋体" w:cs="宋体"/>
          <w:b/>
          <w:bCs/>
          <w:color w:val="auto"/>
          <w:kern w:val="0"/>
          <w:sz w:val="24"/>
          <w:szCs w:val="24"/>
          <w:highlight w:val="none"/>
        </w:rPr>
      </w:pPr>
      <w:bookmarkStart w:id="23" w:name="_Toc166487465"/>
      <w:r>
        <w:rPr>
          <w:rFonts w:hint="eastAsia" w:ascii="宋体" w:hAnsi="宋体" w:cs="黑体"/>
          <w:b/>
          <w:bCs/>
          <w:color w:val="auto"/>
          <w:kern w:val="0"/>
          <w:sz w:val="24"/>
          <w:szCs w:val="24"/>
          <w:highlight w:val="none"/>
        </w:rPr>
        <w:t>1. 评榜方法</w:t>
      </w:r>
      <w:bookmarkEnd w:id="23"/>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如果用户单位认为评榜委员会推荐的拟中榜人响应文件与用户单位的应用需求出入较大时，用户单位有权对评审结果实施“一票否决”。</w:t>
      </w:r>
    </w:p>
    <w:p>
      <w:pPr>
        <w:autoSpaceDE w:val="0"/>
        <w:autoSpaceDN w:val="0"/>
        <w:spacing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评榜委员会由7人组成，其中用户单位2人，外部专家由河北高速公路集团有限公司相关部室推荐的项目研究、应用领域知名专家和大学教授组成。</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2.资格评审、形式评审和响应性评审</w:t>
      </w:r>
    </w:p>
    <w:p>
      <w:pPr>
        <w:autoSpaceDE w:val="0"/>
        <w:autoSpaceDN w:val="0"/>
        <w:spacing w:line="360" w:lineRule="auto"/>
        <w:ind w:firstLine="482" w:firstLineChars="200"/>
        <w:jc w:val="left"/>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2.1资格评审标准</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揭榜人不得存在下列情形：</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（1）为不具有独立法人资格的单位；</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（2）与用户单位存在关联关系且影响“揭榜挂帅”公正性；</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（3）揭榜人单位负责人与其他揭榜人的单位负责人为同一人；</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（4）与本项目的其他揭榜人存在控股、管理关系；</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（5）被责令停业，暂扣或者吊销执照或许可证，或吊销资质证书；</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（6）进入清算程序，或被宣告破产，或其他丧失履约能力的情形；</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（7）被市场监督管理部门在国家企业信用信息公示系统（http：//www.gsxt.gov.cn/）中列入严重违法失信名单（黑名单）信息（不含分公司）；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（8）在“信用中国”网站(http://www.creditchina.gov.cn/)中未被列入失信被执行人、经营异常名录、重大税收违法失信主体、政府采购严重违法失信行为记录名单（均不含分公司）；</w:t>
      </w:r>
    </w:p>
    <w:p>
      <w:pPr>
        <w:wordWrap w:val="0"/>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（9）近3年内（2021年5月1日至今）在申请各级各类科研课题中无不良信用记录，无行政处罚或违法记录，无不良科研诚信记录。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揭榜人需满足的资格要求：</w:t>
      </w:r>
    </w:p>
    <w:p>
      <w:pPr>
        <w:keepNext/>
        <w:keepLines/>
        <w:autoSpaceDE w:val="0"/>
        <w:autoSpaceDN w:val="0"/>
        <w:spacing w:line="360" w:lineRule="auto"/>
        <w:ind w:firstLine="480" w:firstLineChars="200"/>
        <w:jc w:val="left"/>
        <w:outlineLvl w:val="1"/>
        <w:rPr>
          <w:rFonts w:hint="eastAsia" w:ascii="宋体" w:hAnsi="宋体" w:cs="仿宋"/>
          <w:color w:val="auto"/>
          <w:kern w:val="0"/>
          <w:sz w:val="24"/>
          <w:szCs w:val="24"/>
          <w:highlight w:val="none"/>
        </w:rPr>
      </w:pPr>
      <w:bookmarkStart w:id="24" w:name="_Toc166487466"/>
      <w:bookmarkStart w:id="25" w:name="_Toc179632619"/>
      <w:bookmarkStart w:id="26" w:name="_Toc152045601"/>
      <w:bookmarkStart w:id="27" w:name="_Toc152042378"/>
      <w:bookmarkStart w:id="28" w:name="_Toc144974568"/>
      <w:r>
        <w:rPr>
          <w:rFonts w:hint="eastAsia" w:ascii="宋体" w:hAnsi="宋体" w:cs="仿宋"/>
          <w:color w:val="auto"/>
          <w:kern w:val="0"/>
          <w:sz w:val="24"/>
          <w:szCs w:val="24"/>
          <w:highlight w:val="none"/>
        </w:rPr>
        <w:t>接榜人须满足接榜公告及榜单指南文件对接榜人的各项资格要求。</w:t>
      </w:r>
    </w:p>
    <w:p>
      <w:pPr>
        <w:keepNext/>
        <w:keepLines/>
        <w:autoSpaceDE w:val="0"/>
        <w:autoSpaceDN w:val="0"/>
        <w:spacing w:line="360" w:lineRule="auto"/>
        <w:ind w:firstLine="482" w:firstLineChars="200"/>
        <w:jc w:val="left"/>
        <w:outlineLvl w:val="1"/>
        <w:rPr>
          <w:rFonts w:ascii="宋体" w:hAnsi="宋体" w:cs="仿宋"/>
          <w:b/>
          <w:bCs/>
          <w:color w:val="auto"/>
          <w:kern w:val="0"/>
          <w:sz w:val="24"/>
          <w:szCs w:val="24"/>
          <w:highlight w:val="none"/>
        </w:rPr>
      </w:pPr>
      <w:r>
        <w:rPr>
          <w:rFonts w:hint="eastAsia" w:ascii="宋体" w:hAnsi="宋体" w:cs="仿宋"/>
          <w:b/>
          <w:bCs/>
          <w:color w:val="auto"/>
          <w:kern w:val="0"/>
          <w:sz w:val="24"/>
          <w:szCs w:val="24"/>
          <w:highlight w:val="none"/>
        </w:rPr>
        <w:t>2.2  形式评审与响应性评审标准</w:t>
      </w:r>
      <w:bookmarkEnd w:id="24"/>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（1）揭榜响应文件按照规定的格式、内容填写，揭榜响应文件齐全完整，字迹清晰可辨：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（2）揭榜响应文件上法定代表人或其授权代理人（授权的项目负责人）的签字、揭榜人的单位章盖章齐全。</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（3）提供了项目负责人授权委托书，并按揭榜响应文件格式签字并盖章。</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（4）揭榜响应文件载明的项目完成期限未超过榜单规定的时限。</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（5）揭榜响应文件对榜单的实质性要求和条件作出响应。</w:t>
      </w:r>
    </w:p>
    <w:p>
      <w:pPr>
        <w:pStyle w:val="16"/>
        <w:ind w:firstLine="482" w:firstLineChars="200"/>
        <w:rPr>
          <w:color w:val="auto"/>
          <w:highlight w:val="none"/>
        </w:rPr>
      </w:pPr>
      <w:r>
        <w:rPr>
          <w:rFonts w:hint="eastAsia" w:ascii="宋体" w:hAnsi="宋体" w:cs="仿宋"/>
          <w:b/>
          <w:bCs/>
          <w:color w:val="auto"/>
          <w:kern w:val="0"/>
          <w:sz w:val="24"/>
          <w:szCs w:val="24"/>
          <w:highlight w:val="none"/>
        </w:rPr>
        <w:t>所有揭榜响应文件都不能通过资格评审、形式评审和响应性评审时，用户单位需重新进行发榜。</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 评审</w:t>
      </w:r>
      <w:bookmarkEnd w:id="25"/>
      <w:bookmarkEnd w:id="26"/>
      <w:bookmarkEnd w:id="27"/>
      <w:bookmarkEnd w:id="28"/>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采取百分制，初步评审、</w:t>
      </w:r>
      <w:r>
        <w:rPr>
          <w:rFonts w:hint="eastAsia" w:ascii="宋体" w:hAnsi="宋体" w:cs="仿宋"/>
          <w:color w:val="auto"/>
          <w:kern w:val="0"/>
          <w:sz w:val="24"/>
          <w:szCs w:val="24"/>
          <w:highlight w:val="none"/>
          <w:lang w:val="en-US" w:eastAsia="zh-CN"/>
        </w:rPr>
        <w:t>最终评审</w:t>
      </w:r>
      <w:r>
        <w:rPr>
          <w:rFonts w:hint="eastAsia" w:ascii="宋体" w:hAnsi="宋体" w:cs="仿宋"/>
          <w:color w:val="auto"/>
          <w:kern w:val="0"/>
          <w:sz w:val="24"/>
          <w:szCs w:val="24"/>
          <w:highlight w:val="none"/>
        </w:rPr>
        <w:t>、评榜价评审评分权重占比比例为60%:30%:10%。</w:t>
      </w:r>
    </w:p>
    <w:p>
      <w:pPr>
        <w:autoSpaceDE w:val="0"/>
        <w:autoSpaceDN w:val="0"/>
        <w:spacing w:line="360" w:lineRule="auto"/>
        <w:ind w:firstLine="482" w:firstLineChars="200"/>
        <w:jc w:val="left"/>
        <w:rPr>
          <w:rFonts w:ascii="宋体" w:hAnsi="宋体" w:cs="黑体"/>
          <w:b/>
          <w:bCs/>
          <w:color w:val="auto"/>
          <w:kern w:val="0"/>
          <w:sz w:val="24"/>
          <w:szCs w:val="24"/>
          <w:highlight w:val="none"/>
        </w:rPr>
      </w:pPr>
      <w:bookmarkStart w:id="29" w:name="_Toc144974569"/>
      <w:bookmarkStart w:id="30" w:name="_Toc179632620"/>
      <w:bookmarkStart w:id="31" w:name="_Toc152042379"/>
      <w:bookmarkStart w:id="32" w:name="_Toc152045602"/>
      <w:r>
        <w:rPr>
          <w:rFonts w:hint="eastAsia" w:ascii="宋体" w:hAnsi="宋体" w:cs="黑体"/>
          <w:b/>
          <w:bCs/>
          <w:color w:val="auto"/>
          <w:kern w:val="0"/>
          <w:sz w:val="24"/>
          <w:szCs w:val="24"/>
          <w:highlight w:val="none"/>
        </w:rPr>
        <w:t>3.1 初步评审标准</w:t>
      </w:r>
      <w:bookmarkEnd w:id="29"/>
      <w:bookmarkEnd w:id="30"/>
      <w:bookmarkEnd w:id="31"/>
      <w:bookmarkEnd w:id="32"/>
    </w:p>
    <w:tbl>
      <w:tblPr>
        <w:tblStyle w:val="115"/>
        <w:tblpPr w:leftFromText="180" w:rightFromText="180" w:vertAnchor="text" w:horzAnchor="margin" w:tblpY="25"/>
        <w:tblW w:w="102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揭榜团队是否满足项目对揭榜方的最低要求：□是   □否 （如否则终止打分）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733" w:hRule="atLeast"/>
        </w:trPr>
        <w:tc>
          <w:tcPr>
            <w:tcW w:w="42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.对关键性问题描述一般，得6分；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spacing w:val="-3"/>
                <w:kern w:val="0"/>
                <w:szCs w:val="21"/>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spacing w:val="-4"/>
                <w:kern w:val="0"/>
                <w:szCs w:val="21"/>
                <w:highlight w:val="none"/>
              </w:rPr>
              <w:t>3.</w:t>
            </w:r>
            <w:r>
              <w:rPr>
                <w:rFonts w:hint="eastAsia" w:ascii="宋体" w:hAnsi="宋体" w:cs="仿宋" w:eastAsiaTheme="minorEastAsia"/>
                <w:snapToGrid w:val="0"/>
                <w:color w:val="auto"/>
                <w:kern w:val="0"/>
                <w:szCs w:val="21"/>
                <w:highlight w:val="none"/>
              </w:rPr>
              <w:t>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27"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3.优于榜单基本要求，</w:t>
            </w:r>
            <w:r>
              <w:rPr>
                <w:rFonts w:hint="eastAsia" w:ascii="宋体" w:hAnsi="宋体" w:eastAsia="宋体" w:cs="宋体"/>
                <w:snapToGrid w:val="0"/>
                <w:color w:val="auto"/>
                <w:kern w:val="0"/>
                <w:sz w:val="21"/>
                <w:szCs w:val="21"/>
                <w:highlight w:val="none"/>
                <w:lang w:val="en-US" w:eastAsia="zh-CN"/>
              </w:rPr>
              <w:t>能够具有一定影响力</w:t>
            </w:r>
            <w:r>
              <w:rPr>
                <w:rFonts w:hint="eastAsia" w:ascii="宋体" w:hAnsi="宋体" w:eastAsia="宋体" w:cs="宋体"/>
                <w:snapToGrid w:val="0"/>
                <w:color w:val="auto"/>
                <w:kern w:val="0"/>
                <w:sz w:val="21"/>
                <w:szCs w:val="21"/>
                <w:highlight w:val="none"/>
              </w:rPr>
              <w:t>的</w:t>
            </w:r>
            <w:r>
              <w:rPr>
                <w:rFonts w:hint="eastAsia" w:ascii="宋体" w:hAnsi="宋体" w:cs="宋体"/>
                <w:snapToGrid w:val="0"/>
                <w:color w:val="auto"/>
                <w:kern w:val="0"/>
                <w:sz w:val="21"/>
                <w:szCs w:val="21"/>
                <w:highlight w:val="none"/>
                <w:lang w:eastAsia="zh-CN"/>
              </w:rPr>
              <w:t>，</w:t>
            </w:r>
            <w:r>
              <w:rPr>
                <w:rFonts w:hint="eastAsia" w:ascii="宋体" w:hAnsi="宋体" w:cs="仿宋" w:eastAsiaTheme="minorEastAsia"/>
                <w:snapToGrid w:val="0"/>
                <w:color w:val="auto"/>
                <w:kern w:val="0"/>
                <w:szCs w:val="21"/>
                <w:highlight w:val="none"/>
              </w:rPr>
              <w:t>得8-10分；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3</w:t>
            </w:r>
            <w:r>
              <w:rPr>
                <w:rFonts w:hint="eastAsia" w:ascii="宋体" w:hAnsi="宋体" w:cs="仿宋" w:eastAsiaTheme="minorEastAsia"/>
                <w:snapToGrid w:val="0"/>
                <w:color w:val="auto"/>
                <w:kern w:val="0"/>
                <w:szCs w:val="21"/>
                <w:highlight w:val="none"/>
              </w:rPr>
              <w:t>.具备较高的商业化推广价值，能产生社会经济效应的，得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.采用的技术方法一般，得9分；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hint="eastAsia" w:ascii="宋体" w:hAnsi="宋体" w:cs="Arial" w:eastAsiaTheme="minorEastAsia"/>
                <w:snapToGrid w:val="0"/>
                <w:color w:val="auto"/>
                <w:spacing w:val="-1"/>
                <w:kern w:val="0"/>
                <w:szCs w:val="21"/>
                <w:highlight w:val="none"/>
              </w:rPr>
              <w:t>9-12</w:t>
            </w:r>
            <w:r>
              <w:rPr>
                <w:rFonts w:hint="eastAsia" w:ascii="宋体" w:hAnsi="宋体" w:cs="仿宋" w:eastAsiaTheme="minorEastAsia"/>
                <w:snapToGrid w:val="0"/>
                <w:color w:val="auto"/>
                <w:spacing w:val="-1"/>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3.采用的技术方法适用，具有良好的研发技术条件和基础能力，得</w:t>
            </w:r>
            <w:r>
              <w:rPr>
                <w:rFonts w:hint="eastAsia" w:ascii="宋体" w:hAnsi="宋体" w:cs="Arial" w:eastAsiaTheme="minorEastAsia"/>
                <w:snapToGrid w:val="0"/>
                <w:color w:val="auto"/>
                <w:kern w:val="0"/>
                <w:szCs w:val="21"/>
                <w:highlight w:val="none"/>
              </w:rPr>
              <w:t>12-15</w:t>
            </w:r>
            <w:r>
              <w:rPr>
                <w:rFonts w:hint="eastAsia" w:ascii="宋体" w:hAnsi="宋体" w:cs="仿宋" w:eastAsiaTheme="minorEastAsia"/>
                <w:snapToGrid w:val="0"/>
                <w:color w:val="auto"/>
                <w:kern w:val="0"/>
                <w:szCs w:val="21"/>
                <w:highlight w:val="none"/>
              </w:rPr>
              <w:t>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3.能完全解决关键性问题，得12-15分。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27"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团队研发实施能力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w:t>
            </w:r>
            <w:r>
              <w:rPr>
                <w:rFonts w:hint="eastAsia" w:ascii="宋体" w:hAnsi="宋体" w:cs="仿宋" w:eastAsiaTheme="minorEastAsia"/>
                <w:snapToGrid w:val="0"/>
                <w:color w:val="auto"/>
                <w:spacing w:val="-1"/>
                <w:kern w:val="0"/>
                <w:szCs w:val="21"/>
                <w:highlight w:val="none"/>
              </w:rPr>
              <w:t>军人才</w:t>
            </w:r>
            <w:r>
              <w:rPr>
                <w:rFonts w:hint="eastAsia" w:ascii="宋体" w:hAnsi="宋体" w:cs="仿宋" w:eastAsiaTheme="minorEastAsia"/>
                <w:snapToGrid w:val="0"/>
                <w:color w:val="auto"/>
                <w:kern w:val="0"/>
                <w:szCs w:val="21"/>
                <w:highlight w:val="none"/>
              </w:rPr>
              <w:t>，得8分</w:t>
            </w:r>
            <w:r>
              <w:rPr>
                <w:rFonts w:hint="eastAsia" w:ascii="宋体" w:hAnsi="宋体" w:cs="仿宋" w:eastAsiaTheme="minorEastAsia"/>
                <w:snapToGrid w:val="0"/>
                <w:color w:val="auto"/>
                <w:spacing w:val="-1"/>
                <w:kern w:val="0"/>
                <w:szCs w:val="21"/>
                <w:highlight w:val="none"/>
              </w:rPr>
              <w:t>；</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w:t>
            </w:r>
            <w:r>
              <w:rPr>
                <w:rFonts w:hint="eastAsia" w:ascii="宋体" w:hAnsi="宋体" w:cs="仿宋" w:eastAsiaTheme="minorEastAsia"/>
                <w:snapToGrid w:val="0"/>
                <w:color w:val="auto"/>
                <w:spacing w:val="-1"/>
                <w:kern w:val="0"/>
                <w:szCs w:val="21"/>
                <w:highlight w:val="none"/>
              </w:rPr>
              <w:t>（人才</w:t>
            </w:r>
            <w:r>
              <w:rPr>
                <w:rFonts w:hint="eastAsia" w:ascii="宋体" w:hAnsi="宋体" w:cs="仿宋" w:eastAsiaTheme="minorEastAsia"/>
                <w:snapToGrid w:val="0"/>
                <w:color w:val="auto"/>
                <w:kern w:val="0"/>
                <w:szCs w:val="21"/>
                <w:highlight w:val="none"/>
              </w:rPr>
              <w:t>划分标准见标注</w:t>
            </w:r>
            <w:r>
              <w:rPr>
                <w:rFonts w:hint="eastAsia" w:ascii="宋体" w:hAnsi="宋体" w:cs="仿宋" w:eastAsiaTheme="minorEastAsia"/>
                <w:snapToGrid w:val="0"/>
                <w:color w:val="auto"/>
                <w:spacing w:val="10"/>
                <w:kern w:val="0"/>
                <w:szCs w:val="21"/>
                <w:highlight w:val="none"/>
              </w:rPr>
              <w:t>）</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427"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团队人员配备基本合理，得9分；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团队人员配备合理，得9-12分；</w:t>
            </w:r>
          </w:p>
          <w:p>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w:t>
            </w:r>
            <w:r>
              <w:rPr>
                <w:rFonts w:ascii="宋体" w:hAnsi="宋体" w:cs="仿宋"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团队人员配备合理，团队专业齐全，分工明确，得12-15分。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7"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拟承担团队在相关</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领域研发能力</w:t>
            </w: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.省级课题或省部级奖项，每有一项得</w:t>
            </w: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.国家级课题或国家级奖项，每有一项得4分；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注：课题如果获奖的按最高等级计一次分。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9653"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trPr>
        <w:tc>
          <w:tcPr>
            <w:tcW w:w="10267" w:type="dxa"/>
            <w:gridSpan w:val="5"/>
            <w:vAlign w:val="center"/>
          </w:tcPr>
          <w:p>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注：1、上述各评分项内容在揭榜响应文件中无法明确判定，该项得0分。</w:t>
            </w:r>
            <w:r>
              <w:rPr>
                <w:rFonts w:ascii="宋体" w:hAnsi="宋体" w:cs="仿宋" w:eastAsiaTheme="minorEastAsia"/>
                <w:snapToGrid w:val="0"/>
                <w:color w:val="auto"/>
                <w:kern w:val="0"/>
                <w:szCs w:val="21"/>
                <w:highlight w:val="none"/>
              </w:rPr>
              <w:t xml:space="preserve"> </w:t>
            </w:r>
          </w:p>
        </w:tc>
      </w:tr>
    </w:tbl>
    <w:p>
      <w:pPr>
        <w:autoSpaceDE w:val="0"/>
        <w:autoSpaceDN w:val="0"/>
        <w:spacing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w:t>
      </w:r>
      <w:r>
        <w:rPr>
          <w:rFonts w:hint="eastAsia" w:ascii="宋体" w:hAnsi="宋体" w:cs="黑体"/>
          <w:b/>
          <w:bCs/>
          <w:color w:val="auto"/>
          <w:kern w:val="0"/>
          <w:sz w:val="24"/>
          <w:szCs w:val="24"/>
          <w:highlight w:val="none"/>
          <w:lang w:val="en-US" w:eastAsia="zh-CN"/>
        </w:rPr>
        <w:t>最终</w:t>
      </w:r>
      <w:r>
        <w:rPr>
          <w:rFonts w:hint="eastAsia" w:ascii="宋体" w:hAnsi="宋体" w:cs="黑体"/>
          <w:b/>
          <w:bCs/>
          <w:color w:val="auto"/>
          <w:kern w:val="0"/>
          <w:sz w:val="24"/>
          <w:szCs w:val="24"/>
          <w:highlight w:val="none"/>
        </w:rPr>
        <w:t>评审</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（1）答辩顺序按揭榜现场揭榜人的签到顺序确定，答辩人可以为两人，其中一人应为本项目的项目负责人；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（3）揭榜人代表陈述时间不超过10分钟，答辩人须按照下述打分标准的内容进行答辩。</w:t>
      </w:r>
    </w:p>
    <w:p>
      <w:pPr>
        <w:pStyle w:val="17"/>
        <w:rPr>
          <w:color w:val="auto"/>
          <w:highlight w:val="none"/>
        </w:rPr>
      </w:pPr>
    </w:p>
    <w:p>
      <w:pPr>
        <w:rPr>
          <w:color w:val="auto"/>
          <w:highlight w:val="none"/>
        </w:rPr>
      </w:pPr>
    </w:p>
    <w:p>
      <w:pPr>
        <w:rPr>
          <w:color w:val="auto"/>
          <w:highlight w:val="none"/>
        </w:rPr>
      </w:pPr>
    </w:p>
    <w:tbl>
      <w:tblPr>
        <w:tblStyle w:val="11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揭榜团队（含联合体所有成员）：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auto"/>
                <w:kern w:val="0"/>
                <w:szCs w:val="21"/>
                <w:highlight w:val="none"/>
                <w:lang w:val="en-US" w:eastAsia="zh-CN"/>
              </w:rPr>
            </w:pPr>
            <w:r>
              <w:rPr>
                <w:rFonts w:hint="eastAsia" w:ascii="宋体" w:hAnsi="宋体" w:cs="仿宋" w:eastAsiaTheme="minorEastAsia"/>
                <w:snapToGrid w:val="0"/>
                <w:color w:val="auto"/>
                <w:kern w:val="0"/>
                <w:szCs w:val="21"/>
                <w:highlight w:val="none"/>
                <w:lang w:val="en-US" w:eastAsia="zh-CN"/>
              </w:rPr>
              <w:t>最终评审</w:t>
            </w:r>
          </w:p>
        </w:tc>
        <w:tc>
          <w:tcPr>
            <w:tcW w:w="1701" w:type="dxa"/>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1.条理基本清晰，重点基本明确，得21分。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3.条理清晰，重点突出，能够体现方案的创新性、市场价值，得28-35分。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1.</w:t>
            </w:r>
            <w:r>
              <w:rPr>
                <w:rFonts w:hint="eastAsia" w:ascii="宋体" w:hAnsi="宋体" w:cs="Arial" w:eastAsiaTheme="minorEastAsia"/>
                <w:color w:val="auto"/>
                <w:szCs w:val="21"/>
                <w:highlight w:val="none"/>
              </w:rPr>
              <w:t>解决路径基本清晰，得</w:t>
            </w:r>
            <w:r>
              <w:rPr>
                <w:rFonts w:hint="eastAsia" w:ascii="宋体" w:hAnsi="宋体" w:cs="Arial" w:eastAsiaTheme="minorEastAsia"/>
                <w:color w:val="auto"/>
                <w:szCs w:val="21"/>
                <w:highlight w:val="none"/>
                <w:lang w:val="en-US" w:eastAsia="zh-CN"/>
              </w:rPr>
              <w:t>21</w:t>
            </w:r>
            <w:r>
              <w:rPr>
                <w:rFonts w:hint="eastAsia" w:ascii="宋体" w:hAnsi="宋体" w:cs="Arial" w:eastAsiaTheme="minorEastAsia"/>
                <w:color w:val="auto"/>
                <w:szCs w:val="21"/>
                <w:highlight w:val="none"/>
              </w:rPr>
              <w:t>分;</w:t>
            </w:r>
          </w:p>
          <w:p>
            <w:pPr>
              <w:pStyle w:val="16"/>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2</w:t>
            </w:r>
            <w:r>
              <w:rPr>
                <w:rFonts w:hint="eastAsia" w:ascii="宋体" w:hAnsi="宋体" w:cs="Arial" w:eastAsiaTheme="minorEastAsia"/>
                <w:color w:val="auto"/>
                <w:szCs w:val="21"/>
                <w:highlight w:val="none"/>
              </w:rPr>
              <w:t>.解决路径较为清晰,能够大致描述关键技术难点的解决策略,得</w:t>
            </w:r>
            <w:r>
              <w:rPr>
                <w:rFonts w:hint="eastAsia" w:ascii="宋体" w:hAnsi="宋体" w:cs="Arial" w:eastAsiaTheme="minorEastAsia"/>
                <w:color w:val="auto"/>
                <w:szCs w:val="21"/>
                <w:highlight w:val="none"/>
                <w:lang w:val="en-US" w:eastAsia="zh-CN"/>
              </w:rPr>
              <w:t>21-28</w:t>
            </w:r>
            <w:r>
              <w:rPr>
                <w:rFonts w:hint="eastAsia" w:ascii="宋体" w:hAnsi="宋体" w:cs="Arial" w:eastAsiaTheme="minorEastAsia"/>
                <w:color w:val="auto"/>
                <w:szCs w:val="21"/>
                <w:highlight w:val="none"/>
              </w:rPr>
              <w:t>分</w:t>
            </w:r>
          </w:p>
          <w:p>
            <w:pPr>
              <w:pStyle w:val="16"/>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.解决路径清晰明确，详尽地描述了关键技术难点、挑战的解决策略，得</w:t>
            </w:r>
            <w:r>
              <w:rPr>
                <w:rFonts w:hint="eastAsia" w:ascii="宋体" w:hAnsi="宋体" w:cs="Arial" w:eastAsiaTheme="minorEastAsia"/>
                <w:color w:val="auto"/>
                <w:szCs w:val="21"/>
                <w:highlight w:val="none"/>
                <w:lang w:val="en-US" w:eastAsia="zh-CN"/>
              </w:rPr>
              <w:t>28-35</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pPr>
              <w:kinsoku w:val="0"/>
              <w:autoSpaceDE w:val="0"/>
              <w:autoSpaceDN w:val="0"/>
              <w:adjustRightInd w:val="0"/>
              <w:snapToGrid w:val="0"/>
              <w:spacing w:line="288"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pPr>
              <w:pStyle w:val="16"/>
              <w:numPr>
                <w:ilvl w:val="0"/>
                <w:numId w:val="0"/>
              </w:numPr>
              <w:spacing w:after="0" w:line="288" w:lineRule="auto"/>
              <w:rPr>
                <w:rFonts w:hint="eastAsia" w:ascii="宋体" w:hAnsi="宋体" w:cs="Arial" w:eastAsiaTheme="minorEastAsia"/>
                <w:color w:val="auto"/>
                <w:szCs w:val="21"/>
                <w:highlight w:val="none"/>
              </w:rPr>
            </w:pPr>
            <w:r>
              <w:rPr>
                <w:rFonts w:hint="eastAsia" w:ascii="宋体" w:hAnsi="宋体" w:cs="Arial" w:eastAsiaTheme="minorEastAsia"/>
                <w:color w:val="auto"/>
                <w:kern w:val="2"/>
                <w:sz w:val="21"/>
                <w:szCs w:val="21"/>
                <w:highlight w:val="none"/>
                <w:lang w:val="en-US" w:eastAsia="zh-CN" w:bidi="ar-SA"/>
              </w:rPr>
              <w:t>1.</w:t>
            </w:r>
            <w:r>
              <w:rPr>
                <w:rFonts w:hint="eastAsia" w:ascii="宋体" w:hAnsi="宋体" w:cs="Arial" w:eastAsiaTheme="minorEastAsia"/>
                <w:color w:val="auto"/>
                <w:szCs w:val="21"/>
                <w:highlight w:val="none"/>
              </w:rPr>
              <w:t>实施方案及实施计划基本合理,时间节点和任务分配基本明确,得</w:t>
            </w:r>
            <w:r>
              <w:rPr>
                <w:rFonts w:hint="eastAsia" w:ascii="宋体" w:hAnsi="宋体" w:cs="Arial" w:eastAsiaTheme="minorEastAsia"/>
                <w:color w:val="auto"/>
                <w:szCs w:val="21"/>
                <w:highlight w:val="none"/>
                <w:lang w:val="en-US" w:eastAsia="zh-CN"/>
              </w:rPr>
              <w:t>18</w:t>
            </w:r>
            <w:r>
              <w:rPr>
                <w:rFonts w:hint="eastAsia" w:ascii="宋体" w:hAnsi="宋体" w:cs="Arial" w:eastAsiaTheme="minorEastAsia"/>
                <w:color w:val="auto"/>
                <w:szCs w:val="21"/>
                <w:highlight w:val="none"/>
              </w:rPr>
              <w:t>分;</w:t>
            </w:r>
          </w:p>
          <w:p>
            <w:pPr>
              <w:pStyle w:val="16"/>
              <w:numPr>
                <w:ilvl w:val="0"/>
                <w:numId w:val="0"/>
              </w:numPr>
              <w:spacing w:after="0" w:line="288" w:lineRule="auto"/>
              <w:rPr>
                <w:rFonts w:ascii="宋体" w:hAnsi="宋体" w:cs="Arial" w:eastAsiaTheme="minorEastAsia"/>
                <w:color w:val="auto"/>
                <w:szCs w:val="21"/>
                <w:highlight w:val="none"/>
              </w:rPr>
            </w:pPr>
            <w:r>
              <w:rPr>
                <w:rFonts w:ascii="宋体" w:hAnsi="宋体" w:cs="Arial" w:eastAsiaTheme="minorEastAsia"/>
                <w:color w:val="auto"/>
                <w:kern w:val="2"/>
                <w:sz w:val="21"/>
                <w:szCs w:val="21"/>
                <w:highlight w:val="none"/>
                <w:lang w:val="en-US" w:eastAsia="zh-CN" w:bidi="ar-SA"/>
              </w:rPr>
              <w:t>2.</w:t>
            </w:r>
            <w:r>
              <w:rPr>
                <w:rFonts w:hint="eastAsia" w:ascii="宋体" w:hAnsi="宋体" w:cs="Arial" w:eastAsiaTheme="minorEastAsia"/>
                <w:color w:val="auto"/>
                <w:szCs w:val="21"/>
                <w:highlight w:val="none"/>
              </w:rPr>
              <w:t>实施方案及实施计划比较合理，时间节点和任务分配比较明确，得</w:t>
            </w:r>
            <w:r>
              <w:rPr>
                <w:rFonts w:hint="eastAsia" w:ascii="宋体" w:hAnsi="宋体" w:cs="Arial" w:eastAsiaTheme="minorEastAsia"/>
                <w:color w:val="auto"/>
                <w:szCs w:val="21"/>
                <w:highlight w:val="none"/>
                <w:lang w:val="en-US" w:eastAsia="zh-CN"/>
              </w:rPr>
              <w:t>18-24</w:t>
            </w:r>
            <w:r>
              <w:rPr>
                <w:rFonts w:hint="eastAsia" w:ascii="宋体" w:hAnsi="宋体" w:cs="Arial" w:eastAsiaTheme="minorEastAsia"/>
                <w:color w:val="auto"/>
                <w:szCs w:val="21"/>
                <w:highlight w:val="none"/>
              </w:rPr>
              <w:t>分</w:t>
            </w:r>
            <w:r>
              <w:rPr>
                <w:rFonts w:hint="eastAsia" w:ascii="宋体" w:hAnsi="宋体" w:cs="Arial" w:eastAsiaTheme="minorEastAsia"/>
                <w:color w:val="auto"/>
                <w:szCs w:val="21"/>
                <w:highlight w:val="none"/>
                <w:lang w:eastAsia="zh-CN"/>
              </w:rPr>
              <w:t>；</w:t>
            </w:r>
          </w:p>
          <w:p>
            <w:pPr>
              <w:pStyle w:val="16"/>
              <w:numPr>
                <w:ilvl w:val="0"/>
                <w:numId w:val="0"/>
              </w:numPr>
              <w:spacing w:after="0" w:line="288" w:lineRule="auto"/>
              <w:rPr>
                <w:rFonts w:ascii="宋体" w:hAnsi="宋体" w:cs="Arial" w:eastAsiaTheme="minorEastAsia"/>
                <w:color w:val="auto"/>
                <w:szCs w:val="21"/>
                <w:highlight w:val="none"/>
              </w:rPr>
            </w:pPr>
            <w:r>
              <w:rPr>
                <w:rFonts w:hint="eastAsia" w:ascii="宋体" w:hAnsi="宋体" w:cs="Arial" w:eastAsiaTheme="minorEastAsia"/>
                <w:color w:val="auto"/>
                <w:szCs w:val="21"/>
                <w:highlight w:val="none"/>
                <w:lang w:val="en-US" w:eastAsia="zh-CN"/>
              </w:rPr>
              <w:t>3</w:t>
            </w:r>
            <w:r>
              <w:rPr>
                <w:rFonts w:hint="eastAsia" w:ascii="宋体" w:hAnsi="宋体" w:cs="Arial" w:eastAsiaTheme="minorEastAsia"/>
                <w:color w:val="auto"/>
                <w:szCs w:val="21"/>
                <w:highlight w:val="none"/>
              </w:rPr>
              <w:t>.实施方案及实施计划合理，时间节点明确，任务分配合理，资源保障充分，得</w:t>
            </w:r>
            <w:r>
              <w:rPr>
                <w:rFonts w:hint="eastAsia" w:ascii="宋体" w:hAnsi="宋体" w:cs="Arial" w:eastAsiaTheme="minorEastAsia"/>
                <w:color w:val="auto"/>
                <w:szCs w:val="21"/>
                <w:highlight w:val="none"/>
                <w:lang w:val="en-US" w:eastAsia="zh-CN"/>
              </w:rPr>
              <w:t>24-30</w:t>
            </w:r>
            <w:r>
              <w:rPr>
                <w:rFonts w:hint="eastAsia" w:ascii="宋体" w:hAnsi="宋体" w:cs="Arial" w:eastAsiaTheme="minorEastAsia"/>
                <w:color w:val="auto"/>
                <w:szCs w:val="21"/>
                <w:highlight w:val="none"/>
              </w:rPr>
              <w:t>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lang w:val="en-US" w:eastAsia="zh-CN"/>
              </w:rPr>
              <w:t>最终</w:t>
            </w:r>
            <w:r>
              <w:rPr>
                <w:rFonts w:hint="eastAsia" w:ascii="宋体" w:hAnsi="宋体" w:cs="仿宋" w:eastAsiaTheme="minorEastAsia"/>
                <w:snapToGrid w:val="0"/>
                <w:color w:val="auto"/>
                <w:kern w:val="0"/>
                <w:szCs w:val="21"/>
                <w:highlight w:val="none"/>
              </w:rPr>
              <w:t>评审得分</w:t>
            </w:r>
          </w:p>
        </w:tc>
        <w:tc>
          <w:tcPr>
            <w:tcW w:w="937" w:type="dxa"/>
            <w:vAlign w:val="center"/>
          </w:tcPr>
          <w:p>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88"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pPr>
        <w:autoSpaceDE w:val="0"/>
        <w:autoSpaceDN w:val="0"/>
        <w:spacing w:line="360" w:lineRule="auto"/>
        <w:ind w:firstLine="482" w:firstLineChars="200"/>
        <w:jc w:val="left"/>
        <w:rPr>
          <w:rFonts w:hint="eastAsia"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1.评榜价的确定：评榜价＝投标函文字报价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3. 评榜基准价P=评榜价平均值*评榜基准价系数K。</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4. 评榜价的偏差率计算公式：偏差率=100%*（评榜价－评榜基准价）/评榜基准价</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5. 评榜价得分计算公式</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其中，E1是评榜价每高于评榜基准价一个百分点的扣分值，E1＝2.0；E2是评榜价每低于评榜基准价一个百分点的扣分值，E2＝1.0。</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3.4揭榜响应文件的澄清和说明</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pPr>
        <w:autoSpaceDE w:val="0"/>
        <w:autoSpaceDN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pPr>
        <w:autoSpaceDE w:val="0"/>
        <w:autoSpaceDN w:val="0"/>
        <w:spacing w:line="360" w:lineRule="auto"/>
        <w:ind w:firstLine="480" w:firstLineChars="200"/>
        <w:jc w:val="left"/>
        <w:rPr>
          <w:rFonts w:hint="eastAsia"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w:t>
      </w:r>
      <w:r>
        <w:rPr>
          <w:rFonts w:hint="eastAsia" w:ascii="宋体" w:hAnsi="宋体" w:cs="仿宋"/>
          <w:color w:val="auto"/>
          <w:kern w:val="0"/>
          <w:sz w:val="24"/>
          <w:szCs w:val="24"/>
          <w:highlight w:val="none"/>
          <w:lang w:val="en-US" w:eastAsia="zh-CN"/>
        </w:rPr>
        <w:t>最终</w:t>
      </w:r>
      <w:r>
        <w:rPr>
          <w:rFonts w:hint="eastAsia" w:ascii="宋体" w:hAnsi="宋体" w:cs="仿宋"/>
          <w:color w:val="auto"/>
          <w:kern w:val="0"/>
          <w:sz w:val="24"/>
          <w:szCs w:val="24"/>
          <w:highlight w:val="none"/>
        </w:rPr>
        <w:t>评审得分*30%+评榜价评审得分*10%</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（四）揭榜（报名）情况及揭榜响应文件递交情况；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（五）通过资格评审、形式评审和响应性评审的揭榜响应文件名单；</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（六）未通过资格评审、形式评审和响应性评审的揭榜响应文件名单及未通过评审的理由；</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w:t>
      </w:r>
      <w:r>
        <w:rPr>
          <w:rFonts w:hint="eastAsia" w:ascii="宋体" w:hAnsi="宋体" w:cs="仿宋"/>
          <w:color w:val="auto"/>
          <w:kern w:val="0"/>
          <w:sz w:val="24"/>
          <w:szCs w:val="24"/>
          <w:highlight w:val="none"/>
          <w:lang w:val="en-US" w:eastAsia="zh-CN"/>
        </w:rPr>
        <w:t>最终评审、评榜价评审</w:t>
      </w:r>
      <w:r>
        <w:rPr>
          <w:rFonts w:hint="eastAsia" w:ascii="宋体" w:hAnsi="宋体" w:cs="仿宋"/>
          <w:color w:val="auto"/>
          <w:kern w:val="0"/>
          <w:sz w:val="24"/>
          <w:szCs w:val="24"/>
          <w:highlight w:val="none"/>
        </w:rPr>
        <w:t>的评分情况；</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pPr>
        <w:autoSpaceDE w:val="0"/>
        <w:autoSpaceDN w:val="0"/>
        <w:spacing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pPr>
        <w:rPr>
          <w:rFonts w:hint="eastAsia" w:ascii="宋体" w:hAnsi="宋体" w:eastAsia="宋体" w:cs="宋体"/>
          <w:color w:val="auto"/>
          <w:sz w:val="24"/>
          <w:szCs w:val="24"/>
          <w:highlight w:val="none"/>
        </w:rPr>
      </w:pPr>
    </w:p>
    <w:p>
      <w:pPr>
        <w:autoSpaceDE w:val="0"/>
        <w:autoSpaceDN w:val="0"/>
        <w:spacing w:line="360" w:lineRule="auto"/>
        <w:jc w:val="left"/>
        <w:rPr>
          <w:rFonts w:hint="eastAsia" w:ascii="宋体" w:hAnsi="宋体" w:cs="仿宋"/>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autoSpaceDE w:val="0"/>
        <w:autoSpaceDN w:val="0"/>
        <w:spacing w:line="360" w:lineRule="auto"/>
        <w:ind w:firstLine="482" w:firstLineChars="200"/>
        <w:jc w:val="left"/>
        <w:rPr>
          <w:rFonts w:ascii="宋体" w:hAnsi="宋体" w:cs="黑体"/>
          <w:b/>
          <w:bCs/>
          <w:color w:val="auto"/>
          <w:kern w:val="0"/>
          <w:sz w:val="24"/>
          <w:szCs w:val="24"/>
          <w:highlight w:val="none"/>
        </w:rPr>
      </w:pPr>
    </w:p>
    <w:p>
      <w:pPr>
        <w:pStyle w:val="2"/>
        <w:jc w:val="center"/>
        <w:rPr>
          <w:rFonts w:ascii="宋体" w:hAnsi="宋体" w:cs="仿宋"/>
          <w:bCs/>
          <w:color w:val="auto"/>
          <w:sz w:val="28"/>
          <w:szCs w:val="28"/>
          <w:highlight w:val="none"/>
        </w:rPr>
      </w:pPr>
      <w:bookmarkStart w:id="33" w:name="_Toc5267"/>
      <w:r>
        <w:rPr>
          <w:rFonts w:ascii="宋体" w:hAnsi="宋体"/>
          <w:color w:val="auto"/>
          <w:highlight w:val="none"/>
        </w:rPr>
        <w:br w:type="page"/>
      </w:r>
      <w:bookmarkEnd w:id="33"/>
      <w:bookmarkStart w:id="34" w:name="_Toc247085853"/>
      <w:bookmarkStart w:id="35" w:name="_Toc246996338"/>
      <w:bookmarkStart w:id="36" w:name="_Toc179632787"/>
      <w:bookmarkStart w:id="37" w:name="_Toc246997081"/>
      <w:bookmarkStart w:id="38" w:name="_Toc300835199"/>
      <w:bookmarkStart w:id="39" w:name="_Toc152042549"/>
      <w:bookmarkStart w:id="40" w:name="_Toc247514197"/>
      <w:bookmarkStart w:id="41" w:name="_Toc247527798"/>
      <w:bookmarkStart w:id="42" w:name="_Toc144974578"/>
      <w:bookmarkStart w:id="43" w:name="_Toc152045610"/>
      <w:bookmarkStart w:id="44" w:name="_Toc184635122"/>
      <w:bookmarkStart w:id="45" w:name="_Toc152042388"/>
      <w:bookmarkStart w:id="46" w:name="_Toc144974829"/>
    </w:p>
    <w:bookmarkEnd w:id="34"/>
    <w:bookmarkEnd w:id="35"/>
    <w:bookmarkEnd w:id="36"/>
    <w:bookmarkEnd w:id="37"/>
    <w:p>
      <w:pPr>
        <w:pStyle w:val="2"/>
        <w:jc w:val="center"/>
        <w:rPr>
          <w:rFonts w:hint="eastAsia" w:ascii="宋体" w:hAnsi="宋体"/>
          <w:color w:val="auto"/>
          <w:highlight w:val="none"/>
        </w:rPr>
      </w:pPr>
      <w:bookmarkStart w:id="47" w:name="_Toc6071"/>
      <w:bookmarkStart w:id="48" w:name="_Toc24484"/>
      <w:r>
        <w:rPr>
          <w:rFonts w:ascii="宋体" w:hAnsi="宋体"/>
          <w:color w:val="auto"/>
          <w:highlight w:val="none"/>
        </w:rPr>
        <w:t>第</w:t>
      </w:r>
      <w:r>
        <w:rPr>
          <w:rFonts w:hint="eastAsia" w:ascii="宋体" w:hAnsi="宋体"/>
          <w:color w:val="auto"/>
          <w:highlight w:val="none"/>
          <w:lang w:val="en-US" w:eastAsia="zh-CN"/>
        </w:rPr>
        <w:t>四</w:t>
      </w:r>
      <w:r>
        <w:rPr>
          <w:rFonts w:ascii="宋体" w:hAnsi="宋体"/>
          <w:color w:val="auto"/>
          <w:highlight w:val="none"/>
        </w:rPr>
        <w:t>章</w:t>
      </w:r>
      <w:r>
        <w:rPr>
          <w:rFonts w:hint="eastAsia" w:ascii="宋体" w:hAnsi="宋体"/>
          <w:color w:val="auto"/>
          <w:highlight w:val="none"/>
        </w:rPr>
        <w:t>揭榜响应文件</w:t>
      </w:r>
      <w:r>
        <w:rPr>
          <w:rFonts w:ascii="宋体" w:hAnsi="宋体"/>
          <w:color w:val="auto"/>
          <w:highlight w:val="none"/>
        </w:rPr>
        <w:t>格式</w:t>
      </w:r>
      <w:bookmarkEnd w:id="47"/>
      <w:bookmarkEnd w:id="48"/>
    </w:p>
    <w:p>
      <w:pPr>
        <w:tabs>
          <w:tab w:val="left" w:pos="1283"/>
          <w:tab w:val="left" w:pos="1922"/>
        </w:tabs>
        <w:autoSpaceDE w:val="0"/>
        <w:autoSpaceDN w:val="0"/>
        <w:spacing w:line="360" w:lineRule="auto"/>
        <w:ind w:right="164"/>
        <w:jc w:val="center"/>
        <w:rPr>
          <w:rFonts w:hint="eastAsia" w:ascii="宋体" w:hAnsi="宋体" w:cs="宋体"/>
          <w:b/>
          <w:bCs/>
          <w:color w:val="auto"/>
          <w:kern w:val="0"/>
          <w:sz w:val="36"/>
          <w:szCs w:val="36"/>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r>
        <w:rPr>
          <w:rFonts w:hint="eastAsia" w:ascii="宋体" w:hAnsi="宋体" w:cs="黑体"/>
          <w:color w:val="auto"/>
          <w:kern w:val="0"/>
          <w:sz w:val="32"/>
          <w:szCs w:val="32"/>
          <w:highlight w:val="none"/>
          <w:u w:val="single"/>
        </w:rPr>
        <w:t xml:space="preserve">            （项目名称）</w:t>
      </w:r>
      <w:r>
        <w:rPr>
          <w:rFonts w:hint="eastAsia" w:ascii="宋体" w:hAnsi="宋体" w:cs="黑体"/>
          <w:color w:val="auto"/>
          <w:kern w:val="0"/>
          <w:sz w:val="32"/>
          <w:szCs w:val="32"/>
          <w:highlight w:val="none"/>
        </w:rPr>
        <w:t>科技创新项目</w:t>
      </w: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hint="eastAsia" w:ascii="宋体" w:hAnsi="宋体" w:cs="宋体"/>
          <w:color w:val="auto"/>
          <w:kern w:val="0"/>
          <w:sz w:val="44"/>
          <w:szCs w:val="44"/>
          <w:highlight w:val="none"/>
        </w:rPr>
      </w:pPr>
    </w:p>
    <w:p>
      <w:pPr>
        <w:tabs>
          <w:tab w:val="left" w:pos="1283"/>
          <w:tab w:val="left" w:pos="1922"/>
        </w:tabs>
        <w:autoSpaceDE w:val="0"/>
        <w:autoSpaceDN w:val="0"/>
        <w:spacing w:line="360" w:lineRule="auto"/>
        <w:ind w:right="164"/>
        <w:jc w:val="center"/>
        <w:rPr>
          <w:rFonts w:ascii="宋体" w:hAnsi="宋体" w:cs="仿宋_GB2312"/>
          <w:color w:val="auto"/>
          <w:kern w:val="0"/>
          <w:sz w:val="44"/>
          <w:szCs w:val="44"/>
          <w:highlight w:val="none"/>
          <w:lang w:eastAsia="en-US"/>
        </w:rPr>
      </w:pPr>
      <w:r>
        <w:rPr>
          <w:rFonts w:hint="eastAsia" w:ascii="宋体" w:hAnsi="宋体" w:cs="黑体"/>
          <w:color w:val="auto"/>
          <w:kern w:val="0"/>
          <w:sz w:val="48"/>
          <w:szCs w:val="48"/>
          <w:highlight w:val="none"/>
        </w:rPr>
        <w:t>揭榜响应文件</w:t>
      </w:r>
    </w:p>
    <w:p>
      <w:pPr>
        <w:autoSpaceDE w:val="0"/>
        <w:autoSpaceDN w:val="0"/>
        <w:jc w:val="center"/>
        <w:rPr>
          <w:rFonts w:ascii="宋体" w:hAnsi="宋体" w:cs="仿宋_GB2312"/>
          <w:color w:val="auto"/>
          <w:kern w:val="0"/>
          <w:sz w:val="44"/>
          <w:szCs w:val="44"/>
          <w:highlight w:val="none"/>
          <w:lang w:eastAsia="en-US"/>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jc w:val="center"/>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ind w:firstLine="1494" w:firstLineChars="400"/>
        <w:rPr>
          <w:rFonts w:hint="eastAsia" w:ascii="宋体" w:hAnsi="宋体" w:cs="仿宋_GB2312"/>
          <w:b/>
          <w:bCs/>
          <w:color w:val="auto"/>
          <w:spacing w:val="6"/>
          <w:kern w:val="0"/>
          <w:sz w:val="36"/>
          <w:highlight w:val="none"/>
        </w:rPr>
      </w:pPr>
    </w:p>
    <w:p>
      <w:pPr>
        <w:autoSpaceDE w:val="0"/>
        <w:autoSpaceDN w:val="0"/>
        <w:spacing w:line="480" w:lineRule="auto"/>
        <w:jc w:val="center"/>
        <w:rPr>
          <w:rFonts w:hint="eastAsia" w:ascii="宋体" w:hAnsi="宋体" w:cs="仿宋_GB2312"/>
          <w:color w:val="auto"/>
          <w:kern w:val="0"/>
          <w:sz w:val="28"/>
          <w:szCs w:val="28"/>
          <w:highlight w:val="none"/>
        </w:rPr>
      </w:pPr>
      <w:r>
        <w:rPr>
          <w:rFonts w:hint="eastAsia" w:ascii="宋体" w:hAnsi="宋体" w:cs="仿宋_GB2312"/>
          <w:color w:val="auto"/>
          <w:kern w:val="0"/>
          <w:sz w:val="28"/>
          <w:szCs w:val="28"/>
          <w:highlight w:val="none"/>
        </w:rPr>
        <w:t>揭榜人：</w:t>
      </w:r>
      <w:r>
        <w:rPr>
          <w:rFonts w:hint="eastAsia" w:ascii="宋体" w:hAnsi="宋体" w:cs="仿宋_GB2312"/>
          <w:color w:val="auto"/>
          <w:kern w:val="0"/>
          <w:sz w:val="28"/>
          <w:szCs w:val="28"/>
          <w:highlight w:val="none"/>
          <w:u w:val="single"/>
        </w:rPr>
        <w:t xml:space="preserve">                </w:t>
      </w:r>
      <w:r>
        <w:rPr>
          <w:rFonts w:hint="eastAsia" w:ascii="宋体" w:hAnsi="宋体" w:cs="仿宋_GB2312"/>
          <w:color w:val="auto"/>
          <w:kern w:val="0"/>
          <w:sz w:val="28"/>
          <w:szCs w:val="28"/>
          <w:highlight w:val="none"/>
        </w:rPr>
        <w:t>（</w:t>
      </w:r>
      <w:r>
        <w:rPr>
          <w:rFonts w:ascii="宋体" w:hAnsi="宋体" w:cs="仿宋_GB2312"/>
          <w:color w:val="auto"/>
          <w:kern w:val="0"/>
          <w:sz w:val="28"/>
          <w:szCs w:val="28"/>
          <w:highlight w:val="none"/>
          <w:lang w:eastAsia="en-US"/>
        </w:rPr>
        <w:t>盖单位章</w:t>
      </w:r>
      <w:r>
        <w:rPr>
          <w:rFonts w:hint="eastAsia" w:ascii="宋体" w:hAnsi="宋体" w:cs="仿宋_GB2312"/>
          <w:color w:val="auto"/>
          <w:kern w:val="0"/>
          <w:sz w:val="28"/>
          <w:szCs w:val="28"/>
          <w:highlight w:val="none"/>
        </w:rPr>
        <w:t>）</w:t>
      </w:r>
    </w:p>
    <w:p>
      <w:pPr>
        <w:spacing w:line="480" w:lineRule="auto"/>
        <w:ind w:firstLine="2100" w:firstLineChars="750"/>
        <w:rPr>
          <w:rFonts w:hint="eastAsia" w:ascii="宋体" w:hAnsi="宋体"/>
          <w:color w:val="auto"/>
          <w:highlight w:val="none"/>
        </w:rPr>
      </w:pPr>
      <w:r>
        <w:rPr>
          <w:rFonts w:hint="eastAsia" w:ascii="宋体" w:hAnsi="宋体" w:cs="仿宋_GB2312"/>
          <w:color w:val="auto"/>
          <w:kern w:val="0"/>
          <w:sz w:val="28"/>
          <w:szCs w:val="28"/>
          <w:highlight w:val="none"/>
        </w:rPr>
        <w:t>时间：  年  月  日</w:t>
      </w:r>
    </w:p>
    <w:p>
      <w:pPr>
        <w:rPr>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r>
        <w:rPr>
          <w:rFonts w:ascii="宋体" w:hAnsi="宋体"/>
          <w:color w:val="auto"/>
          <w:highlight w:val="none"/>
        </w:rPr>
        <w:br w:type="page"/>
      </w:r>
    </w:p>
    <w:bookmarkEnd w:id="38"/>
    <w:bookmarkEnd w:id="39"/>
    <w:bookmarkEnd w:id="40"/>
    <w:bookmarkEnd w:id="41"/>
    <w:bookmarkEnd w:id="42"/>
    <w:bookmarkEnd w:id="43"/>
    <w:bookmarkEnd w:id="44"/>
    <w:bookmarkEnd w:id="45"/>
    <w:bookmarkEnd w:id="46"/>
    <w:p>
      <w:pPr>
        <w:pStyle w:val="3"/>
        <w:jc w:val="center"/>
        <w:rPr>
          <w:rFonts w:ascii="宋体" w:hAnsi="宋体" w:eastAsia="宋体"/>
          <w:color w:val="auto"/>
          <w:highlight w:val="none"/>
        </w:rPr>
      </w:pPr>
      <w:bookmarkStart w:id="49" w:name="_Toc21190"/>
      <w:bookmarkStart w:id="50" w:name="_Toc15717"/>
      <w:bookmarkStart w:id="51" w:name="_Toc492300719"/>
      <w:r>
        <w:rPr>
          <w:rFonts w:ascii="宋体" w:hAnsi="宋体" w:eastAsia="宋体"/>
          <w:color w:val="auto"/>
          <w:highlight w:val="none"/>
        </w:rPr>
        <w:t>目录</w:t>
      </w:r>
      <w:bookmarkEnd w:id="49"/>
      <w:bookmarkEnd w:id="50"/>
      <w:bookmarkEnd w:id="51"/>
    </w:p>
    <w:p>
      <w:pPr>
        <w:spacing w:line="540" w:lineRule="exact"/>
        <w:rPr>
          <w:rFonts w:ascii="宋体" w:hAnsi="宋体"/>
          <w:color w:val="auto"/>
          <w:highlight w:val="none"/>
        </w:rPr>
      </w:pPr>
    </w:p>
    <w:p>
      <w:pPr>
        <w:spacing w:line="720" w:lineRule="auto"/>
        <w:rPr>
          <w:rFonts w:hint="eastAsia" w:ascii="宋体" w:hAnsi="宋体"/>
          <w:color w:val="auto"/>
          <w:sz w:val="24"/>
          <w:szCs w:val="24"/>
          <w:highlight w:val="none"/>
        </w:rPr>
      </w:pPr>
      <w:bookmarkStart w:id="52" w:name="_Toc352691655"/>
      <w:bookmarkStart w:id="53" w:name="_Toc369531691"/>
      <w:bookmarkStart w:id="54" w:name="_Toc7039"/>
      <w:r>
        <w:rPr>
          <w:rFonts w:hint="eastAsia" w:ascii="宋体" w:hAnsi="宋体"/>
          <w:color w:val="auto"/>
          <w:sz w:val="24"/>
          <w:szCs w:val="24"/>
          <w:highlight w:val="none"/>
        </w:rPr>
        <w:t>1.揭榜响应函</w:t>
      </w:r>
    </w:p>
    <w:p>
      <w:pPr>
        <w:spacing w:line="720" w:lineRule="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报价清单</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企业营业执照或事业单位法人证书（复印件加盖公章）</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.项目负责人委托书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.联合体协议书</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.揭榜人基本情况</w:t>
      </w:r>
    </w:p>
    <w:p>
      <w:pPr>
        <w:spacing w:line="720" w:lineRule="auto"/>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.技术方案</w:t>
      </w:r>
    </w:p>
    <w:p>
      <w:pPr>
        <w:spacing w:line="720" w:lineRule="auto"/>
        <w:rPr>
          <w:rFonts w:ascii="宋体" w:hAnsi="宋体"/>
          <w:color w:val="auto"/>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.其他材料</w:t>
      </w:r>
    </w:p>
    <w:p>
      <w:pPr>
        <w:spacing w:line="540" w:lineRule="exact"/>
        <w:rPr>
          <w:rFonts w:ascii="宋体" w:hAnsi="宋体"/>
          <w:color w:val="auto"/>
          <w:sz w:val="20"/>
          <w:highlight w:val="none"/>
        </w:rPr>
      </w:pPr>
      <w:r>
        <w:rPr>
          <w:rFonts w:ascii="宋体" w:hAnsi="宋体"/>
          <w:color w:val="auto"/>
          <w:highlight w:val="none"/>
        </w:rPr>
        <w:br w:type="page"/>
      </w:r>
    </w:p>
    <w:bookmarkEnd w:id="52"/>
    <w:bookmarkEnd w:id="53"/>
    <w:bookmarkEnd w:id="54"/>
    <w:p>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5" w:name="_Toc492300723"/>
      <w:bookmarkStart w:id="56" w:name="_Toc22611"/>
      <w:bookmarkStart w:id="57" w:name="_Toc18048"/>
    </w:p>
    <w:p>
      <w:pPr>
        <w:pStyle w:val="3"/>
        <w:jc w:val="center"/>
        <w:rPr>
          <w:rFonts w:hint="eastAsia" w:ascii="宋体" w:hAnsi="宋体" w:eastAsia="宋体"/>
          <w:color w:val="auto"/>
          <w:highlight w:val="none"/>
        </w:rPr>
      </w:pPr>
      <w:r>
        <w:rPr>
          <w:rFonts w:hint="eastAsia" w:ascii="宋体" w:hAnsi="宋体" w:eastAsia="宋体"/>
          <w:color w:val="auto"/>
          <w:highlight w:val="none"/>
        </w:rPr>
        <w:t>1</w:t>
      </w:r>
      <w:r>
        <w:rPr>
          <w:rFonts w:ascii="宋体" w:hAnsi="宋体" w:eastAsia="宋体"/>
          <w:color w:val="auto"/>
          <w:highlight w:val="none"/>
        </w:rPr>
        <w:t>、</w:t>
      </w:r>
      <w:r>
        <w:rPr>
          <w:rFonts w:hint="eastAsia" w:ascii="宋体" w:hAnsi="宋体" w:eastAsia="宋体"/>
          <w:color w:val="auto"/>
          <w:highlight w:val="none"/>
        </w:rPr>
        <w:t>响应函</w:t>
      </w:r>
    </w:p>
    <w:p>
      <w:pPr>
        <w:rPr>
          <w:rFonts w:hint="eastAsia"/>
          <w:color w:val="auto"/>
          <w:highlight w:val="none"/>
        </w:rPr>
      </w:pPr>
    </w:p>
    <w:p>
      <w:pPr>
        <w:spacing w:line="360" w:lineRule="auto"/>
        <w:ind w:firstLine="120" w:firstLineChars="50"/>
        <w:rPr>
          <w:rFonts w:hint="eastAsia"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pStyle w:val="16"/>
        <w:rPr>
          <w:color w:val="auto"/>
          <w:highlight w:val="none"/>
        </w:rPr>
      </w:pPr>
    </w:p>
    <w:p>
      <w:pPr>
        <w:numPr>
          <w:ilvl w:val="0"/>
          <w:numId w:val="1"/>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揭榜指南文件的全部内容，愿意以人民币（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的揭榜报价，按合同约定完成本项目。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pPr>
        <w:spacing w:line="360" w:lineRule="auto"/>
        <w:ind w:firstLine="2700" w:firstLineChars="1125"/>
        <w:rPr>
          <w:rFonts w:ascii="宋体" w:hAnsi="宋体"/>
          <w:color w:val="auto"/>
          <w:sz w:val="24"/>
          <w:szCs w:val="24"/>
          <w:highlight w:val="none"/>
        </w:rPr>
      </w:pPr>
    </w:p>
    <w:p>
      <w:pPr>
        <w:spacing w:line="360" w:lineRule="auto"/>
        <w:ind w:firstLine="2700" w:firstLineChars="1125"/>
        <w:rPr>
          <w:rFonts w:ascii="宋体" w:hAnsi="宋体"/>
          <w:color w:val="auto"/>
          <w:sz w:val="24"/>
          <w:szCs w:val="24"/>
          <w:highlight w:val="none"/>
        </w:rPr>
      </w:pPr>
    </w:p>
    <w:p>
      <w:pPr>
        <w:spacing w:line="360" w:lineRule="auto"/>
        <w:ind w:firstLine="3960" w:firstLineChars="1650"/>
        <w:rPr>
          <w:rFonts w:ascii="宋体" w:hAnsi="宋体"/>
          <w:color w:val="auto"/>
          <w:sz w:val="24"/>
          <w:szCs w:val="18"/>
          <w:highlight w:val="none"/>
          <w:u w:val="none"/>
        </w:rPr>
      </w:pPr>
      <w:r>
        <w:rPr>
          <w:rFonts w:hint="eastAsia" w:ascii="宋体" w:hAnsi="宋体"/>
          <w:color w:val="auto"/>
          <w:sz w:val="24"/>
          <w:szCs w:val="24"/>
          <w:highlight w:val="none"/>
          <w:u w:val="none"/>
        </w:rPr>
        <w:t>揭榜人：</w:t>
      </w:r>
      <w:r>
        <w:rPr>
          <w:rFonts w:hint="eastAsia" w:ascii="宋体" w:hAnsi="宋体"/>
          <w:color w:val="auto"/>
          <w:sz w:val="24"/>
          <w:szCs w:val="24"/>
          <w:highlight w:val="none"/>
          <w:u w:val="single"/>
          <w:lang w:val="en-US" w:eastAsia="zh-CN"/>
        </w:rPr>
        <w:t xml:space="preserve">                      </w:t>
      </w:r>
      <w:r>
        <w:rPr>
          <w:rFonts w:ascii="宋体" w:hAnsi="宋体"/>
          <w:color w:val="auto"/>
          <w:spacing w:val="3"/>
          <w:kern w:val="0"/>
          <w:sz w:val="24"/>
          <w:szCs w:val="18"/>
          <w:highlight w:val="none"/>
          <w:u w:val="none"/>
        </w:rPr>
        <w:t xml:space="preserve"> (</w:t>
      </w:r>
      <w:r>
        <w:rPr>
          <w:rFonts w:hint="eastAsia" w:ascii="宋体" w:hAnsi="宋体"/>
          <w:color w:val="auto"/>
          <w:spacing w:val="3"/>
          <w:kern w:val="0"/>
          <w:sz w:val="24"/>
          <w:szCs w:val="18"/>
          <w:highlight w:val="none"/>
          <w:u w:val="none"/>
        </w:rPr>
        <w:t>盖单位章</w:t>
      </w:r>
      <w:r>
        <w:rPr>
          <w:rFonts w:ascii="宋体" w:hAnsi="宋体"/>
          <w:color w:val="auto"/>
          <w:spacing w:val="2"/>
          <w:kern w:val="0"/>
          <w:sz w:val="24"/>
          <w:szCs w:val="18"/>
          <w:highlight w:val="none"/>
          <w:u w:val="none"/>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lang w:val="en-US" w:eastAsia="zh-CN"/>
        </w:rPr>
        <w:t>项目负责人</w:t>
      </w:r>
      <w:r>
        <w:rPr>
          <w:rFonts w:hint="eastAsia" w:ascii="宋体" w:hAnsi="宋体"/>
          <w:color w:val="auto"/>
          <w:sz w:val="24"/>
          <w:szCs w:val="24"/>
          <w:highlight w:val="none"/>
          <w:u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rPr>
        <w:t>（签字）</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地址：</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hint="default" w:ascii="宋体" w:hAnsi="宋体" w:eastAsia="宋体"/>
          <w:color w:val="auto"/>
          <w:sz w:val="24"/>
          <w:szCs w:val="24"/>
          <w:highlight w:val="none"/>
          <w:u w:val="none"/>
          <w:lang w:val="en-US" w:eastAsia="zh-CN"/>
        </w:rPr>
      </w:pPr>
      <w:r>
        <w:rPr>
          <w:rFonts w:hint="eastAsia" w:ascii="宋体" w:hAnsi="宋体"/>
          <w:color w:val="auto"/>
          <w:sz w:val="24"/>
          <w:szCs w:val="24"/>
          <w:highlight w:val="none"/>
          <w:u w:val="none"/>
        </w:rPr>
        <w:t>电话：</w:t>
      </w:r>
      <w:r>
        <w:rPr>
          <w:rFonts w:hint="eastAsia" w:ascii="宋体" w:hAnsi="宋体"/>
          <w:color w:val="auto"/>
          <w:sz w:val="24"/>
          <w:szCs w:val="24"/>
          <w:highlight w:val="none"/>
          <w:u w:val="single"/>
          <w:lang w:val="en-US" w:eastAsia="zh-CN"/>
        </w:rPr>
        <w:t xml:space="preserve">                        </w:t>
      </w:r>
    </w:p>
    <w:p>
      <w:pPr>
        <w:spacing w:line="360" w:lineRule="auto"/>
        <w:ind w:firstLine="3960" w:firstLineChars="1650"/>
        <w:rPr>
          <w:rFonts w:ascii="宋体" w:hAnsi="宋体"/>
          <w:color w:val="auto"/>
          <w:sz w:val="24"/>
          <w:szCs w:val="24"/>
          <w:highlight w:val="none"/>
          <w:u w:val="none"/>
        </w:rPr>
      </w:pPr>
      <w:r>
        <w:rPr>
          <w:rFonts w:hint="eastAsia" w:ascii="宋体" w:hAnsi="宋体"/>
          <w:color w:val="auto"/>
          <w:sz w:val="24"/>
          <w:szCs w:val="24"/>
          <w:highlight w:val="none"/>
          <w:u w:val="none"/>
        </w:rPr>
        <w:t>传真：</w:t>
      </w:r>
      <w:r>
        <w:rPr>
          <w:rFonts w:hint="eastAsia" w:ascii="宋体" w:hAnsi="宋体"/>
          <w:color w:val="auto"/>
          <w:sz w:val="24"/>
          <w:szCs w:val="24"/>
          <w:highlight w:val="none"/>
          <w:u w:val="single"/>
          <w:lang w:val="en-US" w:eastAsia="zh-CN"/>
        </w:rPr>
        <w:t xml:space="preserve">                        </w:t>
      </w:r>
      <w:r>
        <w:rPr>
          <w:rFonts w:hint="eastAsia" w:ascii="宋体" w:hAnsi="宋体" w:cs="宋体"/>
          <w:color w:val="auto"/>
          <w:kern w:val="0"/>
          <w:sz w:val="24"/>
          <w:szCs w:val="24"/>
          <w:highlight w:val="none"/>
          <w:u w:val="none"/>
        </w:rPr>
        <w:t xml:space="preserve">      </w:t>
      </w:r>
    </w:p>
    <w:p>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lang w:val="en-US" w:eastAsia="zh-CN"/>
        </w:rPr>
        <w:t xml:space="preserve">                        </w:t>
      </w:r>
    </w:p>
    <w:p>
      <w:pPr>
        <w:wordWrap w:val="0"/>
        <w:spacing w:line="360" w:lineRule="auto"/>
        <w:ind w:firstLine="6345" w:firstLineChars="2644"/>
        <w:jc w:val="right"/>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日 </w:t>
      </w:r>
    </w:p>
    <w:p>
      <w:pPr>
        <w:spacing w:after="120" w:line="360" w:lineRule="auto"/>
        <w:rPr>
          <w:rFonts w:ascii="宋体" w:hAnsi="宋体"/>
          <w:color w:val="auto"/>
          <w:szCs w:val="21"/>
          <w:highlight w:val="none"/>
        </w:rPr>
      </w:pPr>
    </w:p>
    <w:p>
      <w:pPr>
        <w:pStyle w:val="16"/>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b/>
          <w:color w:val="auto"/>
          <w:szCs w:val="21"/>
          <w:highlight w:val="none"/>
        </w:rPr>
        <w:t>注：以联合体形式揭榜的，本响应函由联合体牵头人出具。</w:t>
      </w:r>
    </w:p>
    <w:p>
      <w:pPr>
        <w:pStyle w:val="3"/>
        <w:jc w:val="center"/>
        <w:rPr>
          <w:rFonts w:ascii="宋体" w:hAnsi="宋体" w:eastAsia="宋体"/>
          <w:color w:val="auto"/>
          <w:highlight w:val="none"/>
        </w:rPr>
      </w:pPr>
      <w:bookmarkStart w:id="58" w:name="_Toc166486149"/>
      <w:bookmarkStart w:id="59" w:name="_Toc21063"/>
      <w:r>
        <w:rPr>
          <w:rFonts w:hint="eastAsia" w:ascii="宋体" w:hAnsi="宋体" w:eastAsia="宋体"/>
          <w:color w:val="auto"/>
          <w:highlight w:val="none"/>
        </w:rPr>
        <w:t>2、报价清单表</w:t>
      </w:r>
      <w:bookmarkEnd w:id="58"/>
      <w:bookmarkEnd w:id="59"/>
      <w:r>
        <w:rPr>
          <w:rFonts w:hint="eastAsia" w:ascii="宋体" w:hAnsi="宋体" w:eastAsia="宋体"/>
          <w:color w:val="auto"/>
          <w:highlight w:val="none"/>
        </w:rPr>
        <w:t xml:space="preserve"> </w:t>
      </w:r>
    </w:p>
    <w:p>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2.1 价格清单说明</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rPr>
        <w:t>1.本清单所列项目是</w:t>
      </w:r>
      <w:r>
        <w:rPr>
          <w:rFonts w:hint="eastAsia"/>
          <w:color w:val="auto"/>
          <w:highlight w:val="none"/>
          <w:lang w:eastAsia="zh-CN"/>
        </w:rPr>
        <w:t>用户单位</w:t>
      </w:r>
      <w:r>
        <w:rPr>
          <w:rFonts w:hint="eastAsia"/>
          <w:color w:val="auto"/>
          <w:highlight w:val="none"/>
        </w:rPr>
        <w:t>根据自身管理经验估算的预计工作内容和预计数量，仅作为</w:t>
      </w:r>
      <w:r>
        <w:rPr>
          <w:rFonts w:hint="eastAsia"/>
          <w:color w:val="auto"/>
          <w:highlight w:val="none"/>
          <w:lang w:eastAsia="zh-CN"/>
        </w:rPr>
        <w:t>评榜价</w:t>
      </w:r>
      <w:r>
        <w:rPr>
          <w:rFonts w:hint="eastAsia"/>
          <w:color w:val="auto"/>
          <w:highlight w:val="none"/>
        </w:rPr>
        <w:t>的共同基础，不能作为最终结算与支付的依据。最终工程实际实施内容应待</w:t>
      </w:r>
      <w:r>
        <w:rPr>
          <w:rFonts w:hint="eastAsia"/>
          <w:color w:val="auto"/>
          <w:highlight w:val="none"/>
          <w:lang w:eastAsia="zh-CN"/>
        </w:rPr>
        <w:t>中榜人</w:t>
      </w:r>
      <w:r>
        <w:rPr>
          <w:rFonts w:hint="eastAsia"/>
          <w:color w:val="auto"/>
          <w:highlight w:val="none"/>
        </w:rPr>
        <w:t>完成图纸设计并由</w:t>
      </w:r>
      <w:r>
        <w:rPr>
          <w:rFonts w:hint="eastAsia"/>
          <w:color w:val="auto"/>
          <w:highlight w:val="none"/>
          <w:lang w:eastAsia="zh-CN"/>
        </w:rPr>
        <w:t>用户单位</w:t>
      </w:r>
      <w:r>
        <w:rPr>
          <w:rFonts w:hint="eastAsia"/>
          <w:color w:val="auto"/>
          <w:highlight w:val="none"/>
        </w:rPr>
        <w:t>批准后，遵照图纸实施。计量采用中华人民共和国法定计量单位。</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.本价格清单应与“揭榜挂帅”榜单、合同条款及格式、</w:t>
      </w:r>
      <w:r>
        <w:rPr>
          <w:rFonts w:hint="eastAsia"/>
          <w:color w:val="auto"/>
          <w:highlight w:val="none"/>
          <w:lang w:val="en-US" w:eastAsia="zh-CN"/>
        </w:rPr>
        <w:t>用户单位</w:t>
      </w:r>
      <w:r>
        <w:rPr>
          <w:rFonts w:hint="eastAsia"/>
          <w:color w:val="auto"/>
          <w:highlight w:val="none"/>
        </w:rPr>
        <w:t>要求等一起阅读和理解。</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lang w:eastAsia="zh-CN"/>
        </w:rPr>
        <w:t>揭榜人</w:t>
      </w:r>
      <w:r>
        <w:rPr>
          <w:rFonts w:hint="eastAsia"/>
          <w:color w:val="auto"/>
          <w:highlight w:val="none"/>
        </w:rPr>
        <w:t>没有填报的项目，应被认为有关费用已包含在其他项目中。</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科研费的说明：揭榜人应根据用户单位要求、用户单位提供的资料和条件、现场踏勘情况及科研经验填报科研费价格清单表。揭榜人应按照国家有关工程建设标准强制性条文和交通运输部有关标准、规范、规程、定额、办法、示例等要求的内容和深度，开展科研工作，并将科研费计入相应的报价项目中。与科研文件审查有关的各种会议的会务费以及科研人自行委托咨询的咨询费、利润、税金等与此有关的一切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5.</w:t>
      </w:r>
      <w:r>
        <w:rPr>
          <w:rFonts w:hint="eastAsia"/>
          <w:color w:val="auto"/>
          <w:highlight w:val="none"/>
        </w:rPr>
        <w:t>设计费的说明：</w:t>
      </w:r>
      <w:r>
        <w:rPr>
          <w:rFonts w:hint="eastAsia"/>
          <w:color w:val="auto"/>
          <w:highlight w:val="none"/>
          <w:lang w:eastAsia="zh-CN"/>
        </w:rPr>
        <w:t>揭榜人</w:t>
      </w:r>
      <w:r>
        <w:rPr>
          <w:rFonts w:hint="eastAsia"/>
          <w:color w:val="auto"/>
          <w:highlight w:val="none"/>
        </w:rPr>
        <w:t>应根据</w:t>
      </w:r>
      <w:r>
        <w:rPr>
          <w:rFonts w:hint="eastAsia"/>
          <w:color w:val="auto"/>
          <w:highlight w:val="none"/>
          <w:lang w:val="en-US" w:eastAsia="zh-CN"/>
        </w:rPr>
        <w:t>用户单位</w:t>
      </w:r>
      <w:r>
        <w:rPr>
          <w:rFonts w:hint="eastAsia"/>
          <w:color w:val="auto"/>
          <w:highlight w:val="none"/>
        </w:rPr>
        <w:t>要求、</w:t>
      </w:r>
      <w:r>
        <w:rPr>
          <w:rFonts w:hint="eastAsia"/>
          <w:color w:val="auto"/>
          <w:highlight w:val="none"/>
          <w:lang w:val="en-US" w:eastAsia="zh-CN"/>
        </w:rPr>
        <w:t>用户单位</w:t>
      </w:r>
      <w:r>
        <w:rPr>
          <w:rFonts w:hint="eastAsia"/>
          <w:color w:val="auto"/>
          <w:highlight w:val="none"/>
        </w:rPr>
        <w:t>提供的资料和条件、现场踏勘情况及设计经验填报设计费价格清单表。</w:t>
      </w:r>
      <w:r>
        <w:rPr>
          <w:rFonts w:hint="eastAsia"/>
          <w:color w:val="auto"/>
          <w:highlight w:val="none"/>
          <w:lang w:eastAsia="zh-CN"/>
        </w:rPr>
        <w:t>揭榜人</w:t>
      </w:r>
      <w:r>
        <w:rPr>
          <w:rFonts w:hint="eastAsia"/>
          <w:color w:val="auto"/>
          <w:highlight w:val="none"/>
        </w:rPr>
        <w:t>应按照国家有关工程建设标准强制性条文和交通运输部有关标准、规范、规程、定额、办法、示例等要求的内容和深度，开展设计工作，并将设计费计入相应的报价项目中。设计费价格清单表所列的报价，应为完成本招标项目施工图设计、施工图预算、设计变更文件等的一切费用，包括按合同规定应完成的设计费和后续服务费、与设计文件审查有关的各种会议的会务费以及设计人自行委托咨询的咨询费、利润、税金等与此有关的一切费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6.</w:t>
      </w:r>
      <w:r>
        <w:rPr>
          <w:rFonts w:hint="eastAsia"/>
          <w:color w:val="auto"/>
          <w:highlight w:val="none"/>
        </w:rPr>
        <w:t>配套设施工程量清单中所列工程量的变动，丝毫不会降低或影响合同条款的效力，也不免除承包人按规定的标准进行施工和修复缺陷的责任。</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7.</w:t>
      </w:r>
      <w:r>
        <w:rPr>
          <w:rFonts w:hint="eastAsia"/>
          <w:color w:val="auto"/>
          <w:highlight w:val="none"/>
        </w:rPr>
        <w:t>工程量清单中的每一子目均已填入单价或价格，且具有唯一性。</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9.</w:t>
      </w:r>
      <w:r>
        <w:rPr>
          <w:rFonts w:hint="eastAsia"/>
          <w:color w:val="auto"/>
          <w:highlight w:val="none"/>
        </w:rPr>
        <w:t>除非合同另有规定，工程量清单中有标价的单价和总额价均已包括了为实施和完成合同</w:t>
      </w:r>
      <w:r>
        <w:rPr>
          <w:rFonts w:hint="eastAsia"/>
          <w:color w:val="auto"/>
          <w:highlight w:val="none"/>
          <w:lang w:val="en-US" w:eastAsia="zh-CN"/>
        </w:rPr>
        <w:t>项目</w:t>
      </w:r>
      <w:r>
        <w:rPr>
          <w:rFonts w:hint="eastAsia"/>
          <w:color w:val="auto"/>
          <w:highlight w:val="none"/>
        </w:rPr>
        <w:t>所需的劳务、材料、机械、质检（自检）、安装、缺陷修复、管理、保险、税费、利润等费用，以及公路</w:t>
      </w:r>
      <w:r>
        <w:rPr>
          <w:rFonts w:hint="eastAsia"/>
          <w:color w:val="auto"/>
          <w:highlight w:val="none"/>
          <w:lang w:val="en-US" w:eastAsia="zh-CN"/>
        </w:rPr>
        <w:t>项目</w:t>
      </w:r>
      <w:r>
        <w:rPr>
          <w:rFonts w:hint="eastAsia"/>
          <w:color w:val="auto"/>
          <w:highlight w:val="none"/>
        </w:rPr>
        <w:t>营改增相关税费的调整、合同明示或暗示的所有责任、义务和一般风险。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10.工程量清单中揭榜人没有填入单价或价格的子目，其费用视为已分摊在工程量清单中其他相关子目的单价或价格之中。承包人必须按监理人指令完成工程量清单中未填入单价或价格的子目，但不能得到结算与支付。</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11.符合合同条款规定的全部费用应认为已被计入有标价的工程量清单所列各子目之中，未列子目不予计量的工作，其费用应视为已分摊在本合同工程的有关子目的单价或总额价之中。</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暂列金额（不含计日工总额）的数量及拟用子目的说明：第100章和1500章</w:t>
      </w:r>
      <w:r>
        <w:rPr>
          <w:rFonts w:hint="eastAsia"/>
          <w:color w:val="auto"/>
          <w:highlight w:val="none"/>
          <w:lang w:val="en-US" w:eastAsia="zh-CN"/>
        </w:rPr>
        <w:t>清单</w:t>
      </w:r>
      <w:r>
        <w:rPr>
          <w:rFonts w:hint="eastAsia"/>
          <w:color w:val="auto"/>
          <w:highlight w:val="none"/>
        </w:rPr>
        <w:t>合计金额的4%计列。</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13.</w:t>
      </w:r>
      <w:r>
        <w:rPr>
          <w:rFonts w:hint="eastAsia"/>
          <w:color w:val="auto"/>
          <w:highlight w:val="none"/>
        </w:rPr>
        <w:t>考虑到项目的不确定性，本项目</w:t>
      </w:r>
      <w:r>
        <w:rPr>
          <w:rFonts w:hint="eastAsia"/>
          <w:color w:val="auto"/>
          <w:highlight w:val="none"/>
          <w:lang w:eastAsia="zh-CN"/>
        </w:rPr>
        <w:t>评榜价</w:t>
      </w:r>
      <w:r>
        <w:rPr>
          <w:rFonts w:hint="eastAsia"/>
          <w:color w:val="auto"/>
          <w:highlight w:val="none"/>
        </w:rPr>
        <w:t>中已充分考虑高速公路通行费(高速公路通行费由承包人自行承担)、设备调转的频繁性和效率降低以及停滞而发生的费用，不再单独计量。</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highlight w:val="none"/>
        </w:rPr>
      </w:pPr>
      <w:r>
        <w:rPr>
          <w:rFonts w:hint="eastAsia"/>
          <w:color w:val="auto"/>
          <w:highlight w:val="none"/>
          <w:lang w:val="en-US" w:eastAsia="zh-CN"/>
        </w:rPr>
        <w:t>14.</w:t>
      </w:r>
      <w:r>
        <w:rPr>
          <w:rFonts w:hint="eastAsia"/>
          <w:color w:val="auto"/>
          <w:highlight w:val="none"/>
        </w:rPr>
        <w:t>本次招投标项目不进行调价。</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eastAsia="宋体"/>
          <w:color w:val="auto"/>
          <w:highlight w:val="none"/>
          <w:lang w:val="en-US" w:eastAsia="zh-CN"/>
        </w:rPr>
      </w:pPr>
      <w:r>
        <w:rPr>
          <w:rFonts w:hint="eastAsia"/>
          <w:color w:val="auto"/>
          <w:highlight w:val="none"/>
          <w:lang w:val="en-US" w:eastAsia="zh-CN"/>
        </w:rPr>
        <w:t>15. 课题研究费、施工图设计费、 配套设施工程量清单实际支付的金额均不得高于施工图预算中批复金额。中标价高于施工图预算中批复金额时，按施工图批复金额支付；低于施工图预算中批复金额时，按中标价支付。</w:t>
      </w:r>
    </w:p>
    <w:p>
      <w:pPr>
        <w:widowControl/>
        <w:jc w:val="right"/>
        <w:rPr>
          <w:rFonts w:ascii="宋体" w:hAnsi="宋体" w:cs="宋体"/>
          <w:color w:val="auto"/>
          <w:kern w:val="0"/>
          <w:szCs w:val="21"/>
          <w:highlight w:val="none"/>
          <w:lang w:bidi="ar"/>
        </w:rPr>
      </w:pPr>
    </w:p>
    <w:p>
      <w:pPr>
        <w:widowControl/>
        <w:jc w:val="right"/>
        <w:rPr>
          <w:color w:val="auto"/>
          <w:highlight w:val="none"/>
        </w:rPr>
      </w:pPr>
      <w:r>
        <w:rPr>
          <w:rFonts w:hint="eastAsia" w:ascii="宋体" w:hAnsi="宋体" w:cs="宋体"/>
          <w:color w:val="auto"/>
          <w:kern w:val="0"/>
          <w:szCs w:val="21"/>
          <w:highlight w:val="none"/>
          <w:lang w:bidi="ar"/>
        </w:rPr>
        <w:t xml:space="preserve"> </w:t>
      </w:r>
    </w:p>
    <w:p>
      <w:pPr>
        <w:pStyle w:val="3"/>
        <w:jc w:val="center"/>
        <w:rPr>
          <w:rFonts w:hint="eastAsia" w:ascii="宋体" w:hAnsi="宋体" w:eastAsia="宋体"/>
          <w:b w:val="0"/>
          <w:bCs w:val="0"/>
          <w:color w:val="auto"/>
          <w:highlight w:val="none"/>
          <w:lang w:val="en-US" w:eastAsia="zh-CN"/>
        </w:rPr>
      </w:pPr>
      <w:r>
        <w:rPr>
          <w:rFonts w:hint="eastAsia" w:ascii="宋体" w:hAnsi="宋体" w:eastAsia="宋体"/>
          <w:color w:val="auto"/>
          <w:highlight w:val="none"/>
          <w:lang w:val="en-US" w:eastAsia="zh-CN"/>
        </w:rPr>
        <w:t>2.2 清单汇总表</w:t>
      </w:r>
    </w:p>
    <w:tbl>
      <w:tblPr>
        <w:tblStyle w:val="40"/>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944"/>
        <w:gridCol w:w="3361"/>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615"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高寒地区零碳智慧隧道智能降耗关键技术研究与试点应用科技创新项目清单汇总表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类别</w:t>
            </w:r>
          </w:p>
        </w:tc>
        <w:tc>
          <w:tcPr>
            <w:tcW w:w="202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p>
        </w:tc>
        <w:tc>
          <w:tcPr>
            <w:tcW w:w="0" w:type="auto"/>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施工图设计费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课题研究费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配套设施工程量清单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8" w:space="0"/>
              <w:bottom w:val="single" w:color="000000" w:sz="8"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pStyle w:val="3"/>
        <w:jc w:val="center"/>
        <w:rPr>
          <w:rFonts w:hint="default"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ascii="宋体" w:hAnsi="宋体" w:eastAsia="宋体"/>
          <w:color w:val="auto"/>
          <w:highlight w:val="none"/>
          <w:lang w:val="en-US" w:eastAsia="zh-CN"/>
        </w:rPr>
      </w:pPr>
    </w:p>
    <w:p>
      <w:pPr>
        <w:rPr>
          <w:rFonts w:hint="eastAsia"/>
          <w:color w:val="auto"/>
          <w:highlight w:val="none"/>
          <w:lang w:val="en-US" w:eastAsia="zh-CN"/>
        </w:rPr>
      </w:pPr>
    </w:p>
    <w:p>
      <w:pPr>
        <w:pStyle w:val="3"/>
        <w:jc w:val="center"/>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2.3 配套项目工程量清单报价表</w:t>
      </w:r>
    </w:p>
    <w:tbl>
      <w:tblPr>
        <w:tblStyle w:val="40"/>
        <w:tblW w:w="9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885"/>
        <w:gridCol w:w="3045"/>
        <w:gridCol w:w="2640"/>
        <w:gridCol w:w="1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262" w:type="dxa"/>
            <w:gridSpan w:val="5"/>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配套项目工程量清单汇总表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275" w:type="dxa"/>
            <w:gridSpan w:val="4"/>
            <w:tcBorders>
              <w:top w:val="nil"/>
              <w:left w:val="nil"/>
              <w:right w:val="nil"/>
            </w:tcBorders>
            <w:shd w:val="clear" w:color="auto" w:fill="FFFFFF"/>
            <w:vAlign w:val="center"/>
          </w:tcPr>
          <w:p>
            <w:pPr>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合同段：高寒地区零碳智慧隧道智能降耗关键技术研究与试点应用科技创新项目</w:t>
            </w:r>
          </w:p>
        </w:tc>
        <w:tc>
          <w:tcPr>
            <w:tcW w:w="1987"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 w:hRule="atLeast"/>
        </w:trPr>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88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304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264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98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0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章次</w:t>
            </w:r>
          </w:p>
        </w:tc>
        <w:tc>
          <w:tcPr>
            <w:tcW w:w="5685"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科目名称</w:t>
            </w:r>
          </w:p>
        </w:tc>
        <w:tc>
          <w:tcPr>
            <w:tcW w:w="198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568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总则</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w:t>
            </w:r>
          </w:p>
        </w:tc>
        <w:tc>
          <w:tcPr>
            <w:tcW w:w="568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隧道机电</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第100章至第1500章合计</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已包含在清单合计中的材料、工程设备、专业工程暂估价合计</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清单合计减去材料、工程设备、专业工程暂估价合计</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计日工合计</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暂列金额（第100章和1500章合计金额的4%）</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57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总金额</w:t>
            </w: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0" w:hRule="atLeast"/>
        </w:trPr>
        <w:tc>
          <w:tcPr>
            <w:tcW w:w="705"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6570" w:type="dxa"/>
            <w:gridSpan w:val="3"/>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987"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bl>
    <w:p>
      <w:pPr>
        <w:rPr>
          <w:rFonts w:hint="default"/>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tbl>
      <w:tblPr>
        <w:tblStyle w:val="40"/>
        <w:tblW w:w="94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3750"/>
        <w:gridCol w:w="705"/>
        <w:gridCol w:w="1065"/>
        <w:gridCol w:w="1065"/>
        <w:gridCol w:w="1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423"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配套项目工程量清单表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470" w:type="dxa"/>
            <w:gridSpan w:val="5"/>
            <w:tcBorders>
              <w:top w:val="nil"/>
              <w:left w:val="nil"/>
              <w:right w:val="nil"/>
            </w:tcBorders>
            <w:shd w:val="clear" w:color="auto" w:fill="FFFFFF"/>
            <w:vAlign w:val="center"/>
          </w:tcPr>
          <w:p>
            <w:pPr>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合同段：高寒地区零碳智慧隧道智能降耗关键技术研究与试点应用科技创新项目</w:t>
            </w:r>
          </w:p>
        </w:tc>
        <w:tc>
          <w:tcPr>
            <w:tcW w:w="1953"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88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37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06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06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95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423" w:type="dxa"/>
            <w:gridSpan w:val="6"/>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19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  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竣（交）工文件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竣（交）工验收费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设计</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联合设计</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总额</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18"/>
                <w:szCs w:val="18"/>
                <w:highlight w:val="none"/>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423" w:type="dxa"/>
            <w:gridSpan w:val="6"/>
            <w:tcBorders>
              <w:top w:val="nil"/>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清单 第100章  合计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70" w:type="dxa"/>
            <w:gridSpan w:val="5"/>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清单   第 1 页</w:t>
            </w:r>
          </w:p>
        </w:tc>
        <w:tc>
          <w:tcPr>
            <w:tcW w:w="195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423"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kern w:val="0"/>
                <w:sz w:val="36"/>
                <w:szCs w:val="36"/>
                <w:highlight w:val="none"/>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配套项目工程量清单表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7470" w:type="dxa"/>
            <w:gridSpan w:val="5"/>
            <w:tcBorders>
              <w:top w:val="nil"/>
              <w:left w:val="nil"/>
              <w:right w:val="nil"/>
            </w:tcBorders>
            <w:shd w:val="clear" w:color="auto" w:fill="FFFFFF"/>
            <w:vAlign w:val="center"/>
          </w:tcPr>
          <w:p>
            <w:pPr>
              <w:jc w:val="left"/>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合同段：高寒地区零碳智慧隧道智能降耗关键技术研究与试点应用科技创新项目</w:t>
            </w:r>
          </w:p>
        </w:tc>
        <w:tc>
          <w:tcPr>
            <w:tcW w:w="1953"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 w:hRule="atLeast"/>
        </w:trPr>
        <w:tc>
          <w:tcPr>
            <w:tcW w:w="88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37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06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06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c>
          <w:tcPr>
            <w:tcW w:w="195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423" w:type="dxa"/>
            <w:gridSpan w:val="6"/>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清单  第1500章  隧道机电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195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照明灯具</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 LED 灯具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2428</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 LED 灯具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264</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 LED 灯具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960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 LED 灯具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576</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雷达型调光控制器</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183</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网关型调光控制器</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12</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网联边缘控制主机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6</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物联网随车调光系统控制软件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2</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工作站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-j</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洞外亮度检测器</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8</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-k</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洞内照度检测器</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洞口车辆检测器</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8</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信号电缆ZB-RVSP-0.3KV-2×2.5mm2</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20900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控制电缆ZBN-KVVP-0.45/0.75KV-2×1.5mm2</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3600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控制电缆ZBN-KVVP-0.45/0.75KV-6×1.5mm2</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2400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网线UTP-6</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600</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-q</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既有设施拆除及移交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06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auto"/>
                <w:sz w:val="16"/>
                <w:szCs w:val="16"/>
                <w:highlight w:val="none"/>
                <w:u w:val="none"/>
              </w:rPr>
            </w:pPr>
            <w:r>
              <w:rPr>
                <w:rFonts w:hint="default" w:ascii="Arial Narrow" w:hAnsi="Arial Narrow" w:eastAsia="Arial Narrow" w:cs="Arial Narrow"/>
                <w:i w:val="0"/>
                <w:iCs w:val="0"/>
                <w:color w:val="auto"/>
                <w:kern w:val="0"/>
                <w:sz w:val="16"/>
                <w:szCs w:val="16"/>
                <w:highlight w:val="none"/>
                <w:u w:val="none"/>
                <w:lang w:val="en-US" w:eastAsia="zh-CN" w:bidi="ar"/>
              </w:rPr>
              <w:t>1</w:t>
            </w: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9" w:hRule="atLeast"/>
        </w:trPr>
        <w:tc>
          <w:tcPr>
            <w:tcW w:w="885" w:type="dxa"/>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auto"/>
                <w:sz w:val="18"/>
                <w:szCs w:val="18"/>
                <w:highlight w:val="none"/>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06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c>
          <w:tcPr>
            <w:tcW w:w="195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423" w:type="dxa"/>
            <w:gridSpan w:val="6"/>
            <w:tcBorders>
              <w:top w:val="nil"/>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清单  第1500章  合计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70" w:type="dxa"/>
            <w:gridSpan w:val="5"/>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清单   第 2 页</w:t>
            </w:r>
          </w:p>
        </w:tc>
        <w:tc>
          <w:tcPr>
            <w:tcW w:w="1953"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共 2 页</w:t>
            </w:r>
          </w:p>
        </w:tc>
      </w:tr>
    </w:tbl>
    <w:p>
      <w:pPr>
        <w:pStyle w:val="3"/>
        <w:jc w:val="center"/>
        <w:rPr>
          <w:rFonts w:hint="eastAsia" w:ascii="宋体" w:hAnsi="宋体" w:eastAsia="宋体"/>
          <w:color w:val="auto"/>
          <w:highlight w:val="none"/>
          <w:lang w:val="en-US" w:eastAsia="zh-CN"/>
        </w:rPr>
      </w:pPr>
    </w:p>
    <w:p>
      <w:pPr>
        <w:pStyle w:val="3"/>
        <w:jc w:val="center"/>
        <w:rPr>
          <w:rFonts w:ascii="宋体" w:hAnsi="宋体" w:eastAsia="宋体"/>
          <w:color w:val="auto"/>
          <w:highlight w:val="none"/>
        </w:rPr>
      </w:pPr>
      <w:r>
        <w:rPr>
          <w:rFonts w:hint="eastAsia" w:ascii="宋体" w:hAnsi="宋体" w:eastAsia="宋体"/>
          <w:color w:val="auto"/>
          <w:highlight w:val="none"/>
          <w:lang w:val="en-US" w:eastAsia="zh-CN"/>
        </w:rPr>
        <w:t>3</w:t>
      </w:r>
      <w:r>
        <w:rPr>
          <w:rFonts w:ascii="宋体" w:hAnsi="宋体" w:eastAsia="宋体"/>
          <w:color w:val="auto"/>
          <w:highlight w:val="none"/>
        </w:rPr>
        <w:t>、</w:t>
      </w:r>
      <w:r>
        <w:rPr>
          <w:rFonts w:hint="eastAsia" w:ascii="宋体" w:hAnsi="宋体" w:eastAsia="宋体"/>
          <w:color w:val="auto"/>
          <w:highlight w:val="none"/>
        </w:rPr>
        <w:t>企业营业执照或事业单位法人证书</w:t>
      </w:r>
      <w:bookmarkEnd w:id="55"/>
      <w:bookmarkEnd w:id="56"/>
      <w:bookmarkEnd w:id="57"/>
      <w:r>
        <w:rPr>
          <w:rFonts w:hint="eastAsia" w:ascii="宋体" w:hAnsi="宋体" w:eastAsia="宋体"/>
          <w:color w:val="auto"/>
          <w:highlight w:val="none"/>
        </w:rPr>
        <w:t>（复印件加盖公章）</w:t>
      </w:r>
    </w:p>
    <w:p>
      <w:pPr>
        <w:spacing w:line="440" w:lineRule="exact"/>
        <w:jc w:val="center"/>
        <w:rPr>
          <w:rFonts w:ascii="宋体" w:hAnsi="宋体"/>
          <w:color w:val="auto"/>
          <w:highlight w:val="none"/>
        </w:rPr>
      </w:pPr>
      <w:r>
        <w:rPr>
          <w:rFonts w:hint="eastAsia" w:ascii="宋体" w:hAnsi="宋体"/>
          <w:b/>
          <w:color w:val="auto"/>
          <w:szCs w:val="21"/>
          <w:highlight w:val="none"/>
        </w:rPr>
        <w:t>注：以联合体形式揭榜的，联合体各成员应分别提供。</w:t>
      </w:r>
    </w:p>
    <w:p>
      <w:pPr>
        <w:spacing w:line="480" w:lineRule="auto"/>
        <w:ind w:firstLine="2851" w:firstLineChars="1358"/>
        <w:rPr>
          <w:rFonts w:ascii="宋体" w:hAnsi="宋体"/>
          <w:color w:val="auto"/>
          <w:highlight w:val="none"/>
        </w:rPr>
      </w:pPr>
    </w:p>
    <w:p>
      <w:pPr>
        <w:spacing w:line="440" w:lineRule="exact"/>
        <w:rPr>
          <w:rFonts w:ascii="宋体" w:hAnsi="宋体"/>
          <w:color w:val="auto"/>
          <w:sz w:val="20"/>
          <w:highlight w:val="none"/>
        </w:rPr>
      </w:pPr>
    </w:p>
    <w:p>
      <w:pPr>
        <w:spacing w:line="440" w:lineRule="exact"/>
        <w:jc w:val="center"/>
        <w:rPr>
          <w:rFonts w:ascii="宋体" w:hAnsi="宋体"/>
          <w:color w:val="auto"/>
          <w:sz w:val="20"/>
          <w:highlight w:val="none"/>
        </w:rPr>
      </w:pPr>
      <w:r>
        <w:rPr>
          <w:rFonts w:ascii="宋体" w:hAnsi="宋体"/>
          <w:color w:val="auto"/>
          <w:sz w:val="20"/>
          <w:highlight w:val="none"/>
        </w:rPr>
        <w:br w:type="page"/>
      </w:r>
    </w:p>
    <w:p>
      <w:pPr>
        <w:pStyle w:val="3"/>
        <w:jc w:val="center"/>
        <w:rPr>
          <w:rFonts w:ascii="宋体" w:hAnsi="宋体" w:eastAsia="宋体"/>
          <w:color w:val="auto"/>
          <w:highlight w:val="none"/>
        </w:rPr>
      </w:pPr>
      <w:bookmarkStart w:id="60" w:name="_Toc23438"/>
      <w:bookmarkStart w:id="61" w:name="_Toc492300724"/>
      <w:bookmarkStart w:id="62" w:name="_Toc27549"/>
      <w:r>
        <w:rPr>
          <w:rFonts w:hint="eastAsia" w:ascii="宋体" w:hAnsi="宋体" w:eastAsia="宋体"/>
          <w:color w:val="auto"/>
          <w:highlight w:val="none"/>
          <w:lang w:val="en-US" w:eastAsia="zh-CN"/>
        </w:rPr>
        <w:t>4</w:t>
      </w:r>
      <w:r>
        <w:rPr>
          <w:rFonts w:ascii="宋体" w:hAnsi="宋体" w:eastAsia="宋体"/>
          <w:color w:val="auto"/>
          <w:highlight w:val="none"/>
        </w:rPr>
        <w:t>、</w:t>
      </w:r>
      <w:r>
        <w:rPr>
          <w:rFonts w:hint="eastAsia" w:ascii="宋体" w:hAnsi="宋体" w:eastAsia="宋体"/>
          <w:color w:val="auto"/>
          <w:highlight w:val="none"/>
        </w:rPr>
        <w:t>项目负责人</w:t>
      </w:r>
      <w:r>
        <w:rPr>
          <w:rFonts w:ascii="宋体" w:hAnsi="宋体" w:eastAsia="宋体"/>
          <w:color w:val="auto"/>
          <w:highlight w:val="none"/>
        </w:rPr>
        <w:t>委托书</w:t>
      </w:r>
      <w:bookmarkEnd w:id="60"/>
      <w:bookmarkEnd w:id="61"/>
      <w:bookmarkEnd w:id="62"/>
    </w:p>
    <w:p>
      <w:pPr>
        <w:spacing w:line="440" w:lineRule="exact"/>
        <w:rPr>
          <w:rFonts w:ascii="宋体" w:hAnsi="宋体"/>
          <w:color w:val="auto"/>
          <w:highlight w:val="none"/>
        </w:rPr>
      </w:pPr>
    </w:p>
    <w:p>
      <w:p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sz w:val="24"/>
          <w:szCs w:val="24"/>
          <w:highlight w:val="none"/>
        </w:rPr>
        <w:t>。</w:t>
      </w:r>
      <w:r>
        <w:rPr>
          <w:rFonts w:hint="eastAsia" w:ascii="宋体" w:hAnsi="宋体"/>
          <w:sz w:val="24"/>
          <w:szCs w:val="24"/>
          <w:highlight w:val="none"/>
          <w:lang w:val="en-US" w:eastAsia="zh-CN"/>
        </w:rPr>
        <w:t>项目负责人</w:t>
      </w:r>
      <w:r>
        <w:rPr>
          <w:rFonts w:hint="eastAsia" w:ascii="宋体" w:hAnsi="宋体"/>
          <w:sz w:val="24"/>
          <w:szCs w:val="24"/>
          <w:highlight w:val="none"/>
        </w:rPr>
        <w:t>根据授权</w:t>
      </w:r>
      <w:r>
        <w:rPr>
          <w:rFonts w:hint="eastAsia" w:ascii="宋体" w:hAnsi="宋体"/>
          <w:sz w:val="24"/>
          <w:szCs w:val="24"/>
          <w:highlight w:val="none"/>
          <w:lang w:val="en-US" w:eastAsia="zh-CN"/>
        </w:rPr>
        <w:t>具有以下权利：</w:t>
      </w:r>
    </w:p>
    <w:p>
      <w:pPr>
        <w:numPr>
          <w:ilvl w:val="0"/>
          <w:numId w:val="2"/>
        </w:num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揭榜响应文件、签订合同和处理有关事宜，其法律后果由我方承担。</w:t>
      </w:r>
    </w:p>
    <w:p>
      <w:pPr>
        <w:numPr>
          <w:ilvl w:val="0"/>
          <w:numId w:val="2"/>
        </w:num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委托期限：自本委托书签署之日起至</w:t>
      </w:r>
      <w:r>
        <w:rPr>
          <w:rFonts w:hint="eastAsia" w:ascii="宋体" w:hAnsi="宋体"/>
          <w:sz w:val="24"/>
          <w:szCs w:val="24"/>
          <w:highlight w:val="none"/>
          <w:lang w:val="en-US" w:eastAsia="zh-CN"/>
        </w:rPr>
        <w:t>履约完成止</w:t>
      </w:r>
      <w:r>
        <w:rPr>
          <w:rFonts w:hint="eastAsia" w:ascii="宋体" w:hAnsi="宋体"/>
          <w:sz w:val="24"/>
          <w:szCs w:val="24"/>
          <w:highlight w:val="none"/>
        </w:rPr>
        <w:t>。</w:t>
      </w:r>
    </w:p>
    <w:p>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项目负责人</w:t>
      </w:r>
      <w:r>
        <w:rPr>
          <w:rFonts w:hint="eastAsia" w:ascii="宋体" w:hAnsi="宋体"/>
          <w:sz w:val="24"/>
          <w:szCs w:val="24"/>
          <w:highlight w:val="none"/>
        </w:rPr>
        <w:t>无转委托权。</w:t>
      </w:r>
    </w:p>
    <w:p>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附：法定代表人</w:t>
      </w:r>
      <w:r>
        <w:rPr>
          <w:rFonts w:hint="eastAsia" w:ascii="宋体" w:hAnsi="宋体"/>
          <w:sz w:val="24"/>
          <w:szCs w:val="24"/>
          <w:highlight w:val="none"/>
          <w:lang w:eastAsia="zh-CN"/>
        </w:rPr>
        <w:t>（</w:t>
      </w:r>
      <w:r>
        <w:rPr>
          <w:rFonts w:hint="eastAsia" w:ascii="宋体" w:hAnsi="宋体"/>
          <w:sz w:val="24"/>
          <w:szCs w:val="24"/>
          <w:highlight w:val="none"/>
          <w:lang w:val="en-US" w:eastAsia="zh-CN"/>
        </w:rPr>
        <w:t>企业负责人</w:t>
      </w:r>
      <w:r>
        <w:rPr>
          <w:rFonts w:hint="eastAsia" w:ascii="宋体" w:hAnsi="宋体"/>
          <w:sz w:val="24"/>
          <w:szCs w:val="24"/>
          <w:highlight w:val="none"/>
          <w:lang w:eastAsia="zh-CN"/>
        </w:rPr>
        <w:t>）</w:t>
      </w:r>
      <w:r>
        <w:rPr>
          <w:rFonts w:hint="eastAsia" w:ascii="宋体" w:hAnsi="宋体"/>
          <w:sz w:val="24"/>
          <w:szCs w:val="24"/>
          <w:highlight w:val="none"/>
        </w:rPr>
        <w:t>身份证复印件及</w:t>
      </w:r>
      <w:r>
        <w:rPr>
          <w:rFonts w:hint="eastAsia" w:ascii="宋体" w:hAnsi="宋体"/>
          <w:sz w:val="24"/>
          <w:szCs w:val="24"/>
          <w:highlight w:val="none"/>
          <w:lang w:val="en-US" w:eastAsia="zh-CN"/>
        </w:rPr>
        <w:t>项目负责人</w:t>
      </w:r>
      <w:r>
        <w:rPr>
          <w:rFonts w:hint="eastAsia" w:ascii="宋体" w:hAnsi="宋体"/>
          <w:sz w:val="24"/>
          <w:szCs w:val="24"/>
          <w:highlight w:val="none"/>
        </w:rPr>
        <w:t>身份证复印件。</w:t>
      </w:r>
    </w:p>
    <w:p>
      <w:pPr>
        <w:autoSpaceDE w:val="0"/>
        <w:autoSpaceDN w:val="0"/>
        <w:spacing w:line="360" w:lineRule="auto"/>
        <w:ind w:firstLine="200"/>
        <w:jc w:val="left"/>
        <w:rPr>
          <w:rFonts w:ascii="宋体" w:hAnsi="宋体"/>
          <w:highlight w:val="none"/>
        </w:rPr>
      </w:pPr>
      <w:r>
        <w:rPr>
          <w:rFonts w:hint="eastAsia" w:ascii="宋体" w:hAnsi="宋体" w:cs="宋体"/>
          <w:kern w:val="0"/>
          <w:sz w:val="24"/>
          <w:szCs w:val="24"/>
          <w:highlight w:val="none"/>
        </w:rPr>
        <w:t xml:space="preserve">  附：项目负责人身份证复印件。</w:t>
      </w:r>
    </w:p>
    <w:p>
      <w:pPr>
        <w:keepNext w:val="0"/>
        <w:keepLines w:val="0"/>
        <w:pageBreakBefore w:val="0"/>
        <w:widowControl w:val="0"/>
        <w:kinsoku/>
        <w:wordWrap/>
        <w:overflowPunct/>
        <w:topLinePunct w:val="0"/>
        <w:bidi w:val="0"/>
        <w:adjustRightInd/>
        <w:snapToGrid/>
        <w:spacing w:line="360" w:lineRule="auto"/>
        <w:textAlignment w:val="auto"/>
        <w:rPr>
          <w:rFonts w:ascii="宋体" w:hAnsi="宋体"/>
          <w:highlight w:val="none"/>
        </w:rPr>
      </w:pP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u w:val="single"/>
        </w:rPr>
      </w:pPr>
      <w:r>
        <w:rPr>
          <w:rFonts w:hint="eastAsia" w:ascii="宋体" w:hAnsi="宋体"/>
          <w:sz w:val="24"/>
          <w:szCs w:val="24"/>
          <w:highlight w:val="none"/>
        </w:rPr>
        <w:t>揭榜</w:t>
      </w:r>
      <w:r>
        <w:rPr>
          <w:rFonts w:hint="eastAsia" w:ascii="宋体" w:hAnsi="宋体" w:cs="宋体"/>
          <w:kern w:val="0"/>
          <w:sz w:val="24"/>
          <w:szCs w:val="24"/>
          <w:highlight w:val="none"/>
        </w:rPr>
        <w:t>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r>
        <w:rPr>
          <w:rFonts w:hint="eastAsia" w:ascii="宋体" w:hAnsi="宋体" w:cs="宋体"/>
          <w:kern w:val="0"/>
          <w:sz w:val="24"/>
          <w:szCs w:val="24"/>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sz w:val="24"/>
          <w:szCs w:val="24"/>
          <w:highlight w:val="none"/>
        </w:rPr>
      </w:pPr>
      <w:r>
        <w:rPr>
          <w:rFonts w:hint="eastAsia" w:ascii="宋体" w:hAnsi="宋体" w:cs="宋体"/>
          <w:b/>
          <w:bCs/>
          <w:kern w:val="0"/>
          <w:sz w:val="24"/>
          <w:szCs w:val="24"/>
          <w:highlight w:val="none"/>
        </w:rPr>
        <w:t>注：以联合体形式揭榜的，需按以下格式签字、盖章：</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cs="宋体"/>
          <w:kern w:val="0"/>
          <w:sz w:val="24"/>
          <w:szCs w:val="24"/>
          <w:highlight w:val="none"/>
          <w:lang w:val="en-US" w:eastAsia="zh-CN"/>
        </w:rPr>
        <w:t>联合体</w:t>
      </w:r>
      <w:r>
        <w:rPr>
          <w:rFonts w:hint="eastAsia" w:ascii="宋体" w:hAnsi="宋体" w:cs="宋体"/>
          <w:kern w:val="0"/>
          <w:sz w:val="24"/>
          <w:szCs w:val="24"/>
          <w:highlight w:val="none"/>
        </w:rPr>
        <w:t>牵头人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p>
    <w:p>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highlight w:val="none"/>
        </w:rPr>
      </w:pPr>
      <w:r>
        <w:rPr>
          <w:rFonts w:hint="eastAsia" w:ascii="宋体" w:hAnsi="宋体" w:cs="宋体"/>
          <w:kern w:val="0"/>
          <w:sz w:val="24"/>
          <w:szCs w:val="24"/>
          <w:highlight w:val="none"/>
        </w:rPr>
        <w:t>成员单位名称：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（盖单位章）                          </w:t>
      </w:r>
    </w:p>
    <w:p>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pPr>
        <w:wordWrap w:val="0"/>
        <w:spacing w:line="480" w:lineRule="auto"/>
        <w:ind w:firstLine="4636" w:firstLineChars="1932"/>
        <w:jc w:val="right"/>
        <w:rPr>
          <w:rFonts w:ascii="宋体" w:hAnsi="宋体"/>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pPr>
        <w:spacing w:line="480" w:lineRule="auto"/>
        <w:ind w:firstLine="3117" w:firstLineChars="1299"/>
        <w:rPr>
          <w:rFonts w:hint="eastAsia" w:ascii="宋体" w:hAnsi="宋体" w:cs="宋体"/>
          <w:color w:val="auto"/>
          <w:kern w:val="0"/>
          <w:sz w:val="24"/>
          <w:szCs w:val="24"/>
          <w:highlight w:val="none"/>
        </w:rPr>
      </w:pPr>
    </w:p>
    <w:p>
      <w:pPr>
        <w:wordWrap w:val="0"/>
        <w:spacing w:line="480" w:lineRule="auto"/>
        <w:jc w:val="both"/>
        <w:rPr>
          <w:rFonts w:ascii="宋体" w:hAnsi="宋体"/>
          <w:color w:val="auto"/>
          <w:highlight w:val="none"/>
        </w:rPr>
      </w:pPr>
    </w:p>
    <w:p>
      <w:pPr>
        <w:pStyle w:val="3"/>
        <w:spacing w:after="0"/>
        <w:jc w:val="center"/>
        <w:rPr>
          <w:rFonts w:ascii="宋体" w:hAnsi="宋体" w:eastAsia="宋体"/>
          <w:color w:val="auto"/>
          <w:highlight w:val="none"/>
        </w:rPr>
      </w:pPr>
      <w:bookmarkStart w:id="63" w:name="_Toc24585"/>
      <w:bookmarkStart w:id="64" w:name="_Toc492300728"/>
      <w:bookmarkStart w:id="65" w:name="_Toc26021"/>
      <w:bookmarkStart w:id="66" w:name="_Toc361508760"/>
      <w:r>
        <w:rPr>
          <w:rFonts w:hint="eastAsia" w:ascii="宋体" w:hAnsi="宋体" w:eastAsia="宋体"/>
          <w:color w:val="auto"/>
          <w:highlight w:val="none"/>
          <w:lang w:val="en-US" w:eastAsia="zh-CN"/>
        </w:rPr>
        <w:t>5</w:t>
      </w:r>
      <w:r>
        <w:rPr>
          <w:rFonts w:ascii="宋体" w:hAnsi="宋体" w:eastAsia="宋体"/>
          <w:color w:val="auto"/>
          <w:highlight w:val="none"/>
        </w:rPr>
        <w:t>、</w:t>
      </w:r>
      <w:r>
        <w:rPr>
          <w:rFonts w:hint="eastAsia" w:ascii="宋体" w:hAnsi="宋体" w:eastAsia="宋体"/>
          <w:color w:val="auto"/>
          <w:highlight w:val="none"/>
        </w:rPr>
        <w:t>联合体协议书</w:t>
      </w:r>
    </w:p>
    <w:p>
      <w:pPr>
        <w:rPr>
          <w:color w:val="auto"/>
          <w:highlight w:val="none"/>
        </w:rPr>
      </w:pP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（所有成员单位名称）自愿组成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（联合体名称）联合体，共同参加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（项目名称）科技创新项目“揭榜挂帅”的揭榜响应。现就联合体揭榜事宜订立如下协议。</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（某成员单位名称）为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（联合体名称）牵头人。</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3、联合体将严格按照榜单的各项要求，递交揭榜响应文件，履行合同，并对外承担连带责任。</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4、联合体各成员单位内部的职责分工如下：</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成员负责：</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5、本协议书自签署之日起生效，合同履行完毕后自动失效。 </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6、本协议书一式</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份，联合体成员和</w:t>
      </w:r>
      <w:r>
        <w:rPr>
          <w:rFonts w:hint="eastAsia" w:ascii="宋体" w:hAnsi="宋体" w:cs="宋体"/>
          <w:color w:val="auto"/>
          <w:kern w:val="0"/>
          <w:sz w:val="24"/>
          <w:szCs w:val="24"/>
          <w:highlight w:val="none"/>
          <w:lang w:eastAsia="zh-CN"/>
        </w:rPr>
        <w:t>用户单位</w:t>
      </w:r>
      <w:r>
        <w:rPr>
          <w:rFonts w:hint="eastAsia" w:ascii="宋体" w:hAnsi="宋体" w:cs="宋体"/>
          <w:color w:val="auto"/>
          <w:kern w:val="0"/>
          <w:sz w:val="24"/>
          <w:szCs w:val="24"/>
          <w:highlight w:val="none"/>
        </w:rPr>
        <w:t>各执一份。</w:t>
      </w:r>
    </w:p>
    <w:p>
      <w:pPr>
        <w:autoSpaceDE w:val="0"/>
        <w:autoSpaceDN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注：本协议书由委托代理人签字的，应附法定代表人签字的授权委托书。</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牵头人名称：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480" w:lineRule="auto"/>
        <w:ind w:firstLine="480" w:firstLineChars="200"/>
        <w:jc w:val="left"/>
        <w:rPr>
          <w:rFonts w:ascii="宋体" w:hAnsi="宋体" w:cs="宋体"/>
          <w:color w:val="auto"/>
          <w:kern w:val="0"/>
          <w:sz w:val="24"/>
          <w:szCs w:val="24"/>
          <w:highlight w:val="none"/>
        </w:rPr>
      </w:pP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成员名称：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（盖单位章）</w:t>
      </w:r>
    </w:p>
    <w:p>
      <w:pPr>
        <w:autoSpaceDE w:val="0"/>
        <w:autoSpaceDN w:val="0"/>
        <w:spacing w:line="48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autoSpaceDE w:val="0"/>
        <w:autoSpaceDN w:val="0"/>
        <w:spacing w:line="360" w:lineRule="auto"/>
        <w:jc w:val="left"/>
        <w:rPr>
          <w:color w:val="auto"/>
          <w:highlight w:val="none"/>
        </w:rPr>
        <w:sectPr>
          <w:pgSz w:w="12240" w:h="15840"/>
          <w:pgMar w:top="1418" w:right="1418" w:bottom="1418" w:left="1418" w:header="720" w:footer="720" w:gutter="0"/>
          <w:cols w:space="720" w:num="1"/>
          <w:docGrid w:linePitch="285" w:charSpace="0"/>
        </w:sect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pStyle w:val="3"/>
        <w:spacing w:after="0"/>
        <w:jc w:val="center"/>
        <w:rPr>
          <w:rFonts w:ascii="宋体" w:hAnsi="宋体" w:eastAsia="宋体"/>
          <w:color w:val="auto"/>
          <w:highlight w:val="none"/>
        </w:rPr>
      </w:pPr>
      <w:r>
        <w:rPr>
          <w:rFonts w:hint="eastAsia" w:ascii="宋体" w:hAnsi="宋体" w:eastAsia="宋体"/>
          <w:color w:val="auto"/>
          <w:highlight w:val="none"/>
          <w:lang w:val="en-US" w:eastAsia="zh-CN"/>
        </w:rPr>
        <w:t>6</w:t>
      </w:r>
      <w:r>
        <w:rPr>
          <w:rFonts w:ascii="宋体" w:hAnsi="宋体" w:eastAsia="宋体"/>
          <w:color w:val="auto"/>
          <w:highlight w:val="none"/>
        </w:rPr>
        <w:t>、</w:t>
      </w:r>
      <w:bookmarkEnd w:id="63"/>
      <w:bookmarkEnd w:id="64"/>
      <w:bookmarkEnd w:id="65"/>
      <w:r>
        <w:rPr>
          <w:rFonts w:hint="eastAsia" w:ascii="宋体" w:hAnsi="宋体" w:eastAsia="宋体"/>
          <w:color w:val="auto"/>
          <w:highlight w:val="none"/>
        </w:rPr>
        <w:t>揭榜人基本情况</w:t>
      </w:r>
    </w:p>
    <w:p>
      <w:pPr>
        <w:pStyle w:val="4"/>
        <w:spacing w:before="20" w:after="0"/>
        <w:ind w:firstLine="137"/>
        <w:rPr>
          <w:rFonts w:ascii="宋体" w:hAnsi="宋体" w:eastAsia="宋体"/>
          <w:color w:val="auto"/>
          <w:highlight w:val="none"/>
        </w:rPr>
      </w:pPr>
      <w:bookmarkStart w:id="67" w:name="_Toc28405"/>
      <w:bookmarkStart w:id="68" w:name="_Toc492300729"/>
      <w:bookmarkStart w:id="69" w:name="_Toc27394"/>
      <w:r>
        <w:rPr>
          <w:rFonts w:ascii="宋体" w:hAnsi="宋体" w:eastAsia="宋体"/>
          <w:color w:val="auto"/>
          <w:highlight w:val="none"/>
        </w:rPr>
        <w:t>（一）</w:t>
      </w:r>
      <w:bookmarkEnd w:id="67"/>
      <w:bookmarkEnd w:id="68"/>
      <w:bookmarkEnd w:id="69"/>
      <w:r>
        <w:rPr>
          <w:rFonts w:hint="eastAsia" w:ascii="宋体" w:hAnsi="宋体" w:eastAsia="宋体"/>
          <w:color w:val="auto"/>
          <w:highlight w:val="none"/>
        </w:rPr>
        <w:t>项目团队组成</w:t>
      </w:r>
    </w:p>
    <w:tbl>
      <w:tblPr>
        <w:tblStyle w:val="40"/>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本项目拟担任</w:t>
            </w:r>
            <w:r>
              <w:rPr>
                <w:rFonts w:ascii="宋体" w:hAnsi="宋体" w:cs="仿宋_GB2312"/>
                <w:color w:val="auto"/>
                <w:kern w:val="0"/>
                <w:szCs w:val="21"/>
                <w:highlight w:val="none"/>
                <w:lang w:eastAsia="en-US"/>
              </w:rPr>
              <w:t>职务</w:t>
            </w: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姓名</w:t>
            </w:r>
          </w:p>
        </w:tc>
        <w:tc>
          <w:tcPr>
            <w:tcW w:w="1180" w:type="pct"/>
            <w:vAlign w:val="center"/>
          </w:tcPr>
          <w:p>
            <w:pPr>
              <w:autoSpaceDE w:val="0"/>
              <w:autoSpaceDN w:val="0"/>
              <w:spacing w:line="4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单位</w:t>
            </w:r>
          </w:p>
        </w:tc>
        <w:tc>
          <w:tcPr>
            <w:tcW w:w="798" w:type="pct"/>
            <w:vAlign w:val="center"/>
          </w:tcPr>
          <w:p>
            <w:pPr>
              <w:autoSpaceDE w:val="0"/>
              <w:autoSpaceDN w:val="0"/>
              <w:spacing w:line="440" w:lineRule="exact"/>
              <w:jc w:val="center"/>
              <w:rPr>
                <w:rFonts w:ascii="宋体" w:hAnsi="宋体" w:cs="仿宋_GB2312"/>
                <w:color w:val="auto"/>
                <w:kern w:val="0"/>
                <w:szCs w:val="21"/>
                <w:highlight w:val="none"/>
              </w:rPr>
            </w:pPr>
            <w:r>
              <w:rPr>
                <w:rFonts w:ascii="宋体" w:hAnsi="宋体" w:cs="仿宋_GB2312"/>
                <w:color w:val="auto"/>
                <w:kern w:val="0"/>
                <w:szCs w:val="21"/>
                <w:highlight w:val="none"/>
                <w:lang w:eastAsia="en-US"/>
              </w:rPr>
              <w:t>职称</w:t>
            </w: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专业</w:t>
            </w: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vAlign w:val="center"/>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624"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1180"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798"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825" w:type="pct"/>
          </w:tcPr>
          <w:p>
            <w:pPr>
              <w:autoSpaceDE w:val="0"/>
              <w:autoSpaceDN w:val="0"/>
              <w:spacing w:line="440" w:lineRule="exact"/>
              <w:jc w:val="center"/>
              <w:rPr>
                <w:rFonts w:ascii="宋体" w:hAnsi="宋体" w:cs="仿宋_GB2312"/>
                <w:color w:val="auto"/>
                <w:kern w:val="0"/>
                <w:szCs w:val="21"/>
                <w:highlight w:val="none"/>
                <w:lang w:eastAsia="en-US"/>
              </w:rPr>
            </w:pPr>
          </w:p>
        </w:tc>
        <w:tc>
          <w:tcPr>
            <w:tcW w:w="944" w:type="pct"/>
          </w:tcPr>
          <w:p>
            <w:pPr>
              <w:autoSpaceDE w:val="0"/>
              <w:autoSpaceDN w:val="0"/>
              <w:spacing w:line="440" w:lineRule="exact"/>
              <w:jc w:val="center"/>
              <w:rPr>
                <w:rFonts w:ascii="宋体" w:hAnsi="宋体" w:cs="仿宋_GB2312"/>
                <w:color w:val="auto"/>
                <w:kern w:val="0"/>
                <w:szCs w:val="21"/>
                <w:highlight w:val="none"/>
                <w:lang w:eastAsia="en-US"/>
              </w:rPr>
            </w:pPr>
          </w:p>
        </w:tc>
      </w:tr>
    </w:tbl>
    <w:p>
      <w:pPr>
        <w:spacing w:line="400" w:lineRule="exact"/>
        <w:rPr>
          <w:rFonts w:ascii="宋体" w:hAnsi="宋体" w:cs="宋体"/>
          <w:color w:val="auto"/>
          <w:highlight w:val="none"/>
        </w:rPr>
      </w:pPr>
      <w:r>
        <w:rPr>
          <w:rFonts w:hint="eastAsia" w:ascii="宋体" w:hAnsi="宋体" w:cs="宋体"/>
          <w:color w:val="auto"/>
          <w:sz w:val="20"/>
          <w:highlight w:val="none"/>
        </w:rPr>
        <w:t>注：“职务”是指在项目团队中拟任职务，如“项目负责人”、“专业负责人”、“主研人员”等。</w:t>
      </w:r>
    </w:p>
    <w:p>
      <w:pPr>
        <w:spacing w:line="440" w:lineRule="exact"/>
        <w:rPr>
          <w:rFonts w:ascii="宋体" w:hAnsi="宋体"/>
          <w:color w:val="auto"/>
          <w:highlight w:val="none"/>
          <w:u w:val="single"/>
        </w:rPr>
      </w:pPr>
    </w:p>
    <w:p>
      <w:pPr>
        <w:pStyle w:val="4"/>
        <w:ind w:firstLine="137"/>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70" w:name="_Toc492300730"/>
      <w:bookmarkStart w:id="71" w:name="_Toc16883"/>
      <w:bookmarkStart w:id="72" w:name="_Toc24383"/>
      <w:bookmarkStart w:id="73" w:name="_Toc29290"/>
    </w:p>
    <w:p>
      <w:pPr>
        <w:pStyle w:val="4"/>
        <w:ind w:firstLine="137"/>
        <w:rPr>
          <w:rFonts w:ascii="宋体" w:hAnsi="宋体" w:eastAsia="宋体"/>
          <w:color w:val="auto"/>
          <w:highlight w:val="none"/>
        </w:rPr>
      </w:pPr>
      <w:r>
        <w:rPr>
          <w:rFonts w:ascii="宋体" w:hAnsi="宋体" w:eastAsia="宋体"/>
          <w:color w:val="auto"/>
          <w:highlight w:val="none"/>
        </w:rPr>
        <w:t>（二）</w:t>
      </w:r>
      <w:bookmarkEnd w:id="70"/>
      <w:bookmarkEnd w:id="71"/>
      <w:bookmarkEnd w:id="72"/>
      <w:bookmarkEnd w:id="73"/>
      <w:r>
        <w:rPr>
          <w:rFonts w:hint="eastAsia" w:ascii="宋体" w:hAnsi="宋体" w:eastAsia="宋体"/>
          <w:color w:val="auto"/>
          <w:highlight w:val="none"/>
        </w:rPr>
        <w:t>主要人员简历表</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1.“主要人员”是指“项目负责人”、“专业负责人”及在本项目排名前六名的“主研人员”。</w:t>
      </w:r>
    </w:p>
    <w:p>
      <w:pPr>
        <w:spacing w:line="360" w:lineRule="auto"/>
        <w:ind w:firstLine="400" w:firstLineChars="200"/>
        <w:rPr>
          <w:rFonts w:ascii="宋体" w:hAnsi="宋体"/>
          <w:color w:val="auto"/>
          <w:sz w:val="20"/>
          <w:szCs w:val="20"/>
          <w:highlight w:val="none"/>
        </w:rPr>
      </w:pPr>
      <w:r>
        <w:rPr>
          <w:rFonts w:hint="eastAsia" w:ascii="宋体" w:hAnsi="宋体"/>
          <w:color w:val="auto"/>
          <w:sz w:val="20"/>
          <w:szCs w:val="20"/>
          <w:highlight w:val="none"/>
        </w:rPr>
        <w:t>2.“主要人员”应附身份证、职称证、学历证，人才类别有效证明（国内外顶尖人才、国家级领军人才、地方级领军人才、地方级优秀人才、其他类别人才）。</w:t>
      </w:r>
    </w:p>
    <w:p>
      <w:pPr>
        <w:spacing w:line="360" w:lineRule="auto"/>
        <w:ind w:firstLine="400" w:firstLineChars="200"/>
        <w:rPr>
          <w:color w:val="auto"/>
          <w:highlight w:val="none"/>
        </w:rPr>
      </w:pPr>
      <w:r>
        <w:rPr>
          <w:rFonts w:hint="eastAsia" w:ascii="宋体" w:hAnsi="宋体"/>
          <w:color w:val="auto"/>
          <w:sz w:val="20"/>
          <w:szCs w:val="20"/>
          <w:highlight w:val="none"/>
        </w:rPr>
        <w:t>3.</w:t>
      </w:r>
      <w:r>
        <w:rPr>
          <w:rFonts w:hint="eastAsia"/>
          <w:color w:val="auto"/>
          <w:highlight w:val="none"/>
        </w:rPr>
        <w:t xml:space="preserve"> </w:t>
      </w:r>
      <w:r>
        <w:rPr>
          <w:rFonts w:hint="eastAsia" w:ascii="宋体" w:hAnsi="宋体"/>
          <w:color w:val="auto"/>
          <w:sz w:val="20"/>
          <w:szCs w:val="20"/>
          <w:highlight w:val="none"/>
        </w:rPr>
        <w:t>主要人员”作为项目负责人或主研人员参与过的类似科技创新项目</w:t>
      </w:r>
      <w:r>
        <w:rPr>
          <w:rFonts w:hint="eastAsia" w:ascii="宋体" w:hAnsi="宋体"/>
          <w:color w:val="auto"/>
          <w:sz w:val="20"/>
          <w:szCs w:val="20"/>
          <w:highlight w:val="none"/>
          <w:lang w:eastAsia="zh-CN"/>
        </w:rPr>
        <w:t>，</w:t>
      </w:r>
      <w:r>
        <w:rPr>
          <w:rFonts w:hint="eastAsia" w:ascii="宋体" w:hAnsi="宋体"/>
          <w:color w:val="auto"/>
          <w:sz w:val="20"/>
          <w:szCs w:val="20"/>
          <w:highlight w:val="none"/>
        </w:rPr>
        <w:t>附合同协议书复印件（本响应文件复印件均指彩色扫描输出件，下同）、项目鉴定证书复印件、项目获奖证书复印件。</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姓  名</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 龄</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学历</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称</w:t>
            </w:r>
          </w:p>
        </w:tc>
        <w:tc>
          <w:tcPr>
            <w:tcW w:w="1079"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927"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职 务</w:t>
            </w:r>
          </w:p>
        </w:tc>
        <w:tc>
          <w:tcPr>
            <w:tcW w:w="106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c>
          <w:tcPr>
            <w:tcW w:w="2130" w:type="dxa"/>
            <w:gridSpan w:val="3"/>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拟在本合同任职</w:t>
            </w:r>
          </w:p>
        </w:tc>
        <w:tc>
          <w:tcPr>
            <w:tcW w:w="2135" w:type="dxa"/>
            <w:vAlign w:val="center"/>
          </w:tcPr>
          <w:p>
            <w:pPr>
              <w:autoSpaceDE w:val="0"/>
              <w:autoSpaceDN w:val="0"/>
              <w:spacing w:line="288" w:lineRule="auto"/>
              <w:jc w:val="center"/>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毕业学校</w:t>
            </w:r>
          </w:p>
        </w:tc>
        <w:tc>
          <w:tcPr>
            <w:tcW w:w="7336" w:type="dxa"/>
            <w:gridSpan w:val="8"/>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hint="eastAsia" w:ascii="宋体" w:hAnsi="宋体" w:cs="仿宋_GB2312"/>
                <w:color w:val="auto"/>
                <w:kern w:val="0"/>
                <w:szCs w:val="21"/>
                <w:highlight w:val="none"/>
              </w:rPr>
              <w:t>人才类别：                             （按人才类别标准填写最高人才类别）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pPr>
              <w:autoSpaceDE w:val="0"/>
              <w:autoSpaceDN w:val="0"/>
              <w:spacing w:line="288" w:lineRule="auto"/>
              <w:jc w:val="left"/>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时  间</w:t>
            </w:r>
          </w:p>
        </w:tc>
        <w:tc>
          <w:tcPr>
            <w:tcW w:w="3420" w:type="dxa"/>
            <w:gridSpan w:val="4"/>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参加过的类似项目</w:t>
            </w:r>
          </w:p>
        </w:tc>
        <w:tc>
          <w:tcPr>
            <w:tcW w:w="1261" w:type="dxa"/>
            <w:vAlign w:val="center"/>
          </w:tcPr>
          <w:p>
            <w:pPr>
              <w:autoSpaceDE w:val="0"/>
              <w:autoSpaceDN w:val="0"/>
              <w:spacing w:line="288" w:lineRule="auto"/>
              <w:jc w:val="center"/>
              <w:rPr>
                <w:rFonts w:ascii="宋体" w:hAnsi="宋体" w:cs="仿宋_GB2312"/>
                <w:color w:val="auto"/>
                <w:kern w:val="0"/>
                <w:szCs w:val="21"/>
                <w:highlight w:val="none"/>
                <w:lang w:eastAsia="en-US"/>
              </w:rPr>
            </w:pPr>
            <w:r>
              <w:rPr>
                <w:rFonts w:ascii="宋体" w:hAnsi="宋体" w:cs="仿宋_GB2312"/>
                <w:color w:val="auto"/>
                <w:kern w:val="0"/>
                <w:szCs w:val="21"/>
                <w:highlight w:val="none"/>
                <w:lang w:eastAsia="en-US"/>
              </w:rPr>
              <w:t>担任职务</w:t>
            </w:r>
          </w:p>
        </w:tc>
        <w:tc>
          <w:tcPr>
            <w:tcW w:w="2296" w:type="dxa"/>
            <w:gridSpan w:val="2"/>
            <w:vAlign w:val="center"/>
          </w:tcPr>
          <w:p>
            <w:pPr>
              <w:autoSpaceDE w:val="0"/>
              <w:autoSpaceDN w:val="0"/>
              <w:spacing w:line="288" w:lineRule="auto"/>
              <w:ind w:firstLine="630" w:firstLineChars="30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3420" w:type="dxa"/>
            <w:gridSpan w:val="4"/>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1261" w:type="dxa"/>
            <w:vAlign w:val="center"/>
          </w:tcPr>
          <w:p>
            <w:pPr>
              <w:autoSpaceDE w:val="0"/>
              <w:autoSpaceDN w:val="0"/>
              <w:spacing w:line="288" w:lineRule="auto"/>
              <w:jc w:val="left"/>
              <w:rPr>
                <w:rFonts w:ascii="宋体" w:hAnsi="宋体" w:cs="仿宋_GB2312"/>
                <w:color w:val="auto"/>
                <w:kern w:val="0"/>
                <w:szCs w:val="21"/>
                <w:highlight w:val="none"/>
                <w:lang w:eastAsia="en-US"/>
              </w:rPr>
            </w:pPr>
          </w:p>
        </w:tc>
        <w:tc>
          <w:tcPr>
            <w:tcW w:w="2296" w:type="dxa"/>
            <w:gridSpan w:val="2"/>
            <w:vAlign w:val="center"/>
          </w:tcPr>
          <w:p>
            <w:pPr>
              <w:autoSpaceDE w:val="0"/>
              <w:autoSpaceDN w:val="0"/>
              <w:spacing w:line="288" w:lineRule="auto"/>
              <w:jc w:val="left"/>
              <w:rPr>
                <w:rFonts w:ascii="宋体" w:hAnsi="宋体" w:cs="仿宋_GB2312"/>
                <w:color w:val="auto"/>
                <w:kern w:val="0"/>
                <w:szCs w:val="21"/>
                <w:highlight w:val="none"/>
                <w:lang w:eastAsia="en-US"/>
              </w:rPr>
            </w:pPr>
          </w:p>
        </w:tc>
      </w:tr>
    </w:tbl>
    <w:p>
      <w:pPr>
        <w:spacing w:line="440" w:lineRule="exact"/>
        <w:rPr>
          <w:rFonts w:ascii="宋体" w:hAnsi="宋体"/>
          <w:color w:val="auto"/>
          <w:highlight w:val="none"/>
        </w:rPr>
      </w:pPr>
    </w:p>
    <w:p>
      <w:pPr>
        <w:spacing w:line="440" w:lineRule="exact"/>
        <w:rPr>
          <w:rFonts w:ascii="宋体" w:hAnsi="宋体"/>
          <w:color w:val="auto"/>
          <w:highlight w:val="none"/>
        </w:rPr>
      </w:pPr>
    </w:p>
    <w:p>
      <w:pPr>
        <w:pageBreakBefore/>
        <w:tabs>
          <w:tab w:val="left" w:pos="1283"/>
          <w:tab w:val="left" w:pos="1922"/>
        </w:tabs>
        <w:autoSpaceDE w:val="0"/>
        <w:autoSpaceDN w:val="0"/>
        <w:spacing w:line="360" w:lineRule="auto"/>
        <w:ind w:firstLine="480" w:firstLineChars="200"/>
        <w:jc w:val="left"/>
        <w:rPr>
          <w:rFonts w:ascii="宋体" w:hAnsi="宋体" w:cs="楷体"/>
          <w:color w:val="auto"/>
          <w:sz w:val="24"/>
          <w:szCs w:val="24"/>
          <w:highlight w:val="none"/>
        </w:rPr>
      </w:pPr>
      <w:r>
        <w:rPr>
          <w:rFonts w:hint="eastAsia" w:ascii="宋体" w:hAnsi="宋体" w:cs="楷体"/>
          <w:color w:val="auto"/>
          <w:sz w:val="24"/>
          <w:szCs w:val="24"/>
          <w:highlight w:val="none"/>
        </w:rPr>
        <w:t>人才类别标准</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pacing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pPr>
        <w:tabs>
          <w:tab w:val="left" w:pos="1283"/>
          <w:tab w:val="left" w:pos="1922"/>
        </w:tabs>
        <w:autoSpaceDE w:val="0"/>
        <w:autoSpaceDN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pPr>
        <w:topLinePunct/>
        <w:spacing w:line="360" w:lineRule="auto"/>
        <w:ind w:firstLine="480" w:firstLineChars="200"/>
        <w:rPr>
          <w:rFonts w:ascii="宋体" w:hAnsi="宋体"/>
          <w:color w:val="auto"/>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r>
        <w:rPr>
          <w:rFonts w:ascii="宋体" w:hAnsi="宋体"/>
          <w:color w:val="auto"/>
          <w:highlight w:val="none"/>
        </w:rPr>
        <w:br w:type="page"/>
      </w:r>
    </w:p>
    <w:bookmarkEnd w:id="66"/>
    <w:p>
      <w:pPr>
        <w:pStyle w:val="3"/>
        <w:spacing w:after="0"/>
        <w:jc w:val="center"/>
        <w:rPr>
          <w:rFonts w:hint="eastAsia" w:ascii="宋体" w:hAnsi="宋体" w:eastAsia="宋体"/>
          <w:color w:val="auto"/>
          <w:highlight w:val="none"/>
        </w:rPr>
      </w:pPr>
      <w:bookmarkStart w:id="74" w:name="_Toc492300737"/>
      <w:bookmarkStart w:id="75" w:name="_Toc8846"/>
      <w:bookmarkStart w:id="76" w:name="_Toc17811"/>
      <w:r>
        <w:rPr>
          <w:rFonts w:hint="eastAsia" w:ascii="宋体" w:hAnsi="宋体" w:eastAsia="宋体"/>
          <w:color w:val="auto"/>
          <w:highlight w:val="none"/>
          <w:lang w:val="en-US" w:eastAsia="zh-CN"/>
        </w:rPr>
        <w:t>7</w:t>
      </w:r>
      <w:r>
        <w:rPr>
          <w:rFonts w:ascii="宋体" w:hAnsi="宋体" w:eastAsia="宋体"/>
          <w:color w:val="auto"/>
          <w:highlight w:val="none"/>
        </w:rPr>
        <w:t>、</w:t>
      </w:r>
      <w:bookmarkEnd w:id="74"/>
      <w:bookmarkEnd w:id="75"/>
      <w:bookmarkEnd w:id="76"/>
      <w:r>
        <w:rPr>
          <w:rFonts w:hint="eastAsia" w:ascii="宋体" w:hAnsi="宋体" w:eastAsia="宋体"/>
          <w:color w:val="auto"/>
          <w:highlight w:val="none"/>
        </w:rPr>
        <w:t>技术方案</w:t>
      </w:r>
    </w:p>
    <w:p>
      <w:pPr>
        <w:keepNext w:val="0"/>
        <w:keepLines w:val="0"/>
        <w:pageBreakBefore w:val="0"/>
        <w:wordWrap/>
        <w:overflowPunct/>
        <w:topLinePunct w:val="0"/>
        <w:bidi w:val="0"/>
        <w:spacing w:line="360" w:lineRule="auto"/>
        <w:rPr>
          <w:rFonts w:hint="eastAsia" w:ascii="宋体" w:hAnsi="宋体" w:eastAsia="宋体"/>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一、</w:t>
      </w:r>
      <w:r>
        <w:rPr>
          <w:rFonts w:hint="eastAsia" w:ascii="宋体" w:hAnsi="宋体" w:eastAsia="宋体" w:cs="宋体"/>
          <w:snapToGrid w:val="0"/>
          <w:color w:val="auto"/>
          <w:kern w:val="0"/>
          <w:sz w:val="21"/>
          <w:szCs w:val="21"/>
          <w:highlight w:val="none"/>
        </w:rPr>
        <w:t>攻关技术创新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关键性问题描述</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预期成果指标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成果应用前景</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spacing w:val="-7"/>
          <w:kern w:val="0"/>
          <w:sz w:val="21"/>
          <w:szCs w:val="21"/>
          <w:highlight w:val="none"/>
        </w:rPr>
      </w:pPr>
      <w:r>
        <w:rPr>
          <w:rFonts w:hint="eastAsia" w:ascii="宋体" w:hAnsi="宋体" w:cs="宋体"/>
          <w:snapToGrid w:val="0"/>
          <w:color w:val="auto"/>
          <w:kern w:val="0"/>
          <w:sz w:val="21"/>
          <w:szCs w:val="21"/>
          <w:highlight w:val="none"/>
          <w:lang w:val="en-US" w:eastAsia="zh-CN"/>
        </w:rPr>
        <w:t>二、</w:t>
      </w:r>
      <w:r>
        <w:rPr>
          <w:rFonts w:hint="eastAsia" w:ascii="宋体" w:hAnsi="宋体" w:eastAsia="宋体" w:cs="宋体"/>
          <w:snapToGrid w:val="0"/>
          <w:color w:val="auto"/>
          <w:kern w:val="0"/>
          <w:sz w:val="21"/>
          <w:szCs w:val="21"/>
          <w:highlight w:val="none"/>
        </w:rPr>
        <w:t>技术路线</w:t>
      </w:r>
      <w:r>
        <w:rPr>
          <w:rFonts w:hint="eastAsia" w:ascii="宋体" w:hAnsi="宋体" w:eastAsia="宋体" w:cs="宋体"/>
          <w:snapToGrid w:val="0"/>
          <w:color w:val="auto"/>
          <w:spacing w:val="-7"/>
          <w:kern w:val="0"/>
          <w:sz w:val="21"/>
          <w:szCs w:val="21"/>
          <w:highlight w:val="none"/>
        </w:rPr>
        <w:t>可行性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技术手段适应性</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解决关键性问题的可行性和效果</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关键技术的解决路径</w:t>
      </w:r>
    </w:p>
    <w:p>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四、四</w:t>
      </w:r>
      <w:r>
        <w:rPr>
          <w:rFonts w:hint="eastAsia" w:ascii="宋体" w:hAnsi="宋体" w:eastAsia="宋体" w:cs="宋体"/>
          <w:snapToGrid w:val="0"/>
          <w:color w:val="auto"/>
          <w:kern w:val="0"/>
          <w:sz w:val="21"/>
          <w:szCs w:val="21"/>
          <w:highlight w:val="none"/>
        </w:rPr>
        <w:t>实施方案及实施计划</w:t>
      </w:r>
    </w:p>
    <w:p>
      <w:pPr>
        <w:widowControl/>
        <w:numPr>
          <w:ilvl w:val="0"/>
          <w:numId w:val="0"/>
        </w:numPr>
        <w:kinsoku w:val="0"/>
        <w:autoSpaceDE w:val="0"/>
        <w:autoSpaceDN w:val="0"/>
        <w:adjustRightInd w:val="0"/>
        <w:snapToGrid w:val="0"/>
        <w:spacing w:line="240" w:lineRule="auto"/>
        <w:jc w:val="both"/>
        <w:textAlignment w:val="baseline"/>
        <w:rPr>
          <w:rFonts w:hint="default" w:ascii="宋体" w:hAnsi="宋体" w:eastAsia="宋体" w:cs="宋体"/>
          <w:snapToGrid w:val="0"/>
          <w:color w:val="auto"/>
          <w:kern w:val="0"/>
          <w:sz w:val="21"/>
          <w:szCs w:val="21"/>
          <w:highlight w:val="none"/>
          <w:lang w:val="en-US" w:eastAsia="zh-CN"/>
        </w:rPr>
      </w:pPr>
    </w:p>
    <w:p>
      <w:pPr>
        <w:autoSpaceDE w:val="0"/>
        <w:autoSpaceDN w:val="0"/>
        <w:spacing w:line="360" w:lineRule="auto"/>
        <w:ind w:firstLine="480" w:firstLineChars="200"/>
        <w:jc w:val="left"/>
        <w:rPr>
          <w:rFonts w:hint="default" w:ascii="宋体" w:hAnsi="宋体" w:eastAsia="宋体" w:cs="宋体"/>
          <w:bCs/>
          <w:color w:val="auto"/>
          <w:sz w:val="24"/>
          <w:szCs w:val="24"/>
          <w:highlight w:val="none"/>
          <w:lang w:val="en-US" w:eastAsia="zh-CN"/>
        </w:rPr>
      </w:pPr>
    </w:p>
    <w:p>
      <w:pPr>
        <w:keepNext/>
        <w:keepLines/>
        <w:spacing w:line="400" w:lineRule="exact"/>
        <w:jc w:val="center"/>
        <w:rPr>
          <w:rFonts w:ascii="宋体" w:hAnsi="宋体"/>
          <w:color w:val="auto"/>
          <w:highlight w:val="none"/>
        </w:rPr>
      </w:pPr>
      <w:r>
        <w:rPr>
          <w:rFonts w:ascii="宋体" w:hAnsi="宋体"/>
          <w:color w:val="auto"/>
          <w:highlight w:val="none"/>
        </w:rPr>
        <w:br w:type="page"/>
      </w:r>
    </w:p>
    <w:p>
      <w:pPr>
        <w:pStyle w:val="3"/>
        <w:spacing w:after="0"/>
        <w:jc w:val="center"/>
        <w:rPr>
          <w:rFonts w:ascii="宋体" w:hAnsi="宋体" w:eastAsia="宋体"/>
          <w:color w:val="auto"/>
          <w:highlight w:val="none"/>
        </w:rPr>
      </w:pPr>
      <w:bookmarkStart w:id="77" w:name="_Toc29825"/>
      <w:bookmarkStart w:id="78" w:name="_Toc25973"/>
      <w:bookmarkStart w:id="79" w:name="_Toc492300738"/>
      <w:r>
        <w:rPr>
          <w:rFonts w:hint="eastAsia" w:ascii="宋体" w:hAnsi="宋体" w:eastAsia="宋体"/>
          <w:color w:val="auto"/>
          <w:highlight w:val="none"/>
          <w:lang w:val="en-US" w:eastAsia="zh-CN"/>
        </w:rPr>
        <w:t>8</w:t>
      </w:r>
      <w:r>
        <w:rPr>
          <w:rFonts w:ascii="宋体" w:hAnsi="宋体" w:eastAsia="宋体"/>
          <w:color w:val="auto"/>
          <w:highlight w:val="none"/>
        </w:rPr>
        <w:t>、其他</w:t>
      </w:r>
      <w:bookmarkEnd w:id="77"/>
      <w:bookmarkEnd w:id="78"/>
      <w:bookmarkEnd w:id="79"/>
      <w:r>
        <w:rPr>
          <w:rFonts w:hint="eastAsia" w:ascii="宋体" w:hAnsi="宋体" w:eastAsia="宋体"/>
          <w:color w:val="auto"/>
          <w:highlight w:val="none"/>
        </w:rPr>
        <w:t>材料</w:t>
      </w:r>
    </w:p>
    <w:p>
      <w:pPr>
        <w:pStyle w:val="16"/>
        <w:spacing w:line="360" w:lineRule="auto"/>
        <w:ind w:firstLine="480" w:firstLineChars="200"/>
        <w:rPr>
          <w:color w:val="auto"/>
          <w:highlight w:val="none"/>
        </w:rPr>
      </w:pPr>
      <w:r>
        <w:rPr>
          <w:rFonts w:hint="eastAsia" w:ascii="宋体" w:hAnsi="宋体"/>
          <w:color w:val="auto"/>
          <w:sz w:val="24"/>
          <w:szCs w:val="24"/>
          <w:highlight w:val="none"/>
        </w:rPr>
        <w:t>1、相关证明材料 ：研发团队在申报项目领域承担的课题(包括已完成、当前开展)、获得的科技奖项、发明专利，课题承担盖章页、奖项扫描件、 专利证书复印件等证明材料；</w:t>
      </w:r>
    </w:p>
    <w:p>
      <w:pPr>
        <w:pStyle w:val="16"/>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2、项目实施的其他材料</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包括但不限于承诺书（格式如下）、软件著作权登记等</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承 诺 书</w:t>
      </w:r>
    </w:p>
    <w:p>
      <w:pPr>
        <w:rPr>
          <w:rFonts w:ascii="宋体" w:hAnsi="宋体"/>
          <w:color w:val="auto"/>
          <w:highlight w:val="none"/>
        </w:rPr>
      </w:pP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致：</w:t>
      </w:r>
      <w:r>
        <w:rPr>
          <w:rFonts w:hint="eastAsia" w:ascii="宋体" w:hAnsi="宋体"/>
          <w:color w:val="auto"/>
          <w:sz w:val="24"/>
          <w:szCs w:val="24"/>
          <w:highlight w:val="none"/>
          <w:u w:val="single"/>
          <w:lang w:val="en-US" w:eastAsia="zh-CN"/>
        </w:rPr>
        <w:t xml:space="preserve">            用户单位     </w:t>
      </w:r>
      <w:r>
        <w:rPr>
          <w:rFonts w:hint="eastAsia" w:ascii="宋体" w:hAnsi="宋体"/>
          <w:color w:val="auto"/>
          <w:sz w:val="24"/>
          <w:szCs w:val="24"/>
          <w:highlight w:val="none"/>
          <w:lang w:val="en-US" w:eastAsia="zh-CN"/>
        </w:rPr>
        <w:t xml:space="preserve"> </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u w:val="single"/>
          <w:lang w:val="en-US" w:eastAsia="zh-CN"/>
        </w:rPr>
        <w:t xml:space="preserve">  揭榜人名称       </w:t>
      </w:r>
      <w:r>
        <w:rPr>
          <w:rFonts w:hint="eastAsia" w:ascii="宋体" w:hAnsi="宋体"/>
          <w:color w:val="auto"/>
          <w:sz w:val="24"/>
          <w:szCs w:val="24"/>
          <w:highlight w:val="none"/>
          <w:lang w:val="en-US" w:eastAsia="zh-CN"/>
        </w:rPr>
        <w:t xml:space="preserve"> 承诺如被选聘为合作单位，则双方正式合同签订后，研究过程中形成的相关知识产权归河北高速公路集团有限公司（包括承德分公司）所有。</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特此承诺。</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承诺人：  （盖章）</w:t>
      </w:r>
    </w:p>
    <w:p>
      <w:pPr>
        <w:pStyle w:val="16"/>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年  月  日</w:t>
      </w:r>
    </w:p>
    <w:p>
      <w:pPr>
        <w:pStyle w:val="2"/>
        <w:rPr>
          <w:rFonts w:hint="default"/>
          <w:color w:val="auto"/>
          <w:highlight w:val="none"/>
          <w:lang w:val="en-US" w:eastAsia="zh-CN"/>
        </w:rPr>
      </w:pPr>
    </w:p>
    <w:p>
      <w:pPr>
        <w:pStyle w:val="25"/>
        <w:rPr>
          <w:rFonts w:ascii="宋体" w:hAnsi="宋体"/>
          <w:color w:val="auto"/>
          <w:highlight w:val="none"/>
        </w:rPr>
      </w:pPr>
    </w:p>
    <w:p>
      <w:pPr>
        <w:keepNext/>
        <w:keepLines/>
        <w:spacing w:line="400" w:lineRule="exact"/>
        <w:jc w:val="center"/>
        <w:rPr>
          <w:rFonts w:ascii="宋体" w:hAnsi="宋体"/>
          <w:color w:val="auto"/>
          <w:highlight w:val="none"/>
        </w:rPr>
      </w:pPr>
    </w:p>
    <w:p>
      <w:pPr>
        <w:keepNext/>
        <w:keepLines/>
        <w:spacing w:line="400" w:lineRule="exact"/>
        <w:jc w:val="center"/>
        <w:rPr>
          <w:rFonts w:ascii="宋体" w:hAnsi="宋体"/>
          <w:color w:val="auto"/>
          <w:highlight w:val="none"/>
        </w:rPr>
      </w:pPr>
    </w:p>
    <w:sectPr>
      <w:footerReference r:id="rId9"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PfBM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5j3wTLAQAAnAMAAA4AAAAAAAAAAQAgAAAAHgEAAGRycy9lMm9E&#10;b2MueG1sUEsFBgAAAAAGAAYAWQEAAFs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5FB8D746"/>
    <w:multiLevelType w:val="singleLevel"/>
    <w:tmpl w:val="5FB8D74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C100CA"/>
    <w:rsid w:val="01EA636A"/>
    <w:rsid w:val="031F55BA"/>
    <w:rsid w:val="03417D55"/>
    <w:rsid w:val="03CF5817"/>
    <w:rsid w:val="03D2624F"/>
    <w:rsid w:val="03F10E17"/>
    <w:rsid w:val="04237050"/>
    <w:rsid w:val="04291A94"/>
    <w:rsid w:val="04483841"/>
    <w:rsid w:val="045F626B"/>
    <w:rsid w:val="04936023"/>
    <w:rsid w:val="04A0702C"/>
    <w:rsid w:val="04FA09C2"/>
    <w:rsid w:val="05092E05"/>
    <w:rsid w:val="05AC1361"/>
    <w:rsid w:val="05AC3439"/>
    <w:rsid w:val="05B517CE"/>
    <w:rsid w:val="060528D6"/>
    <w:rsid w:val="062736E9"/>
    <w:rsid w:val="06317FBC"/>
    <w:rsid w:val="065E08E6"/>
    <w:rsid w:val="06656636"/>
    <w:rsid w:val="06697050"/>
    <w:rsid w:val="068445A1"/>
    <w:rsid w:val="070905EF"/>
    <w:rsid w:val="077A3CEC"/>
    <w:rsid w:val="07B93478"/>
    <w:rsid w:val="080F4381"/>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7B2F7B"/>
    <w:rsid w:val="0C8D5FC5"/>
    <w:rsid w:val="0C904D8B"/>
    <w:rsid w:val="0CAF1D4F"/>
    <w:rsid w:val="0CB72983"/>
    <w:rsid w:val="0CBC5489"/>
    <w:rsid w:val="0CE83E31"/>
    <w:rsid w:val="0D066C07"/>
    <w:rsid w:val="0D283B98"/>
    <w:rsid w:val="0DC727E4"/>
    <w:rsid w:val="0E0830D6"/>
    <w:rsid w:val="0E65589C"/>
    <w:rsid w:val="0F24110D"/>
    <w:rsid w:val="0F645268"/>
    <w:rsid w:val="0FB460AD"/>
    <w:rsid w:val="10123DFE"/>
    <w:rsid w:val="10507E9A"/>
    <w:rsid w:val="11134763"/>
    <w:rsid w:val="113118BF"/>
    <w:rsid w:val="1196730B"/>
    <w:rsid w:val="11DC2BFD"/>
    <w:rsid w:val="11F9204F"/>
    <w:rsid w:val="12092160"/>
    <w:rsid w:val="12322646"/>
    <w:rsid w:val="12461711"/>
    <w:rsid w:val="12606C25"/>
    <w:rsid w:val="12B67B2B"/>
    <w:rsid w:val="12BF6186"/>
    <w:rsid w:val="12ED0DC6"/>
    <w:rsid w:val="12FF72E8"/>
    <w:rsid w:val="13392CAD"/>
    <w:rsid w:val="133C6BEC"/>
    <w:rsid w:val="13E24F8D"/>
    <w:rsid w:val="14145452"/>
    <w:rsid w:val="144A62D6"/>
    <w:rsid w:val="14594C9D"/>
    <w:rsid w:val="14CF5677"/>
    <w:rsid w:val="1508079D"/>
    <w:rsid w:val="1539776F"/>
    <w:rsid w:val="159310AD"/>
    <w:rsid w:val="15B1406F"/>
    <w:rsid w:val="160752E5"/>
    <w:rsid w:val="161136EA"/>
    <w:rsid w:val="161E4B7B"/>
    <w:rsid w:val="173C35EC"/>
    <w:rsid w:val="17820A15"/>
    <w:rsid w:val="179A59B1"/>
    <w:rsid w:val="17AD081E"/>
    <w:rsid w:val="17B47C5A"/>
    <w:rsid w:val="18915F7D"/>
    <w:rsid w:val="18CB7380"/>
    <w:rsid w:val="18F07E29"/>
    <w:rsid w:val="19065D22"/>
    <w:rsid w:val="1985097A"/>
    <w:rsid w:val="19866520"/>
    <w:rsid w:val="19E8673A"/>
    <w:rsid w:val="1A444595"/>
    <w:rsid w:val="1AD30364"/>
    <w:rsid w:val="1AE04F3D"/>
    <w:rsid w:val="1AF9645A"/>
    <w:rsid w:val="1B172193"/>
    <w:rsid w:val="1B1D5AA8"/>
    <w:rsid w:val="1B2C5602"/>
    <w:rsid w:val="1B3C2E09"/>
    <w:rsid w:val="1B8A2A6F"/>
    <w:rsid w:val="1B903EF3"/>
    <w:rsid w:val="1C5B0FBE"/>
    <w:rsid w:val="1D356B80"/>
    <w:rsid w:val="1D387CC1"/>
    <w:rsid w:val="1D464944"/>
    <w:rsid w:val="1D4E011E"/>
    <w:rsid w:val="1E1A1F0D"/>
    <w:rsid w:val="1F006163"/>
    <w:rsid w:val="1F070D9C"/>
    <w:rsid w:val="1F164D67"/>
    <w:rsid w:val="1F664E2A"/>
    <w:rsid w:val="1F795149"/>
    <w:rsid w:val="21337A07"/>
    <w:rsid w:val="21633DEB"/>
    <w:rsid w:val="21B26473"/>
    <w:rsid w:val="21CF6C0F"/>
    <w:rsid w:val="21DF0545"/>
    <w:rsid w:val="223916EB"/>
    <w:rsid w:val="22AE4DC1"/>
    <w:rsid w:val="22CE2D81"/>
    <w:rsid w:val="236A2C16"/>
    <w:rsid w:val="23800B7D"/>
    <w:rsid w:val="23834952"/>
    <w:rsid w:val="23BA1E6D"/>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956A3"/>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EA5C80"/>
    <w:rsid w:val="2E1225C5"/>
    <w:rsid w:val="2E7E1E3D"/>
    <w:rsid w:val="2E842255"/>
    <w:rsid w:val="2EAA77EE"/>
    <w:rsid w:val="2EAE1D18"/>
    <w:rsid w:val="2ECA44D8"/>
    <w:rsid w:val="2EFB22F6"/>
    <w:rsid w:val="2F241ABC"/>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5F04FF6"/>
    <w:rsid w:val="36376685"/>
    <w:rsid w:val="368F1B0D"/>
    <w:rsid w:val="36B1341E"/>
    <w:rsid w:val="36BD3E66"/>
    <w:rsid w:val="37001D68"/>
    <w:rsid w:val="372313E8"/>
    <w:rsid w:val="37A23852"/>
    <w:rsid w:val="388F25E2"/>
    <w:rsid w:val="38EF001B"/>
    <w:rsid w:val="39AF4E00"/>
    <w:rsid w:val="3AAF17DF"/>
    <w:rsid w:val="3ABC3D62"/>
    <w:rsid w:val="3B003B1F"/>
    <w:rsid w:val="3B037579"/>
    <w:rsid w:val="3B8C3A12"/>
    <w:rsid w:val="3BA44248"/>
    <w:rsid w:val="3BCC6800"/>
    <w:rsid w:val="3CF87FC2"/>
    <w:rsid w:val="3D0A6A03"/>
    <w:rsid w:val="3D2F2642"/>
    <w:rsid w:val="3D43534E"/>
    <w:rsid w:val="3D5E49A7"/>
    <w:rsid w:val="3E1201FF"/>
    <w:rsid w:val="3E3F2FBE"/>
    <w:rsid w:val="3E435841"/>
    <w:rsid w:val="3E500D27"/>
    <w:rsid w:val="3EA31796"/>
    <w:rsid w:val="3EA6654C"/>
    <w:rsid w:val="3ED62DE1"/>
    <w:rsid w:val="3F0548FB"/>
    <w:rsid w:val="3F482864"/>
    <w:rsid w:val="3F91146E"/>
    <w:rsid w:val="3FBA2006"/>
    <w:rsid w:val="3FF216BF"/>
    <w:rsid w:val="401A3826"/>
    <w:rsid w:val="401D10DD"/>
    <w:rsid w:val="407B4DD5"/>
    <w:rsid w:val="408825BD"/>
    <w:rsid w:val="40A4301A"/>
    <w:rsid w:val="40E34069"/>
    <w:rsid w:val="41035E00"/>
    <w:rsid w:val="41205243"/>
    <w:rsid w:val="41205969"/>
    <w:rsid w:val="414C5B13"/>
    <w:rsid w:val="415B5D6C"/>
    <w:rsid w:val="41935C36"/>
    <w:rsid w:val="41A338E3"/>
    <w:rsid w:val="41EF35B2"/>
    <w:rsid w:val="42185F44"/>
    <w:rsid w:val="42D65B4D"/>
    <w:rsid w:val="42E2049E"/>
    <w:rsid w:val="42F7579C"/>
    <w:rsid w:val="4336540D"/>
    <w:rsid w:val="437739CC"/>
    <w:rsid w:val="439907B9"/>
    <w:rsid w:val="43A7707B"/>
    <w:rsid w:val="446721D4"/>
    <w:rsid w:val="449E500C"/>
    <w:rsid w:val="44C468B6"/>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A527485"/>
    <w:rsid w:val="4A79273B"/>
    <w:rsid w:val="4A8A6EE9"/>
    <w:rsid w:val="4AAE12ED"/>
    <w:rsid w:val="4ACF6971"/>
    <w:rsid w:val="4AE54494"/>
    <w:rsid w:val="4AEE3DA2"/>
    <w:rsid w:val="4B002D0B"/>
    <w:rsid w:val="4B3B7759"/>
    <w:rsid w:val="4B6F34DF"/>
    <w:rsid w:val="4C3C1ECD"/>
    <w:rsid w:val="4C4A31A8"/>
    <w:rsid w:val="4C600189"/>
    <w:rsid w:val="4C6F7949"/>
    <w:rsid w:val="4CA77297"/>
    <w:rsid w:val="4D133C1F"/>
    <w:rsid w:val="4D36734F"/>
    <w:rsid w:val="4D4B7289"/>
    <w:rsid w:val="4D5837DF"/>
    <w:rsid w:val="4D6C1337"/>
    <w:rsid w:val="4E1E3016"/>
    <w:rsid w:val="4E2D65F4"/>
    <w:rsid w:val="4F2E1B93"/>
    <w:rsid w:val="4F444DA8"/>
    <w:rsid w:val="50281D82"/>
    <w:rsid w:val="50377320"/>
    <w:rsid w:val="508F3801"/>
    <w:rsid w:val="50907C1B"/>
    <w:rsid w:val="51974145"/>
    <w:rsid w:val="51A13A4D"/>
    <w:rsid w:val="51AA740B"/>
    <w:rsid w:val="51E329FD"/>
    <w:rsid w:val="5245449C"/>
    <w:rsid w:val="52580B19"/>
    <w:rsid w:val="52626218"/>
    <w:rsid w:val="529D3F90"/>
    <w:rsid w:val="533A6B1F"/>
    <w:rsid w:val="53807604"/>
    <w:rsid w:val="53923005"/>
    <w:rsid w:val="53AE211E"/>
    <w:rsid w:val="53F35AA0"/>
    <w:rsid w:val="540F4AC5"/>
    <w:rsid w:val="54116BEA"/>
    <w:rsid w:val="544F4A8C"/>
    <w:rsid w:val="555C6CC5"/>
    <w:rsid w:val="55B7162A"/>
    <w:rsid w:val="55DD513F"/>
    <w:rsid w:val="56002BDB"/>
    <w:rsid w:val="564D2E6E"/>
    <w:rsid w:val="565C4CEB"/>
    <w:rsid w:val="56C00361"/>
    <w:rsid w:val="574C3BF8"/>
    <w:rsid w:val="57A25B11"/>
    <w:rsid w:val="57EE5261"/>
    <w:rsid w:val="5822700A"/>
    <w:rsid w:val="586151B0"/>
    <w:rsid w:val="586F6CEB"/>
    <w:rsid w:val="58815956"/>
    <w:rsid w:val="588D078E"/>
    <w:rsid w:val="589218A1"/>
    <w:rsid w:val="58A37239"/>
    <w:rsid w:val="59295121"/>
    <w:rsid w:val="593730A6"/>
    <w:rsid w:val="595154BA"/>
    <w:rsid w:val="5980650D"/>
    <w:rsid w:val="5981094C"/>
    <w:rsid w:val="59B164F5"/>
    <w:rsid w:val="59CD36CB"/>
    <w:rsid w:val="5A751237"/>
    <w:rsid w:val="5AA36F35"/>
    <w:rsid w:val="5AF8288E"/>
    <w:rsid w:val="5B3914EA"/>
    <w:rsid w:val="5C1D2FEA"/>
    <w:rsid w:val="5C33362F"/>
    <w:rsid w:val="5C390BF5"/>
    <w:rsid w:val="5C475989"/>
    <w:rsid w:val="5C9D551C"/>
    <w:rsid w:val="5CA000BD"/>
    <w:rsid w:val="5D227921"/>
    <w:rsid w:val="5D261093"/>
    <w:rsid w:val="5DDA48DE"/>
    <w:rsid w:val="5E29571C"/>
    <w:rsid w:val="5E7072D5"/>
    <w:rsid w:val="5E916AC6"/>
    <w:rsid w:val="5EB35FD5"/>
    <w:rsid w:val="5EEA5586"/>
    <w:rsid w:val="5FE84E0C"/>
    <w:rsid w:val="60221B67"/>
    <w:rsid w:val="60371971"/>
    <w:rsid w:val="603A563D"/>
    <w:rsid w:val="60A07495"/>
    <w:rsid w:val="60A1672C"/>
    <w:rsid w:val="61102418"/>
    <w:rsid w:val="61960027"/>
    <w:rsid w:val="61B431F8"/>
    <w:rsid w:val="61BB1A22"/>
    <w:rsid w:val="61BF597B"/>
    <w:rsid w:val="62364E82"/>
    <w:rsid w:val="62D3704F"/>
    <w:rsid w:val="62D67C30"/>
    <w:rsid w:val="62E2764E"/>
    <w:rsid w:val="632D31B2"/>
    <w:rsid w:val="63A46FE8"/>
    <w:rsid w:val="63BF40FA"/>
    <w:rsid w:val="63D731CD"/>
    <w:rsid w:val="642151C6"/>
    <w:rsid w:val="644614E5"/>
    <w:rsid w:val="64C15A14"/>
    <w:rsid w:val="64CF1337"/>
    <w:rsid w:val="650B0D9A"/>
    <w:rsid w:val="652A6394"/>
    <w:rsid w:val="658F391F"/>
    <w:rsid w:val="65E91508"/>
    <w:rsid w:val="66032276"/>
    <w:rsid w:val="661D1EC9"/>
    <w:rsid w:val="664632CD"/>
    <w:rsid w:val="669107FE"/>
    <w:rsid w:val="67A81366"/>
    <w:rsid w:val="67CB05AF"/>
    <w:rsid w:val="6823575F"/>
    <w:rsid w:val="6837248C"/>
    <w:rsid w:val="684352D5"/>
    <w:rsid w:val="68531E47"/>
    <w:rsid w:val="685D7406"/>
    <w:rsid w:val="687A230C"/>
    <w:rsid w:val="68950F2D"/>
    <w:rsid w:val="69260010"/>
    <w:rsid w:val="695024C9"/>
    <w:rsid w:val="69826C27"/>
    <w:rsid w:val="69C41145"/>
    <w:rsid w:val="69F22D9A"/>
    <w:rsid w:val="6A071FEB"/>
    <w:rsid w:val="6AF36526"/>
    <w:rsid w:val="6BAF6C89"/>
    <w:rsid w:val="6BC8321C"/>
    <w:rsid w:val="6BD204A2"/>
    <w:rsid w:val="6C16415D"/>
    <w:rsid w:val="6C69727C"/>
    <w:rsid w:val="6D083C9E"/>
    <w:rsid w:val="6D837F22"/>
    <w:rsid w:val="6D877C6B"/>
    <w:rsid w:val="6DC05860"/>
    <w:rsid w:val="6E176E67"/>
    <w:rsid w:val="6E766BA8"/>
    <w:rsid w:val="6EB12F02"/>
    <w:rsid w:val="6EEE6A88"/>
    <w:rsid w:val="6FC225B8"/>
    <w:rsid w:val="6FFB38F1"/>
    <w:rsid w:val="701A1EC9"/>
    <w:rsid w:val="703930C1"/>
    <w:rsid w:val="707709EE"/>
    <w:rsid w:val="70990C89"/>
    <w:rsid w:val="70B347B5"/>
    <w:rsid w:val="70CA5490"/>
    <w:rsid w:val="70DA002F"/>
    <w:rsid w:val="70FB5532"/>
    <w:rsid w:val="718F626C"/>
    <w:rsid w:val="71A572AB"/>
    <w:rsid w:val="71DA772B"/>
    <w:rsid w:val="720257FF"/>
    <w:rsid w:val="723A216A"/>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D174A6"/>
    <w:rsid w:val="76447818"/>
    <w:rsid w:val="765D2F12"/>
    <w:rsid w:val="76911D13"/>
    <w:rsid w:val="76DF6062"/>
    <w:rsid w:val="76F265F0"/>
    <w:rsid w:val="773F7189"/>
    <w:rsid w:val="77422893"/>
    <w:rsid w:val="774F104A"/>
    <w:rsid w:val="77C72BE8"/>
    <w:rsid w:val="77D7509D"/>
    <w:rsid w:val="78215104"/>
    <w:rsid w:val="783F1611"/>
    <w:rsid w:val="78720F0E"/>
    <w:rsid w:val="78B10D54"/>
    <w:rsid w:val="78C65B3F"/>
    <w:rsid w:val="7931007C"/>
    <w:rsid w:val="79B50936"/>
    <w:rsid w:val="79C26E1C"/>
    <w:rsid w:val="79DF32B5"/>
    <w:rsid w:val="7A00695F"/>
    <w:rsid w:val="7A757DBD"/>
    <w:rsid w:val="7A9C1122"/>
    <w:rsid w:val="7B264314"/>
    <w:rsid w:val="7B32675B"/>
    <w:rsid w:val="7B7607DD"/>
    <w:rsid w:val="7BC46A40"/>
    <w:rsid w:val="7C3A38BE"/>
    <w:rsid w:val="7C8213DE"/>
    <w:rsid w:val="7C9C2966"/>
    <w:rsid w:val="7CE43318"/>
    <w:rsid w:val="7CFA4751"/>
    <w:rsid w:val="7D1A4ADE"/>
    <w:rsid w:val="7D502D5B"/>
    <w:rsid w:val="7DB276A6"/>
    <w:rsid w:val="7DEB7B41"/>
    <w:rsid w:val="7E7D4006"/>
    <w:rsid w:val="7E842937"/>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0"/>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1"/>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3"/>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4"/>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5"/>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6"/>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6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autoRedefine/>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9"/>
    <w:autoRedefine/>
    <w:qFormat/>
    <w:uiPriority w:val="0"/>
    <w:pPr>
      <w:jc w:val="left"/>
    </w:pPr>
    <w:rPr>
      <w:rFonts w:ascii="Times New Roman" w:hAnsi="Times New Roman"/>
      <w:szCs w:val="20"/>
    </w:rPr>
  </w:style>
  <w:style w:type="paragraph" w:styleId="15">
    <w:name w:val="Body Text 3"/>
    <w:basedOn w:val="1"/>
    <w:link w:val="70"/>
    <w:autoRedefine/>
    <w:qFormat/>
    <w:uiPriority w:val="0"/>
    <w:rPr>
      <w:rFonts w:ascii="宋体"/>
      <w:sz w:val="24"/>
      <w:szCs w:val="20"/>
    </w:rPr>
  </w:style>
  <w:style w:type="paragraph" w:styleId="16">
    <w:name w:val="Body Text"/>
    <w:basedOn w:val="1"/>
    <w:next w:val="17"/>
    <w:link w:val="58"/>
    <w:autoRedefine/>
    <w:unhideWhenUsed/>
    <w:qFormat/>
    <w:uiPriority w:val="0"/>
    <w:pPr>
      <w:spacing w:after="120"/>
    </w:pPr>
    <w:rPr>
      <w:rFonts w:ascii="Times New Roman" w:hAnsi="Times New Roman"/>
      <w:szCs w:val="20"/>
    </w:rPr>
  </w:style>
  <w:style w:type="paragraph" w:styleId="17">
    <w:name w:val="Body Text 2"/>
    <w:basedOn w:val="1"/>
    <w:next w:val="1"/>
    <w:autoRedefine/>
    <w:qFormat/>
    <w:uiPriority w:val="0"/>
  </w:style>
  <w:style w:type="paragraph" w:styleId="18">
    <w:name w:val="Body Text Indent"/>
    <w:basedOn w:val="1"/>
    <w:link w:val="71"/>
    <w:autoRedefine/>
    <w:qFormat/>
    <w:uiPriority w:val="0"/>
    <w:pPr>
      <w:spacing w:after="120"/>
      <w:ind w:left="420" w:leftChars="200"/>
    </w:pPr>
    <w:rPr>
      <w:rFonts w:ascii="Times New Roman" w:hAnsi="Times New Roman"/>
      <w:szCs w:val="20"/>
    </w:rPr>
  </w:style>
  <w:style w:type="paragraph" w:styleId="19">
    <w:name w:val="toc 5"/>
    <w:basedOn w:val="1"/>
    <w:next w:val="1"/>
    <w:autoRedefine/>
    <w:qFormat/>
    <w:uiPriority w:val="39"/>
    <w:pPr>
      <w:ind w:left="800" w:leftChars="800"/>
    </w:pPr>
  </w:style>
  <w:style w:type="paragraph" w:styleId="20">
    <w:name w:val="toc 3"/>
    <w:basedOn w:val="1"/>
    <w:next w:val="1"/>
    <w:autoRedefine/>
    <w:qFormat/>
    <w:uiPriority w:val="39"/>
    <w:pPr>
      <w:ind w:left="400" w:leftChars="400"/>
    </w:pPr>
  </w:style>
  <w:style w:type="paragraph" w:styleId="21">
    <w:name w:val="Plain Text"/>
    <w:basedOn w:val="1"/>
    <w:link w:val="72"/>
    <w:autoRedefine/>
    <w:qFormat/>
    <w:uiPriority w:val="0"/>
    <w:rPr>
      <w:rFonts w:ascii="宋体"/>
    </w:rPr>
  </w:style>
  <w:style w:type="paragraph" w:styleId="22">
    <w:name w:val="toc 8"/>
    <w:basedOn w:val="1"/>
    <w:next w:val="1"/>
    <w:autoRedefine/>
    <w:qFormat/>
    <w:uiPriority w:val="39"/>
    <w:pPr>
      <w:ind w:left="1400" w:leftChars="1400"/>
    </w:pPr>
  </w:style>
  <w:style w:type="paragraph" w:styleId="23">
    <w:name w:val="Date"/>
    <w:basedOn w:val="1"/>
    <w:next w:val="1"/>
    <w:link w:val="73"/>
    <w:autoRedefine/>
    <w:qFormat/>
    <w:uiPriority w:val="0"/>
    <w:pPr>
      <w:ind w:left="2500" w:leftChars="2500"/>
    </w:pPr>
    <w:rPr>
      <w:rFonts w:ascii="Times New Roman" w:hAnsi="Times New Roman"/>
      <w:szCs w:val="20"/>
    </w:rPr>
  </w:style>
  <w:style w:type="paragraph" w:styleId="24">
    <w:name w:val="Balloon Text"/>
    <w:basedOn w:val="1"/>
    <w:link w:val="74"/>
    <w:autoRedefine/>
    <w:qFormat/>
    <w:uiPriority w:val="0"/>
    <w:rPr>
      <w:rFonts w:ascii="Times New Roman" w:hAnsi="Times New Roman"/>
      <w:sz w:val="18"/>
      <w:szCs w:val="20"/>
    </w:rPr>
  </w:style>
  <w:style w:type="paragraph" w:styleId="25">
    <w:name w:val="footer"/>
    <w:basedOn w:val="1"/>
    <w:link w:val="75"/>
    <w:autoRedefine/>
    <w:qFormat/>
    <w:uiPriority w:val="0"/>
    <w:pPr>
      <w:tabs>
        <w:tab w:val="center" w:pos="4153"/>
        <w:tab w:val="right" w:pos="8306"/>
      </w:tabs>
      <w:snapToGrid w:val="0"/>
      <w:jc w:val="left"/>
    </w:pPr>
    <w:rPr>
      <w:sz w:val="18"/>
    </w:rPr>
  </w:style>
  <w:style w:type="paragraph" w:styleId="26">
    <w:name w:val="header"/>
    <w:basedOn w:val="1"/>
    <w:link w:val="76"/>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style>
  <w:style w:type="paragraph" w:styleId="28">
    <w:name w:val="toc 4"/>
    <w:basedOn w:val="1"/>
    <w:next w:val="1"/>
    <w:autoRedefine/>
    <w:qFormat/>
    <w:uiPriority w:val="39"/>
    <w:pPr>
      <w:ind w:left="600" w:leftChars="600"/>
    </w:pPr>
  </w:style>
  <w:style w:type="paragraph" w:styleId="29">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0">
    <w:name w:val="toc 6"/>
    <w:basedOn w:val="1"/>
    <w:next w:val="1"/>
    <w:autoRedefine/>
    <w:qFormat/>
    <w:uiPriority w:val="39"/>
    <w:pPr>
      <w:ind w:left="1000" w:leftChars="1000"/>
    </w:pPr>
  </w:style>
  <w:style w:type="paragraph" w:styleId="31">
    <w:name w:val="Body Text Indent 3"/>
    <w:basedOn w:val="1"/>
    <w:link w:val="77"/>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5">
    <w:name w:val="index 1"/>
    <w:basedOn w:val="1"/>
    <w:next w:val="1"/>
    <w:autoRedefine/>
    <w:qFormat/>
    <w:uiPriority w:val="0"/>
    <w:pPr>
      <w:spacing w:line="220" w:lineRule="exact"/>
      <w:jc w:val="center"/>
    </w:pPr>
    <w:rPr>
      <w:rFonts w:ascii="仿宋_GB2312" w:hAnsi="Times New Roman" w:eastAsia="仿宋_GB2312"/>
      <w:szCs w:val="21"/>
    </w:rPr>
  </w:style>
  <w:style w:type="paragraph" w:styleId="36">
    <w:name w:val="Title"/>
    <w:basedOn w:val="1"/>
    <w:link w:val="78"/>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79"/>
    <w:autoRedefine/>
    <w:qFormat/>
    <w:uiPriority w:val="0"/>
  </w:style>
  <w:style w:type="paragraph" w:styleId="38">
    <w:name w:val="Body Text First Indent"/>
    <w:basedOn w:val="1"/>
    <w:link w:val="80"/>
    <w:autoRedefine/>
    <w:qFormat/>
    <w:uiPriority w:val="0"/>
    <w:pPr>
      <w:spacing w:line="312" w:lineRule="auto"/>
      <w:ind w:firstLine="420"/>
    </w:pPr>
    <w:rPr>
      <w:rFonts w:ascii="Times New Roman" w:hAnsi="Times New Roman"/>
      <w:szCs w:val="24"/>
    </w:rPr>
  </w:style>
  <w:style w:type="paragraph" w:styleId="39">
    <w:name w:val="Body Text First Indent 2"/>
    <w:basedOn w:val="18"/>
    <w:autoRedefine/>
    <w:qFormat/>
    <w:uiPriority w:val="99"/>
    <w:pPr>
      <w:ind w:firstLine="420" w:firstLineChars="200"/>
    </w:pPr>
  </w:style>
  <w:style w:type="table" w:styleId="41">
    <w:name w:val="Table Grid"/>
    <w:basedOn w:val="4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basedOn w:val="42"/>
    <w:autoRedefine/>
    <w:unhideWhenUsed/>
    <w:qFormat/>
    <w:uiPriority w:val="99"/>
    <w:rPr>
      <w:color w:val="800080"/>
      <w:u w:val="none"/>
    </w:rPr>
  </w:style>
  <w:style w:type="character" w:styleId="46">
    <w:name w:val="Emphasis"/>
    <w:basedOn w:val="42"/>
    <w:autoRedefine/>
    <w:qFormat/>
    <w:uiPriority w:val="0"/>
    <w:rPr>
      <w:b/>
    </w:rPr>
  </w:style>
  <w:style w:type="character" w:styleId="47">
    <w:name w:val="HTML Definition"/>
    <w:basedOn w:val="42"/>
    <w:autoRedefine/>
    <w:unhideWhenUsed/>
    <w:qFormat/>
    <w:uiPriority w:val="0"/>
  </w:style>
  <w:style w:type="character" w:styleId="48">
    <w:name w:val="HTML Typewriter"/>
    <w:basedOn w:val="42"/>
    <w:autoRedefine/>
    <w:unhideWhenUsed/>
    <w:qFormat/>
    <w:uiPriority w:val="0"/>
    <w:rPr>
      <w:rFonts w:hint="default" w:ascii="monospace" w:hAnsi="monospace" w:eastAsia="monospace" w:cs="monospace"/>
      <w:sz w:val="19"/>
      <w:szCs w:val="19"/>
    </w:rPr>
  </w:style>
  <w:style w:type="character" w:styleId="49">
    <w:name w:val="HTML Acronym"/>
    <w:basedOn w:val="42"/>
    <w:autoRedefine/>
    <w:unhideWhenUsed/>
    <w:qFormat/>
    <w:uiPriority w:val="0"/>
  </w:style>
  <w:style w:type="character" w:styleId="50">
    <w:name w:val="HTML Variable"/>
    <w:basedOn w:val="42"/>
    <w:autoRedefine/>
    <w:unhideWhenUsed/>
    <w:qFormat/>
    <w:uiPriority w:val="0"/>
  </w:style>
  <w:style w:type="character" w:styleId="51">
    <w:name w:val="Hyperlink"/>
    <w:basedOn w:val="42"/>
    <w:autoRedefine/>
    <w:qFormat/>
    <w:uiPriority w:val="99"/>
    <w:rPr>
      <w:color w:val="0000FF"/>
      <w:u w:val="none"/>
    </w:rPr>
  </w:style>
  <w:style w:type="character" w:styleId="52">
    <w:name w:val="HTML Code"/>
    <w:basedOn w:val="42"/>
    <w:autoRedefine/>
    <w:unhideWhenUsed/>
    <w:qFormat/>
    <w:uiPriority w:val="0"/>
    <w:rPr>
      <w:rFonts w:hint="default" w:ascii="monospace" w:hAnsi="monospace" w:eastAsia="monospace" w:cs="monospace"/>
      <w:sz w:val="20"/>
    </w:rPr>
  </w:style>
  <w:style w:type="character" w:styleId="53">
    <w:name w:val="annotation reference"/>
    <w:autoRedefine/>
    <w:qFormat/>
    <w:uiPriority w:val="0"/>
    <w:rPr>
      <w:sz w:val="21"/>
    </w:rPr>
  </w:style>
  <w:style w:type="character" w:styleId="54">
    <w:name w:val="HTML Cite"/>
    <w:basedOn w:val="42"/>
    <w:autoRedefine/>
    <w:unhideWhenUsed/>
    <w:qFormat/>
    <w:uiPriority w:val="0"/>
  </w:style>
  <w:style w:type="character" w:styleId="55">
    <w:name w:val="footnote reference"/>
    <w:autoRedefine/>
    <w:qFormat/>
    <w:uiPriority w:val="0"/>
    <w:rPr>
      <w:vertAlign w:val="superscript"/>
    </w:rPr>
  </w:style>
  <w:style w:type="character" w:styleId="56">
    <w:name w:val="HTML Keyboard"/>
    <w:basedOn w:val="42"/>
    <w:autoRedefine/>
    <w:unhideWhenUsed/>
    <w:qFormat/>
    <w:uiPriority w:val="0"/>
    <w:rPr>
      <w:rFonts w:hint="default" w:ascii="monospace" w:hAnsi="monospace" w:eastAsia="monospace" w:cs="monospace"/>
      <w:sz w:val="20"/>
    </w:rPr>
  </w:style>
  <w:style w:type="character" w:styleId="57">
    <w:name w:val="HTML Sample"/>
    <w:basedOn w:val="42"/>
    <w:autoRedefine/>
    <w:unhideWhenUsed/>
    <w:qFormat/>
    <w:uiPriority w:val="0"/>
    <w:rPr>
      <w:rFonts w:ascii="monospace" w:hAnsi="monospace" w:eastAsia="monospace" w:cs="monospace"/>
    </w:rPr>
  </w:style>
  <w:style w:type="character" w:customStyle="1" w:styleId="58">
    <w:name w:val="正文文本 Char1"/>
    <w:basedOn w:val="42"/>
    <w:link w:val="16"/>
    <w:autoRedefine/>
    <w:qFormat/>
    <w:uiPriority w:val="0"/>
    <w:rPr>
      <w:rFonts w:eastAsia="宋体"/>
      <w:kern w:val="2"/>
      <w:sz w:val="21"/>
    </w:rPr>
  </w:style>
  <w:style w:type="character" w:customStyle="1" w:styleId="59">
    <w:name w:val="标题 1 Char"/>
    <w:basedOn w:val="42"/>
    <w:link w:val="2"/>
    <w:autoRedefine/>
    <w:qFormat/>
    <w:uiPriority w:val="0"/>
    <w:rPr>
      <w:rFonts w:eastAsia="宋体"/>
      <w:b/>
      <w:kern w:val="44"/>
      <w:sz w:val="44"/>
    </w:rPr>
  </w:style>
  <w:style w:type="character" w:customStyle="1" w:styleId="60">
    <w:name w:val="标题 2 Char"/>
    <w:basedOn w:val="42"/>
    <w:link w:val="3"/>
    <w:autoRedefine/>
    <w:qFormat/>
    <w:uiPriority w:val="0"/>
    <w:rPr>
      <w:rFonts w:ascii="Arial" w:hAnsi="Arial" w:eastAsia="黑体"/>
      <w:b/>
      <w:kern w:val="2"/>
      <w:sz w:val="32"/>
    </w:rPr>
  </w:style>
  <w:style w:type="character" w:customStyle="1" w:styleId="61">
    <w:name w:val="标题 3 Char"/>
    <w:basedOn w:val="42"/>
    <w:link w:val="4"/>
    <w:autoRedefine/>
    <w:qFormat/>
    <w:uiPriority w:val="0"/>
    <w:rPr>
      <w:rFonts w:ascii="黑体" w:hAnsi="Calibri" w:eastAsia="黑体"/>
      <w:kern w:val="2"/>
      <w:sz w:val="28"/>
    </w:rPr>
  </w:style>
  <w:style w:type="character" w:customStyle="1" w:styleId="62">
    <w:name w:val="标题 4 Char"/>
    <w:basedOn w:val="42"/>
    <w:link w:val="5"/>
    <w:autoRedefine/>
    <w:qFormat/>
    <w:uiPriority w:val="0"/>
    <w:rPr>
      <w:rFonts w:ascii="Arial" w:hAnsi="Arial" w:eastAsia="黑体"/>
      <w:b/>
      <w:bCs/>
      <w:kern w:val="2"/>
      <w:sz w:val="28"/>
      <w:szCs w:val="28"/>
    </w:rPr>
  </w:style>
  <w:style w:type="character" w:customStyle="1" w:styleId="63">
    <w:name w:val="标题 5 Char"/>
    <w:basedOn w:val="42"/>
    <w:link w:val="6"/>
    <w:autoRedefine/>
    <w:semiHidden/>
    <w:qFormat/>
    <w:uiPriority w:val="9"/>
    <w:rPr>
      <w:rFonts w:eastAsia="宋体"/>
      <w:b/>
      <w:bCs/>
      <w:kern w:val="2"/>
      <w:sz w:val="28"/>
      <w:szCs w:val="28"/>
    </w:rPr>
  </w:style>
  <w:style w:type="character" w:customStyle="1" w:styleId="64">
    <w:name w:val="标题 6 Char"/>
    <w:basedOn w:val="42"/>
    <w:link w:val="7"/>
    <w:autoRedefine/>
    <w:qFormat/>
    <w:uiPriority w:val="0"/>
    <w:rPr>
      <w:rFonts w:ascii="Arial" w:hAnsi="Arial" w:eastAsia="黑体"/>
      <w:b/>
      <w:bCs/>
      <w:sz w:val="24"/>
    </w:rPr>
  </w:style>
  <w:style w:type="character" w:customStyle="1" w:styleId="65">
    <w:name w:val="标题 7 Char"/>
    <w:basedOn w:val="42"/>
    <w:link w:val="8"/>
    <w:autoRedefine/>
    <w:qFormat/>
    <w:uiPriority w:val="0"/>
    <w:rPr>
      <w:rFonts w:eastAsia="宋体"/>
      <w:b/>
      <w:bCs/>
      <w:sz w:val="24"/>
    </w:rPr>
  </w:style>
  <w:style w:type="character" w:customStyle="1" w:styleId="66">
    <w:name w:val="标题 8 Char"/>
    <w:basedOn w:val="42"/>
    <w:link w:val="9"/>
    <w:autoRedefine/>
    <w:qFormat/>
    <w:uiPriority w:val="0"/>
    <w:rPr>
      <w:rFonts w:ascii="Arial" w:hAnsi="Arial" w:eastAsia="黑体"/>
      <w:sz w:val="24"/>
    </w:rPr>
  </w:style>
  <w:style w:type="character" w:customStyle="1" w:styleId="67">
    <w:name w:val="标题 9 Char"/>
    <w:basedOn w:val="42"/>
    <w:link w:val="10"/>
    <w:autoRedefine/>
    <w:qFormat/>
    <w:uiPriority w:val="0"/>
    <w:rPr>
      <w:rFonts w:ascii="Arial" w:hAnsi="Arial" w:eastAsia="黑体"/>
      <w:sz w:val="21"/>
      <w:szCs w:val="21"/>
    </w:rPr>
  </w:style>
  <w:style w:type="character" w:customStyle="1" w:styleId="68">
    <w:name w:val="文档结构图 Char"/>
    <w:link w:val="13"/>
    <w:autoRedefine/>
    <w:qFormat/>
    <w:uiPriority w:val="0"/>
    <w:rPr>
      <w:rFonts w:ascii="宋体" w:hAnsi="Calibri" w:eastAsia="宋体" w:cs="宋体"/>
      <w:kern w:val="2"/>
      <w:sz w:val="18"/>
      <w:szCs w:val="18"/>
    </w:rPr>
  </w:style>
  <w:style w:type="character" w:customStyle="1" w:styleId="69">
    <w:name w:val="批注文字 Char"/>
    <w:basedOn w:val="42"/>
    <w:link w:val="14"/>
    <w:autoRedefine/>
    <w:qFormat/>
    <w:uiPriority w:val="0"/>
    <w:rPr>
      <w:rFonts w:eastAsia="宋体"/>
      <w:kern w:val="2"/>
      <w:sz w:val="21"/>
    </w:rPr>
  </w:style>
  <w:style w:type="character" w:customStyle="1" w:styleId="70">
    <w:name w:val="正文文本 3 Char"/>
    <w:basedOn w:val="42"/>
    <w:link w:val="15"/>
    <w:autoRedefine/>
    <w:qFormat/>
    <w:uiPriority w:val="0"/>
    <w:rPr>
      <w:rFonts w:ascii="宋体" w:hAnsi="Calibri" w:eastAsia="宋体"/>
      <w:kern w:val="2"/>
      <w:sz w:val="24"/>
    </w:rPr>
  </w:style>
  <w:style w:type="character" w:customStyle="1" w:styleId="71">
    <w:name w:val="正文文本缩进 Char"/>
    <w:basedOn w:val="42"/>
    <w:link w:val="18"/>
    <w:autoRedefine/>
    <w:qFormat/>
    <w:uiPriority w:val="0"/>
    <w:rPr>
      <w:rFonts w:eastAsia="宋体"/>
      <w:kern w:val="2"/>
      <w:sz w:val="21"/>
    </w:rPr>
  </w:style>
  <w:style w:type="character" w:customStyle="1" w:styleId="72">
    <w:name w:val="纯文本 Char"/>
    <w:link w:val="21"/>
    <w:autoRedefine/>
    <w:qFormat/>
    <w:uiPriority w:val="0"/>
    <w:rPr>
      <w:rFonts w:ascii="宋体" w:hAnsi="Calibri"/>
      <w:kern w:val="2"/>
      <w:sz w:val="21"/>
      <w:szCs w:val="22"/>
    </w:rPr>
  </w:style>
  <w:style w:type="character" w:customStyle="1" w:styleId="73">
    <w:name w:val="日期 Char"/>
    <w:link w:val="23"/>
    <w:autoRedefine/>
    <w:qFormat/>
    <w:uiPriority w:val="0"/>
    <w:rPr>
      <w:rFonts w:eastAsia="宋体"/>
      <w:kern w:val="2"/>
      <w:sz w:val="21"/>
    </w:rPr>
  </w:style>
  <w:style w:type="character" w:customStyle="1" w:styleId="74">
    <w:name w:val="批注框文本 Char"/>
    <w:link w:val="24"/>
    <w:autoRedefine/>
    <w:qFormat/>
    <w:uiPriority w:val="0"/>
    <w:rPr>
      <w:rFonts w:eastAsia="宋体"/>
      <w:kern w:val="2"/>
      <w:sz w:val="18"/>
    </w:rPr>
  </w:style>
  <w:style w:type="character" w:customStyle="1" w:styleId="75">
    <w:name w:val="页脚 Char"/>
    <w:link w:val="25"/>
    <w:autoRedefine/>
    <w:qFormat/>
    <w:uiPriority w:val="0"/>
    <w:rPr>
      <w:rFonts w:ascii="Calibri" w:hAnsi="Calibri" w:eastAsia="宋体"/>
      <w:kern w:val="2"/>
      <w:sz w:val="18"/>
      <w:szCs w:val="22"/>
    </w:rPr>
  </w:style>
  <w:style w:type="character" w:customStyle="1" w:styleId="76">
    <w:name w:val="页眉 Char"/>
    <w:link w:val="26"/>
    <w:autoRedefine/>
    <w:qFormat/>
    <w:uiPriority w:val="0"/>
    <w:rPr>
      <w:rFonts w:eastAsia="宋体"/>
      <w:kern w:val="2"/>
      <w:sz w:val="18"/>
    </w:rPr>
  </w:style>
  <w:style w:type="character" w:customStyle="1" w:styleId="77">
    <w:name w:val="正文文本缩进 3 Char"/>
    <w:basedOn w:val="42"/>
    <w:link w:val="31"/>
    <w:autoRedefine/>
    <w:qFormat/>
    <w:uiPriority w:val="0"/>
    <w:rPr>
      <w:rFonts w:ascii="Calibri" w:hAnsi="Calibri" w:eastAsia="宋体"/>
      <w:kern w:val="2"/>
      <w:sz w:val="16"/>
      <w:szCs w:val="16"/>
    </w:rPr>
  </w:style>
  <w:style w:type="character" w:customStyle="1" w:styleId="78">
    <w:name w:val="标题 Char"/>
    <w:basedOn w:val="42"/>
    <w:link w:val="36"/>
    <w:autoRedefine/>
    <w:qFormat/>
    <w:uiPriority w:val="0"/>
    <w:rPr>
      <w:rFonts w:ascii="Arial" w:hAnsi="Arial" w:eastAsia="宋体"/>
      <w:b/>
      <w:sz w:val="32"/>
    </w:rPr>
  </w:style>
  <w:style w:type="character" w:customStyle="1" w:styleId="79">
    <w:name w:val="批注主题 Char"/>
    <w:link w:val="37"/>
    <w:autoRedefine/>
    <w:qFormat/>
    <w:uiPriority w:val="0"/>
    <w:rPr>
      <w:rFonts w:eastAsia="宋体"/>
      <w:kern w:val="2"/>
      <w:sz w:val="21"/>
    </w:rPr>
  </w:style>
  <w:style w:type="character" w:customStyle="1" w:styleId="80">
    <w:name w:val="正文首行缩进 Char1"/>
    <w:basedOn w:val="58"/>
    <w:link w:val="38"/>
    <w:autoRedefine/>
    <w:qFormat/>
    <w:uiPriority w:val="99"/>
    <w:rPr>
      <w:rFonts w:eastAsia="宋体"/>
      <w:kern w:val="2"/>
      <w:sz w:val="21"/>
    </w:rPr>
  </w:style>
  <w:style w:type="paragraph" w:customStyle="1" w:styleId="81">
    <w:name w:val="BodyText"/>
    <w:basedOn w:val="1"/>
    <w:autoRedefine/>
    <w:qFormat/>
    <w:uiPriority w:val="0"/>
    <w:pPr>
      <w:spacing w:before="260" w:after="260" w:line="360" w:lineRule="auto"/>
    </w:pPr>
    <w:rPr>
      <w:rFonts w:ascii="Times New Roman" w:hAnsi="Times New Roman"/>
      <w:sz w:val="24"/>
      <w:szCs w:val="20"/>
    </w:rPr>
  </w:style>
  <w:style w:type="character" w:customStyle="1" w:styleId="82">
    <w:name w:val="批注文字 Char1"/>
    <w:autoRedefine/>
    <w:qFormat/>
    <w:uiPriority w:val="0"/>
    <w:rPr>
      <w:rFonts w:ascii="Times New Roman" w:hAnsi="Times New Roman" w:eastAsia="宋体" w:cs="Times New Roman"/>
      <w:sz w:val="20"/>
      <w:szCs w:val="20"/>
      <w:lang w:bidi="ar-SA"/>
    </w:rPr>
  </w:style>
  <w:style w:type="character" w:customStyle="1" w:styleId="83">
    <w:name w:val="Comment Text Char"/>
    <w:autoRedefine/>
    <w:qFormat/>
    <w:uiPriority w:val="0"/>
  </w:style>
  <w:style w:type="character" w:customStyle="1" w:styleId="84">
    <w:name w:val="正文首行缩进 Char"/>
    <w:basedOn w:val="85"/>
    <w:autoRedefine/>
    <w:qFormat/>
    <w:uiPriority w:val="0"/>
    <w:rPr>
      <w:rFonts w:eastAsia="宋体"/>
      <w:kern w:val="2"/>
      <w:sz w:val="21"/>
      <w:szCs w:val="24"/>
      <w:lang w:val="en-US" w:eastAsia="zh-CN" w:bidi="ar-SA"/>
    </w:rPr>
  </w:style>
  <w:style w:type="character" w:customStyle="1" w:styleId="85">
    <w:name w:val="正文文本 Char"/>
    <w:autoRedefine/>
    <w:qFormat/>
    <w:uiPriority w:val="0"/>
    <w:rPr>
      <w:rFonts w:eastAsia="宋体"/>
      <w:kern w:val="2"/>
      <w:sz w:val="21"/>
      <w:szCs w:val="24"/>
      <w:lang w:val="en-US" w:eastAsia="zh-CN" w:bidi="ar-SA"/>
    </w:rPr>
  </w:style>
  <w:style w:type="character" w:customStyle="1" w:styleId="86">
    <w:name w:val="style_kwd"/>
    <w:basedOn w:val="42"/>
    <w:autoRedefine/>
    <w:qFormat/>
    <w:uiPriority w:val="0"/>
  </w:style>
  <w:style w:type="character" w:customStyle="1" w:styleId="87">
    <w:name w:val="font161"/>
    <w:autoRedefine/>
    <w:qFormat/>
    <w:uiPriority w:val="0"/>
    <w:rPr>
      <w:b/>
      <w:bCs/>
      <w:sz w:val="32"/>
      <w:szCs w:val="32"/>
    </w:rPr>
  </w:style>
  <w:style w:type="character" w:customStyle="1" w:styleId="88">
    <w:name w:val="无间隔 Char"/>
    <w:link w:val="89"/>
    <w:autoRedefine/>
    <w:qFormat/>
    <w:uiPriority w:val="1"/>
    <w:rPr>
      <w:sz w:val="24"/>
      <w:szCs w:val="24"/>
      <w:lang w:val="en-US" w:eastAsia="zh-CN" w:bidi="ar-SA"/>
    </w:rPr>
  </w:style>
  <w:style w:type="paragraph" w:styleId="89">
    <w:name w:val="No Spacing"/>
    <w:link w:val="88"/>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0">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1">
    <w:name w:val="Table Paragraph"/>
    <w:basedOn w:val="1"/>
    <w:autoRedefine/>
    <w:qFormat/>
    <w:uiPriority w:val="1"/>
    <w:pPr>
      <w:jc w:val="left"/>
    </w:pPr>
    <w:rPr>
      <w:sz w:val="22"/>
      <w:lang w:eastAsia="en-US"/>
    </w:rPr>
  </w:style>
  <w:style w:type="paragraph" w:customStyle="1" w:styleId="9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3">
    <w:name w:val="List Paragraph"/>
    <w:basedOn w:val="1"/>
    <w:autoRedefine/>
    <w:qFormat/>
    <w:uiPriority w:val="0"/>
    <w:pPr>
      <w:ind w:firstLine="420" w:firstLineChars="200"/>
    </w:pPr>
  </w:style>
  <w:style w:type="paragraph" w:customStyle="1" w:styleId="94">
    <w:name w:val="_Style 2"/>
    <w:basedOn w:val="1"/>
    <w:next w:val="1"/>
    <w:autoRedefine/>
    <w:qFormat/>
    <w:uiPriority w:val="99"/>
    <w:pPr>
      <w:tabs>
        <w:tab w:val="left" w:pos="840"/>
      </w:tabs>
      <w:ind w:firstLine="420" w:firstLineChars="200"/>
    </w:pPr>
  </w:style>
  <w:style w:type="paragraph" w:customStyle="1" w:styleId="95">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6">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98">
    <w:name w:val="1"/>
    <w:basedOn w:val="1"/>
    <w:autoRedefine/>
    <w:qFormat/>
    <w:uiPriority w:val="0"/>
    <w:rPr>
      <w:rFonts w:ascii="Times New Roman" w:hAnsi="Times New Roman"/>
      <w:szCs w:val="20"/>
    </w:rPr>
  </w:style>
  <w:style w:type="paragraph" w:customStyle="1" w:styleId="99">
    <w:name w:val="我的正文"/>
    <w:basedOn w:val="1"/>
    <w:autoRedefine/>
    <w:qFormat/>
    <w:uiPriority w:val="0"/>
    <w:rPr>
      <w:rFonts w:ascii="宋体" w:hAnsi="宋体"/>
      <w:sz w:val="24"/>
      <w:szCs w:val="24"/>
    </w:rPr>
  </w:style>
  <w:style w:type="paragraph" w:customStyle="1" w:styleId="100">
    <w:name w:val="Char1"/>
    <w:basedOn w:val="1"/>
    <w:autoRedefine/>
    <w:qFormat/>
    <w:uiPriority w:val="0"/>
    <w:pPr>
      <w:tabs>
        <w:tab w:val="left" w:pos="360"/>
      </w:tabs>
    </w:pPr>
    <w:rPr>
      <w:rFonts w:ascii="Times New Roman" w:hAnsi="Times New Roman"/>
      <w:sz w:val="24"/>
      <w:szCs w:val="20"/>
    </w:rPr>
  </w:style>
  <w:style w:type="paragraph" w:customStyle="1" w:styleId="101">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2">
    <w:name w:val="样式2"/>
    <w:basedOn w:val="4"/>
    <w:autoRedefine/>
    <w:qFormat/>
    <w:uiPriority w:val="0"/>
    <w:pPr>
      <w:spacing w:line="415" w:lineRule="auto"/>
      <w:ind w:firstLine="137"/>
    </w:pPr>
    <w:rPr>
      <w:rFonts w:hAnsi="Times New Roman"/>
      <w:bCs/>
      <w:i/>
      <w:szCs w:val="28"/>
    </w:rPr>
  </w:style>
  <w:style w:type="paragraph" w:customStyle="1" w:styleId="103">
    <w:name w:val="样式1"/>
    <w:basedOn w:val="1"/>
    <w:next w:val="5"/>
    <w:autoRedefine/>
    <w:qFormat/>
    <w:uiPriority w:val="0"/>
    <w:pPr>
      <w:spacing w:line="360" w:lineRule="auto"/>
      <w:ind w:firstLine="420" w:firstLineChars="200"/>
    </w:pPr>
    <w:rPr>
      <w:rFonts w:ascii="宋体" w:hAnsi="宋体"/>
      <w:szCs w:val="21"/>
    </w:rPr>
  </w:style>
  <w:style w:type="paragraph" w:customStyle="1" w:styleId="104">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5">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6">
    <w:name w:val="表格"/>
    <w:basedOn w:val="1"/>
    <w:autoRedefine/>
    <w:qFormat/>
    <w:uiPriority w:val="0"/>
    <w:pPr>
      <w:jc w:val="center"/>
      <w:textAlignment w:val="center"/>
    </w:pPr>
    <w:rPr>
      <w:rFonts w:ascii="华文细黑" w:hAnsi="华文细黑"/>
      <w:kern w:val="0"/>
      <w:szCs w:val="20"/>
    </w:rPr>
  </w:style>
  <w:style w:type="paragraph" w:customStyle="1" w:styleId="107">
    <w:name w:val="_Style 23"/>
    <w:basedOn w:val="1"/>
    <w:autoRedefine/>
    <w:qFormat/>
    <w:uiPriority w:val="0"/>
    <w:pPr>
      <w:widowControl/>
      <w:spacing w:after="160" w:line="240" w:lineRule="exact"/>
      <w:jc w:val="left"/>
    </w:pPr>
  </w:style>
  <w:style w:type="paragraph" w:customStyle="1" w:styleId="10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09">
    <w:name w:val="修订3"/>
    <w:autoRedefine/>
    <w:qFormat/>
    <w:uiPriority w:val="0"/>
    <w:rPr>
      <w:rFonts w:ascii="Times New Roman" w:hAnsi="Times New Roman" w:eastAsia="宋体" w:cs="Times New Roman"/>
      <w:kern w:val="2"/>
      <w:sz w:val="21"/>
      <w:lang w:val="en-US" w:eastAsia="zh-CN" w:bidi="ar-SA"/>
    </w:rPr>
  </w:style>
  <w:style w:type="paragraph" w:customStyle="1" w:styleId="110">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1">
    <w:name w:val="正文00"/>
    <w:basedOn w:val="1"/>
    <w:autoRedefine/>
    <w:qFormat/>
    <w:uiPriority w:val="0"/>
    <w:pPr>
      <w:topLinePunct/>
    </w:pPr>
    <w:rPr>
      <w:sz w:val="24"/>
      <w:szCs w:val="21"/>
    </w:rPr>
  </w:style>
  <w:style w:type="paragraph" w:customStyle="1" w:styleId="112">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4">
    <w:name w:val="网格型1"/>
    <w:basedOn w:val="4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17073</Words>
  <Characters>18403</Characters>
  <Lines>72</Lines>
  <Paragraphs>20</Paragraphs>
  <TotalTime>42</TotalTime>
  <ScaleCrop>false</ScaleCrop>
  <LinksUpToDate>false</LinksUpToDate>
  <CharactersWithSpaces>19648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2024-05-24T05:24:11Z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40229EA25C5846F0903F4868E550B009_13</vt:lpwstr>
  </property>
</Properties>
</file>