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4C4948"/>
          <w:spacing w:val="0"/>
        </w:rPr>
      </w:pPr>
      <w:r>
        <w:rPr>
          <w:rFonts w:hint="eastAsia" w:ascii="宋体" w:hAnsi="宋体" w:eastAsia="宋体" w:cs="宋体"/>
          <w:i w:val="0"/>
          <w:iCs w:val="0"/>
          <w:caps w:val="0"/>
          <w:color w:val="4C4948"/>
          <w:spacing w:val="0"/>
          <w:shd w:val="clear" w:fill="FFFFFF"/>
        </w:rPr>
        <w:t>张涿高速与北京市国道G109新线高速连通工程—机电工程监理中标候选人公示</w:t>
      </w:r>
    </w:p>
    <w:p>
      <w:pPr>
        <w:pStyle w:val="5"/>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项目编号：I1301000075060982001001</w:t>
      </w:r>
    </w:p>
    <w:tbl>
      <w:tblPr>
        <w:tblStyle w:val="7"/>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67"/>
        <w:gridCol w:w="437"/>
        <w:gridCol w:w="70"/>
        <w:gridCol w:w="310"/>
        <w:gridCol w:w="916"/>
        <w:gridCol w:w="488"/>
        <w:gridCol w:w="396"/>
        <w:gridCol w:w="283"/>
        <w:gridCol w:w="213"/>
        <w:gridCol w:w="670"/>
        <w:gridCol w:w="222"/>
        <w:gridCol w:w="262"/>
        <w:gridCol w:w="450"/>
        <w:gridCol w:w="107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22" w:type="dxa"/>
            <w:gridSpan w:val="16"/>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54" w:type="dxa"/>
            <w:gridSpan w:val="4"/>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标段：</w:t>
            </w:r>
          </w:p>
        </w:tc>
        <w:tc>
          <w:tcPr>
            <w:tcW w:w="7068" w:type="dxa"/>
            <w:gridSpan w:val="12"/>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张涿高速与北京市国道G109新线高速连通工程—机电工程监理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854" w:type="dxa"/>
            <w:gridSpan w:val="4"/>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所属行业：</w:t>
            </w:r>
          </w:p>
        </w:tc>
        <w:tc>
          <w:tcPr>
            <w:tcW w:w="2393" w:type="dxa"/>
            <w:gridSpan w:val="5"/>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交通运输、仓储和邮政业-道路运输业</w:t>
            </w:r>
          </w:p>
        </w:tc>
        <w:tc>
          <w:tcPr>
            <w:tcW w:w="1367" w:type="dxa"/>
            <w:gridSpan w:val="4"/>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所属地区：</w:t>
            </w:r>
          </w:p>
        </w:tc>
        <w:tc>
          <w:tcPr>
            <w:tcW w:w="3308" w:type="dxa"/>
            <w:gridSpan w:val="3"/>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河北省-张家口市-涿鹿县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854" w:type="dxa"/>
            <w:gridSpan w:val="4"/>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开标时间:</w:t>
            </w:r>
          </w:p>
        </w:tc>
        <w:tc>
          <w:tcPr>
            <w:tcW w:w="2393" w:type="dxa"/>
            <w:gridSpan w:val="5"/>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2024-05-08 14:30</w:t>
            </w:r>
          </w:p>
        </w:tc>
        <w:tc>
          <w:tcPr>
            <w:tcW w:w="1367" w:type="dxa"/>
            <w:gridSpan w:val="4"/>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开标地点:</w:t>
            </w:r>
          </w:p>
        </w:tc>
        <w:tc>
          <w:tcPr>
            <w:tcW w:w="3308" w:type="dxa"/>
            <w:gridSpan w:val="3"/>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石家庄市红旗大街25号西清公寓6楼会议室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854" w:type="dxa"/>
            <w:gridSpan w:val="4"/>
            <w:vAlign w:val="center"/>
          </w:tcPr>
          <w:p>
            <w:pPr>
              <w:pStyle w:val="5"/>
              <w:keepNext w:val="0"/>
              <w:keepLines w:val="0"/>
              <w:widowControl/>
              <w:suppressLineNumbers w:val="0"/>
              <w:spacing w:before="75" w:beforeAutospacing="0" w:after="75" w:afterAutospacing="0"/>
              <w:ind w:right="0"/>
              <w:jc w:val="left"/>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公示开始日期:</w:t>
            </w:r>
          </w:p>
        </w:tc>
        <w:tc>
          <w:tcPr>
            <w:tcW w:w="2393" w:type="dxa"/>
            <w:gridSpan w:val="5"/>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2024-05-9</w:t>
            </w:r>
          </w:p>
        </w:tc>
        <w:tc>
          <w:tcPr>
            <w:tcW w:w="1367" w:type="dxa"/>
            <w:gridSpan w:val="4"/>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公示截止日期:</w:t>
            </w:r>
          </w:p>
        </w:tc>
        <w:tc>
          <w:tcPr>
            <w:tcW w:w="3308" w:type="dxa"/>
            <w:gridSpan w:val="3"/>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lang w:eastAsia="zh-CN"/>
              </w:rPr>
            </w:pPr>
            <w:r>
              <w:rPr>
                <w:rFonts w:hint="eastAsia" w:ascii="宋体" w:hAnsi="宋体" w:eastAsia="宋体" w:cs="宋体"/>
                <w:i w:val="0"/>
                <w:iCs w:val="0"/>
                <w:caps w:val="0"/>
                <w:color w:val="000000"/>
                <w:spacing w:val="0"/>
                <w:sz w:val="24"/>
                <w:szCs w:val="24"/>
                <w:vertAlign w:val="baseline"/>
              </w:rPr>
              <w:t>2024-05-1</w:t>
            </w:r>
            <w:r>
              <w:rPr>
                <w:rFonts w:hint="eastAsia" w:ascii="宋体" w:hAnsi="宋体" w:eastAsia="宋体" w:cs="宋体"/>
                <w:i w:val="0"/>
                <w:iCs w:val="0"/>
                <w:caps w:val="0"/>
                <w:color w:val="000000"/>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922" w:type="dxa"/>
            <w:gridSpan w:val="16"/>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b/>
                <w:bCs/>
                <w:i w:val="0"/>
                <w:iCs w:val="0"/>
                <w:caps w:val="0"/>
                <w:color w:val="000000"/>
                <w:spacing w:val="0"/>
                <w:sz w:val="24"/>
                <w:szCs w:val="24"/>
                <w:vertAlign w:val="baseline"/>
              </w:rPr>
              <w:t>中标候选人名单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480" w:type="dxa"/>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排名</w:t>
            </w:r>
          </w:p>
        </w:tc>
        <w:tc>
          <w:tcPr>
            <w:tcW w:w="867" w:type="dxa"/>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统一社会信用代码</w:t>
            </w:r>
          </w:p>
        </w:tc>
        <w:tc>
          <w:tcPr>
            <w:tcW w:w="817" w:type="dxa"/>
            <w:gridSpan w:val="3"/>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中标候选人单位名称</w:t>
            </w:r>
          </w:p>
        </w:tc>
        <w:tc>
          <w:tcPr>
            <w:tcW w:w="916" w:type="dxa"/>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投标价格</w:t>
            </w:r>
          </w:p>
        </w:tc>
        <w:tc>
          <w:tcPr>
            <w:tcW w:w="884" w:type="dxa"/>
            <w:gridSpan w:val="2"/>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评标价格</w:t>
            </w:r>
          </w:p>
        </w:tc>
        <w:tc>
          <w:tcPr>
            <w:tcW w:w="1166" w:type="dxa"/>
            <w:gridSpan w:val="3"/>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评分结果</w:t>
            </w:r>
          </w:p>
        </w:tc>
        <w:tc>
          <w:tcPr>
            <w:tcW w:w="934" w:type="dxa"/>
            <w:gridSpan w:val="3"/>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质量标准</w:t>
            </w:r>
          </w:p>
        </w:tc>
        <w:tc>
          <w:tcPr>
            <w:tcW w:w="2858" w:type="dxa"/>
            <w:gridSpan w:val="2"/>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监理服务期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480" w:type="dxa"/>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1</w:t>
            </w:r>
          </w:p>
        </w:tc>
        <w:tc>
          <w:tcPr>
            <w:tcW w:w="867" w:type="dxa"/>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91110108802118705R</w:t>
            </w:r>
          </w:p>
        </w:tc>
        <w:tc>
          <w:tcPr>
            <w:tcW w:w="817" w:type="dxa"/>
            <w:gridSpan w:val="3"/>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北京泰克华诚技术信息咨询有限公司</w:t>
            </w:r>
          </w:p>
        </w:tc>
        <w:tc>
          <w:tcPr>
            <w:tcW w:w="916" w:type="dxa"/>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722000元</w:t>
            </w:r>
          </w:p>
        </w:tc>
        <w:tc>
          <w:tcPr>
            <w:tcW w:w="884" w:type="dxa"/>
            <w:gridSpan w:val="2"/>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722000元</w:t>
            </w:r>
          </w:p>
        </w:tc>
        <w:tc>
          <w:tcPr>
            <w:tcW w:w="1166" w:type="dxa"/>
            <w:gridSpan w:val="3"/>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 xml:space="preserve">综合得分：96.38 报价得分：9.74 评审得分：86.64 </w:t>
            </w:r>
          </w:p>
        </w:tc>
        <w:tc>
          <w:tcPr>
            <w:tcW w:w="934" w:type="dxa"/>
            <w:gridSpan w:val="3"/>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工程交（竣）工验收质量评定：合格；</w:t>
            </w:r>
          </w:p>
        </w:tc>
        <w:tc>
          <w:tcPr>
            <w:tcW w:w="2858" w:type="dxa"/>
            <w:gridSpan w:val="2"/>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color w:val="auto"/>
                <w:szCs w:val="21"/>
                <w:highlight w:val="none"/>
              </w:rPr>
              <w:t>工程开工前准备至缺陷责任期结束，计划</w:t>
            </w:r>
            <w:r>
              <w:rPr>
                <w:rFonts w:hint="eastAsia" w:ascii="宋体" w:hAnsi="宋体" w:eastAsia="宋体" w:cs="Times New Roman"/>
                <w:b w:val="0"/>
                <w:bCs/>
                <w:color w:val="auto"/>
                <w:szCs w:val="21"/>
                <w:highlight w:val="none"/>
              </w:rPr>
              <w:t>监理服务期为34个月</w:t>
            </w:r>
            <w:r>
              <w:rPr>
                <w:rFonts w:hint="eastAsia" w:ascii="宋体" w:hAnsi="宋体"/>
                <w:color w:val="auto"/>
                <w:szCs w:val="21"/>
                <w:highlight w:val="none"/>
              </w:rPr>
              <w:t>，其中：</w:t>
            </w:r>
            <w:r>
              <w:rPr>
                <w:rFonts w:ascii="宋体" w:hAnsi="宋体"/>
                <w:color w:val="auto"/>
                <w:szCs w:val="21"/>
                <w:highlight w:val="none"/>
              </w:rPr>
              <w:t>施工</w:t>
            </w:r>
            <w:r>
              <w:rPr>
                <w:rFonts w:hint="eastAsia" w:ascii="宋体" w:hAnsi="宋体"/>
                <w:color w:val="auto"/>
                <w:szCs w:val="21"/>
                <w:highlight w:val="none"/>
              </w:rPr>
              <w:t>阶段监理服务期7个月（含施工前准备阶段、施工阶段），试运行阶段监理服务期3个月，</w:t>
            </w:r>
            <w:r>
              <w:rPr>
                <w:rFonts w:ascii="宋体" w:hAnsi="宋体"/>
                <w:color w:val="auto"/>
                <w:szCs w:val="21"/>
                <w:highlight w:val="none"/>
              </w:rPr>
              <w:t>交工验收与缺陷责任期</w:t>
            </w:r>
            <w:r>
              <w:rPr>
                <w:rFonts w:hint="eastAsia" w:ascii="宋体" w:hAnsi="宋体"/>
                <w:color w:val="auto"/>
                <w:szCs w:val="21"/>
                <w:highlight w:val="none"/>
              </w:rPr>
              <w:t>阶段监理服务期24个月。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0" w:type="dxa"/>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2</w:t>
            </w:r>
          </w:p>
        </w:tc>
        <w:tc>
          <w:tcPr>
            <w:tcW w:w="867" w:type="dxa"/>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91130101685712333K</w:t>
            </w:r>
          </w:p>
        </w:tc>
        <w:tc>
          <w:tcPr>
            <w:tcW w:w="817" w:type="dxa"/>
            <w:gridSpan w:val="3"/>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石家庄宏域工程技术咨询有限公司</w:t>
            </w:r>
          </w:p>
        </w:tc>
        <w:tc>
          <w:tcPr>
            <w:tcW w:w="916" w:type="dxa"/>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745000元</w:t>
            </w:r>
          </w:p>
        </w:tc>
        <w:tc>
          <w:tcPr>
            <w:tcW w:w="884" w:type="dxa"/>
            <w:gridSpan w:val="2"/>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745000元</w:t>
            </w:r>
          </w:p>
        </w:tc>
        <w:tc>
          <w:tcPr>
            <w:tcW w:w="1166" w:type="dxa"/>
            <w:gridSpan w:val="3"/>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 xml:space="preserve">综合得分：95.61 报价得分：9.89 评审得分：85.72 </w:t>
            </w:r>
          </w:p>
        </w:tc>
        <w:tc>
          <w:tcPr>
            <w:tcW w:w="934" w:type="dxa"/>
            <w:gridSpan w:val="3"/>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工程交（竣）工验收质量评定：合格；</w:t>
            </w:r>
          </w:p>
        </w:tc>
        <w:tc>
          <w:tcPr>
            <w:tcW w:w="2858" w:type="dxa"/>
            <w:gridSpan w:val="2"/>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color w:val="auto"/>
                <w:szCs w:val="21"/>
                <w:highlight w:val="none"/>
              </w:rPr>
              <w:t>工程开工前准备至缺陷责任期结束，计划</w:t>
            </w:r>
            <w:r>
              <w:rPr>
                <w:rFonts w:hint="eastAsia" w:ascii="宋体" w:hAnsi="宋体" w:eastAsia="宋体" w:cs="Times New Roman"/>
                <w:b w:val="0"/>
                <w:bCs/>
                <w:color w:val="auto"/>
                <w:szCs w:val="21"/>
                <w:highlight w:val="none"/>
              </w:rPr>
              <w:t>监理服务期为34个月</w:t>
            </w:r>
            <w:r>
              <w:rPr>
                <w:rFonts w:hint="eastAsia" w:ascii="宋体" w:hAnsi="宋体"/>
                <w:color w:val="auto"/>
                <w:szCs w:val="21"/>
                <w:highlight w:val="none"/>
              </w:rPr>
              <w:t>，其中：</w:t>
            </w:r>
            <w:r>
              <w:rPr>
                <w:rFonts w:ascii="宋体" w:hAnsi="宋体"/>
                <w:color w:val="auto"/>
                <w:szCs w:val="21"/>
                <w:highlight w:val="none"/>
              </w:rPr>
              <w:t>施工</w:t>
            </w:r>
            <w:r>
              <w:rPr>
                <w:rFonts w:hint="eastAsia" w:ascii="宋体" w:hAnsi="宋体"/>
                <w:color w:val="auto"/>
                <w:szCs w:val="21"/>
                <w:highlight w:val="none"/>
              </w:rPr>
              <w:t>阶段监理服务期7个月（含施工前准备阶段、施工阶段），试运行阶段监理服务期3个月，</w:t>
            </w:r>
            <w:r>
              <w:rPr>
                <w:rFonts w:ascii="宋体" w:hAnsi="宋体"/>
                <w:color w:val="auto"/>
                <w:szCs w:val="21"/>
                <w:highlight w:val="none"/>
              </w:rPr>
              <w:t>交工验收与缺陷责任期</w:t>
            </w:r>
            <w:r>
              <w:rPr>
                <w:rFonts w:hint="eastAsia" w:ascii="宋体" w:hAnsi="宋体"/>
                <w:color w:val="auto"/>
                <w:szCs w:val="21"/>
                <w:highlight w:val="none"/>
              </w:rPr>
              <w:t>阶段监理服务期24个月。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0" w:type="dxa"/>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3</w:t>
            </w:r>
          </w:p>
        </w:tc>
        <w:tc>
          <w:tcPr>
            <w:tcW w:w="867" w:type="dxa"/>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91110106802205243K</w:t>
            </w:r>
          </w:p>
        </w:tc>
        <w:tc>
          <w:tcPr>
            <w:tcW w:w="817" w:type="dxa"/>
            <w:gridSpan w:val="3"/>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北京天智恒业科技发展有限公司</w:t>
            </w:r>
          </w:p>
        </w:tc>
        <w:tc>
          <w:tcPr>
            <w:tcW w:w="916" w:type="dxa"/>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756200元</w:t>
            </w:r>
          </w:p>
        </w:tc>
        <w:tc>
          <w:tcPr>
            <w:tcW w:w="884" w:type="dxa"/>
            <w:gridSpan w:val="2"/>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756200元</w:t>
            </w:r>
          </w:p>
        </w:tc>
        <w:tc>
          <w:tcPr>
            <w:tcW w:w="1166" w:type="dxa"/>
            <w:gridSpan w:val="3"/>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 xml:space="preserve">综合得分：91.25 报价得分：9.59 评审得分：81.66 </w:t>
            </w:r>
          </w:p>
        </w:tc>
        <w:tc>
          <w:tcPr>
            <w:tcW w:w="934" w:type="dxa"/>
            <w:gridSpan w:val="3"/>
            <w:vAlign w:val="center"/>
          </w:tcPr>
          <w:p>
            <w:pPr>
              <w:pStyle w:val="5"/>
              <w:keepNext w:val="0"/>
              <w:keepLines w:val="0"/>
              <w:widowControl/>
              <w:suppressLineNumbers w:val="0"/>
              <w:spacing w:before="75" w:beforeAutospacing="0" w:after="75" w:afterAutospacing="0"/>
              <w:ind w:right="0"/>
              <w:jc w:val="both"/>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工程交（竣）工验收质量评定：合格； </w:t>
            </w:r>
            <w:bookmarkStart w:id="0" w:name="_GoBack"/>
            <w:bookmarkEnd w:id="0"/>
            <w:r>
              <w:rPr>
                <w:rFonts w:hint="eastAsia" w:ascii="宋体" w:hAnsi="宋体" w:eastAsia="宋体" w:cs="宋体"/>
                <w:i w:val="0"/>
                <w:iCs w:val="0"/>
                <w:caps w:val="0"/>
                <w:color w:val="000000"/>
                <w:spacing w:val="0"/>
                <w:kern w:val="0"/>
                <w:sz w:val="24"/>
                <w:szCs w:val="24"/>
                <w:lang w:val="en-US" w:eastAsia="zh-CN" w:bidi="ar"/>
              </w:rPr>
              <w:t xml:space="preserve"> </w:t>
            </w:r>
          </w:p>
        </w:tc>
        <w:tc>
          <w:tcPr>
            <w:tcW w:w="2858" w:type="dxa"/>
            <w:gridSpan w:val="2"/>
            <w:vAlign w:val="center"/>
          </w:tcPr>
          <w:p>
            <w:pPr>
              <w:pStyle w:val="5"/>
              <w:keepNext w:val="0"/>
              <w:keepLines w:val="0"/>
              <w:widowControl/>
              <w:suppressLineNumbers w:val="0"/>
              <w:spacing w:before="75" w:beforeAutospacing="0" w:after="75" w:afterAutospacing="0"/>
              <w:ind w:right="0"/>
              <w:jc w:val="center"/>
              <w:rPr>
                <w:rFonts w:hint="eastAsia" w:ascii="宋体" w:hAnsi="宋体" w:eastAsia="宋体" w:cs="宋体"/>
                <w:i w:val="0"/>
                <w:iCs w:val="0"/>
                <w:caps w:val="0"/>
                <w:color w:val="000000"/>
                <w:spacing w:val="0"/>
                <w:sz w:val="24"/>
                <w:szCs w:val="24"/>
                <w:vertAlign w:val="baseline"/>
              </w:rPr>
            </w:pPr>
            <w:r>
              <w:rPr>
                <w:rFonts w:hint="eastAsia" w:ascii="宋体" w:hAnsi="宋体"/>
                <w:color w:val="auto"/>
                <w:szCs w:val="21"/>
                <w:highlight w:val="none"/>
              </w:rPr>
              <w:t>工程开工前准备至缺陷责任期结束，计划</w:t>
            </w:r>
            <w:r>
              <w:rPr>
                <w:rFonts w:hint="eastAsia" w:ascii="宋体" w:hAnsi="宋体" w:eastAsia="宋体" w:cs="Times New Roman"/>
                <w:b w:val="0"/>
                <w:bCs/>
                <w:color w:val="auto"/>
                <w:szCs w:val="21"/>
                <w:highlight w:val="none"/>
              </w:rPr>
              <w:t>监理服务期为34个月</w:t>
            </w:r>
            <w:r>
              <w:rPr>
                <w:rFonts w:hint="eastAsia" w:ascii="宋体" w:hAnsi="宋体"/>
                <w:color w:val="auto"/>
                <w:szCs w:val="21"/>
                <w:highlight w:val="none"/>
              </w:rPr>
              <w:t>，其中：</w:t>
            </w:r>
            <w:r>
              <w:rPr>
                <w:rFonts w:ascii="宋体" w:hAnsi="宋体"/>
                <w:color w:val="auto"/>
                <w:szCs w:val="21"/>
                <w:highlight w:val="none"/>
              </w:rPr>
              <w:t>施工</w:t>
            </w:r>
            <w:r>
              <w:rPr>
                <w:rFonts w:hint="eastAsia" w:ascii="宋体" w:hAnsi="宋体"/>
                <w:color w:val="auto"/>
                <w:szCs w:val="21"/>
                <w:highlight w:val="none"/>
              </w:rPr>
              <w:t>阶段监理服务期7个月（含施工前准备阶段、施工阶段），试运行阶段监理服务期3个月，</w:t>
            </w:r>
            <w:r>
              <w:rPr>
                <w:rFonts w:ascii="宋体" w:hAnsi="宋体"/>
                <w:color w:val="auto"/>
                <w:szCs w:val="21"/>
                <w:highlight w:val="none"/>
              </w:rPr>
              <w:t>交工验收与缺陷责任期</w:t>
            </w:r>
            <w:r>
              <w:rPr>
                <w:rFonts w:hint="eastAsia" w:ascii="宋体" w:hAnsi="宋体"/>
                <w:color w:val="auto"/>
                <w:szCs w:val="21"/>
                <w:highlight w:val="none"/>
              </w:rPr>
              <w:t>阶段监理服务期24个月。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8922" w:type="dxa"/>
            <w:gridSpan w:val="16"/>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第1中标候选人企业业绩：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1、大理至漾濞至云龙至兰坪高速公路（大理段一期工程）机电监理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2、柳格国高（G3011）敦煌至当金山口高速公路建设项目 DDJDJL 合同段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3、莆炎高速公路三明境尤溪中仙至建宁里心段工程 YEJ2 合同段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4、漳武线永定至南靖高速公路南靖段工程 EJ 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第2中标候选人企业业绩：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1、郑西高速公路尧山至栾川段 YLJDJL-1 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2、延庆至崇礼高速公路河北段 JDJL1 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3、长乐前塘至福清庄前高速公路 EJ 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lang w:val="en-US" w:eastAsia="zh-CN"/>
              </w:rPr>
              <w:t>第3中标候选人企业业绩：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1、湖北省三峡翻坝江北高速公路 SXJD-1 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2、海西高速公路网古武线永定至上杭段 J3 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color w:val="auto"/>
                <w:szCs w:val="21"/>
                <w:highlight w:val="none"/>
              </w:rPr>
            </w:pPr>
            <w:r>
              <w:rPr>
                <w:rFonts w:hint="eastAsia" w:ascii="宋体" w:hAnsi="宋体" w:eastAsia="宋体" w:cs="宋体"/>
                <w:i w:val="0"/>
                <w:iCs w:val="0"/>
                <w:caps w:val="0"/>
                <w:color w:val="000000"/>
                <w:spacing w:val="0"/>
                <w:sz w:val="24"/>
                <w:szCs w:val="24"/>
              </w:rPr>
              <w:t>3、昭通市昭泸高速公路 JDJL1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第1中标候选人-项目负责人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职务</w:t>
            </w:r>
          </w:p>
        </w:tc>
        <w:tc>
          <w:tcPr>
            <w:tcW w:w="1784" w:type="dxa"/>
            <w:gridSpan w:val="4"/>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姓名</w:t>
            </w:r>
          </w:p>
        </w:tc>
        <w:tc>
          <w:tcPr>
            <w:tcW w:w="1784" w:type="dxa"/>
            <w:gridSpan w:val="5"/>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职称</w:t>
            </w:r>
          </w:p>
        </w:tc>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执业或职业资格</w:t>
            </w:r>
          </w:p>
        </w:tc>
        <w:tc>
          <w:tcPr>
            <w:tcW w:w="178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1784" w:type="dxa"/>
            <w:gridSpan w:val="4"/>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温从瑜</w:t>
            </w:r>
          </w:p>
        </w:tc>
        <w:tc>
          <w:tcPr>
            <w:tcW w:w="1784" w:type="dxa"/>
            <w:gridSpan w:val="5"/>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监理工程师</w:t>
            </w:r>
          </w:p>
        </w:tc>
        <w:tc>
          <w:tcPr>
            <w:tcW w:w="178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JGJ1030183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第1中标候选人-个人业绩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漳武线永定至南靖高速公路南靖段工程 第 EJ 标段 </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莆炎高速公路三明境尤溪中仙至建宁里心段工程 第 YEJ2 合同段 </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平凉至天水高速公路项目天水段项目 第 PTJDJL2 标合同段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第1中标候选人-响应招标文件要求的资格能力条件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w:t>
            </w:r>
            <w:r>
              <w:rPr>
                <w:rFonts w:hint="eastAsia" w:ascii="宋体" w:hAnsi="宋体" w:eastAsia="宋体" w:cs="宋体"/>
                <w:b/>
                <w:bCs/>
                <w:i w:val="0"/>
                <w:iCs w:val="0"/>
                <w:caps w:val="0"/>
                <w:color w:val="000000"/>
                <w:spacing w:val="0"/>
                <w:sz w:val="24"/>
                <w:szCs w:val="24"/>
                <w:lang w:val="en-US" w:eastAsia="zh-CN"/>
              </w:rPr>
              <w:t>2</w:t>
            </w:r>
            <w:r>
              <w:rPr>
                <w:rFonts w:hint="eastAsia" w:ascii="宋体" w:hAnsi="宋体" w:eastAsia="宋体" w:cs="宋体"/>
                <w:b/>
                <w:bCs/>
                <w:i w:val="0"/>
                <w:iCs w:val="0"/>
                <w:caps w:val="0"/>
                <w:color w:val="000000"/>
                <w:spacing w:val="0"/>
                <w:sz w:val="24"/>
                <w:szCs w:val="24"/>
              </w:rPr>
              <w:t>中标候选人-项目负责人</w:t>
            </w:r>
            <w:r>
              <w:rPr>
                <w:rFonts w:hint="eastAsia" w:ascii="宋体" w:hAnsi="宋体" w:eastAsia="宋体" w:cs="宋体"/>
                <w:i w:val="0"/>
                <w:iCs w:val="0"/>
                <w:caps w:val="0"/>
                <w:color w:val="000000"/>
                <w:spacing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职务</w:t>
            </w:r>
          </w:p>
        </w:tc>
        <w:tc>
          <w:tcPr>
            <w:tcW w:w="1784" w:type="dxa"/>
            <w:gridSpan w:val="4"/>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姓名</w:t>
            </w:r>
          </w:p>
        </w:tc>
        <w:tc>
          <w:tcPr>
            <w:tcW w:w="1784" w:type="dxa"/>
            <w:gridSpan w:val="5"/>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职称</w:t>
            </w:r>
          </w:p>
        </w:tc>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执业或职业资格</w:t>
            </w:r>
          </w:p>
        </w:tc>
        <w:tc>
          <w:tcPr>
            <w:tcW w:w="178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1784" w:type="dxa"/>
            <w:gridSpan w:val="4"/>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张守军</w:t>
            </w:r>
          </w:p>
        </w:tc>
        <w:tc>
          <w:tcPr>
            <w:tcW w:w="1784" w:type="dxa"/>
            <w:gridSpan w:val="5"/>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监理工程师</w:t>
            </w:r>
          </w:p>
        </w:tc>
        <w:tc>
          <w:tcPr>
            <w:tcW w:w="178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JGJ0923145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w:t>
            </w:r>
            <w:r>
              <w:rPr>
                <w:rFonts w:hint="eastAsia" w:ascii="宋体" w:hAnsi="宋体" w:eastAsia="宋体" w:cs="宋体"/>
                <w:b/>
                <w:bCs/>
                <w:i w:val="0"/>
                <w:iCs w:val="0"/>
                <w:caps w:val="0"/>
                <w:color w:val="000000"/>
                <w:spacing w:val="0"/>
                <w:sz w:val="24"/>
                <w:szCs w:val="24"/>
                <w:lang w:val="en-US" w:eastAsia="zh-CN"/>
              </w:rPr>
              <w:t>2</w:t>
            </w:r>
            <w:r>
              <w:rPr>
                <w:rFonts w:hint="eastAsia" w:ascii="宋体" w:hAnsi="宋体" w:eastAsia="宋体" w:cs="宋体"/>
                <w:b/>
                <w:bCs/>
                <w:i w:val="0"/>
                <w:iCs w:val="0"/>
                <w:caps w:val="0"/>
                <w:color w:val="000000"/>
                <w:spacing w:val="0"/>
                <w:sz w:val="24"/>
                <w:szCs w:val="24"/>
              </w:rPr>
              <w:t>中标候选人-个人业绩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荣乌高速公路新线京台高速至京港澳高速段JDJL2 标段 </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津石高速公路津冀界至保石界段 JDJL2 标段 </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长乐前塘至福清庄前高速公路 EJ 标段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w:t>
            </w:r>
            <w:r>
              <w:rPr>
                <w:rFonts w:hint="eastAsia" w:ascii="宋体" w:hAnsi="宋体" w:eastAsia="宋体" w:cs="宋体"/>
                <w:b/>
                <w:bCs/>
                <w:i w:val="0"/>
                <w:iCs w:val="0"/>
                <w:caps w:val="0"/>
                <w:color w:val="000000"/>
                <w:spacing w:val="0"/>
                <w:sz w:val="24"/>
                <w:szCs w:val="24"/>
                <w:lang w:val="en-US" w:eastAsia="zh-CN"/>
              </w:rPr>
              <w:t>2</w:t>
            </w:r>
            <w:r>
              <w:rPr>
                <w:rFonts w:hint="eastAsia" w:ascii="宋体" w:hAnsi="宋体" w:eastAsia="宋体" w:cs="宋体"/>
                <w:b/>
                <w:bCs/>
                <w:i w:val="0"/>
                <w:iCs w:val="0"/>
                <w:caps w:val="0"/>
                <w:color w:val="000000"/>
                <w:spacing w:val="0"/>
                <w:sz w:val="24"/>
                <w:szCs w:val="24"/>
              </w:rPr>
              <w:t>中标候选人-响应招标文件要求的资格能力条件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w:t>
            </w:r>
            <w:r>
              <w:rPr>
                <w:rFonts w:hint="eastAsia" w:ascii="宋体" w:hAnsi="宋体" w:eastAsia="宋体" w:cs="宋体"/>
                <w:b/>
                <w:bCs/>
                <w:i w:val="0"/>
                <w:iCs w:val="0"/>
                <w:caps w:val="0"/>
                <w:color w:val="000000"/>
                <w:spacing w:val="0"/>
                <w:sz w:val="24"/>
                <w:szCs w:val="24"/>
                <w:lang w:val="en-US" w:eastAsia="zh-CN"/>
              </w:rPr>
              <w:t>3</w:t>
            </w:r>
            <w:r>
              <w:rPr>
                <w:rFonts w:hint="eastAsia" w:ascii="宋体" w:hAnsi="宋体" w:eastAsia="宋体" w:cs="宋体"/>
                <w:b/>
                <w:bCs/>
                <w:i w:val="0"/>
                <w:iCs w:val="0"/>
                <w:caps w:val="0"/>
                <w:color w:val="000000"/>
                <w:spacing w:val="0"/>
                <w:sz w:val="24"/>
                <w:szCs w:val="24"/>
              </w:rPr>
              <w:t>中标候选人-项目负责人 </w:t>
            </w:r>
            <w:r>
              <w:rPr>
                <w:rFonts w:hint="eastAsia" w:ascii="宋体" w:hAnsi="宋体" w:eastAsia="宋体" w:cs="宋体"/>
                <w:i w:val="0"/>
                <w:iCs w:val="0"/>
                <w:caps w:val="0"/>
                <w:color w:val="000000"/>
                <w:spacing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职务</w:t>
            </w:r>
          </w:p>
        </w:tc>
        <w:tc>
          <w:tcPr>
            <w:tcW w:w="1784" w:type="dxa"/>
            <w:gridSpan w:val="4"/>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姓名</w:t>
            </w:r>
          </w:p>
        </w:tc>
        <w:tc>
          <w:tcPr>
            <w:tcW w:w="1784" w:type="dxa"/>
            <w:gridSpan w:val="5"/>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职称</w:t>
            </w:r>
          </w:p>
        </w:tc>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执业或职业资格</w:t>
            </w:r>
          </w:p>
        </w:tc>
        <w:tc>
          <w:tcPr>
            <w:tcW w:w="178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1784" w:type="dxa"/>
            <w:gridSpan w:val="4"/>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王仕长</w:t>
            </w:r>
          </w:p>
        </w:tc>
        <w:tc>
          <w:tcPr>
            <w:tcW w:w="1784" w:type="dxa"/>
            <w:gridSpan w:val="5"/>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1784" w:type="dxa"/>
            <w:gridSpan w:val="3"/>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监理工程师</w:t>
            </w:r>
          </w:p>
        </w:tc>
        <w:tc>
          <w:tcPr>
            <w:tcW w:w="178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JGJ1336437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w:t>
            </w:r>
            <w:r>
              <w:rPr>
                <w:rFonts w:hint="eastAsia" w:ascii="宋体" w:hAnsi="宋体" w:eastAsia="宋体" w:cs="宋体"/>
                <w:b/>
                <w:bCs/>
                <w:i w:val="0"/>
                <w:iCs w:val="0"/>
                <w:caps w:val="0"/>
                <w:color w:val="000000"/>
                <w:spacing w:val="0"/>
                <w:sz w:val="24"/>
                <w:szCs w:val="24"/>
                <w:lang w:val="en-US" w:eastAsia="zh-CN"/>
              </w:rPr>
              <w:t>3</w:t>
            </w:r>
            <w:r>
              <w:rPr>
                <w:rFonts w:hint="eastAsia" w:ascii="宋体" w:hAnsi="宋体" w:eastAsia="宋体" w:cs="宋体"/>
                <w:b/>
                <w:bCs/>
                <w:i w:val="0"/>
                <w:iCs w:val="0"/>
                <w:caps w:val="0"/>
                <w:color w:val="000000"/>
                <w:spacing w:val="0"/>
                <w:sz w:val="24"/>
                <w:szCs w:val="24"/>
              </w:rPr>
              <w:t>中标候选人-个人业绩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通州环球主题公园增设京哈高速立交节点工程机电系统和照明 </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国家高速公路网京台线长乐松下至平潭段工程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w:t>
            </w:r>
            <w:r>
              <w:rPr>
                <w:rFonts w:hint="eastAsia" w:ascii="宋体" w:hAnsi="宋体" w:eastAsia="宋体" w:cs="宋体"/>
                <w:b/>
                <w:bCs/>
                <w:i w:val="0"/>
                <w:iCs w:val="0"/>
                <w:caps w:val="0"/>
                <w:color w:val="000000"/>
                <w:spacing w:val="0"/>
                <w:sz w:val="24"/>
                <w:szCs w:val="24"/>
                <w:lang w:val="en-US" w:eastAsia="zh-CN"/>
              </w:rPr>
              <w:t>3</w:t>
            </w:r>
            <w:r>
              <w:rPr>
                <w:rFonts w:hint="eastAsia" w:ascii="宋体" w:hAnsi="宋体" w:eastAsia="宋体" w:cs="宋体"/>
                <w:b/>
                <w:bCs/>
                <w:i w:val="0"/>
                <w:iCs w:val="0"/>
                <w:caps w:val="0"/>
                <w:color w:val="000000"/>
                <w:spacing w:val="0"/>
                <w:sz w:val="24"/>
                <w:szCs w:val="24"/>
              </w:rPr>
              <w:t>中标候选人-响应招标文件要求的资格能力条件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否决投标单位及理由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全部投标单位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b/>
                <w:bCs/>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石家庄宏域工程技术咨询有限公司</w:t>
            </w:r>
            <w:r>
              <w:rPr>
                <w:rFonts w:hint="eastAsia" w:ascii="宋体" w:hAnsi="宋体" w:eastAsia="宋体" w:cs="宋体"/>
                <w:b w:val="0"/>
                <w:bCs w:val="0"/>
                <w:i w:val="0"/>
                <w:iCs w:val="0"/>
                <w:caps w:val="0"/>
                <w:color w:val="000000"/>
                <w:spacing w:val="0"/>
                <w:sz w:val="24"/>
                <w:szCs w:val="24"/>
                <w:lang w:eastAsia="zh-CN"/>
              </w:rPr>
              <w:t>、</w:t>
            </w:r>
            <w:r>
              <w:rPr>
                <w:rFonts w:hint="eastAsia" w:ascii="宋体" w:hAnsi="宋体" w:eastAsia="宋体" w:cs="宋体"/>
                <w:b w:val="0"/>
                <w:bCs w:val="0"/>
                <w:i w:val="0"/>
                <w:iCs w:val="0"/>
                <w:caps w:val="0"/>
                <w:color w:val="000000"/>
                <w:spacing w:val="0"/>
                <w:sz w:val="24"/>
                <w:szCs w:val="24"/>
              </w:rPr>
              <w:t>北京天智恒业科技发展有限公司</w:t>
            </w:r>
            <w:r>
              <w:rPr>
                <w:rFonts w:hint="eastAsia" w:ascii="宋体" w:hAnsi="宋体" w:eastAsia="宋体" w:cs="宋体"/>
                <w:b w:val="0"/>
                <w:bCs w:val="0"/>
                <w:i w:val="0"/>
                <w:iCs w:val="0"/>
                <w:caps w:val="0"/>
                <w:color w:val="000000"/>
                <w:spacing w:val="0"/>
                <w:sz w:val="24"/>
                <w:szCs w:val="24"/>
                <w:lang w:eastAsia="zh-CN"/>
              </w:rPr>
              <w:t>、</w:t>
            </w:r>
            <w:r>
              <w:rPr>
                <w:rFonts w:hint="eastAsia" w:ascii="宋体" w:hAnsi="宋体" w:eastAsia="宋体" w:cs="宋体"/>
                <w:b w:val="0"/>
                <w:bCs w:val="0"/>
                <w:i w:val="0"/>
                <w:iCs w:val="0"/>
                <w:caps w:val="0"/>
                <w:color w:val="000000"/>
                <w:spacing w:val="0"/>
                <w:sz w:val="24"/>
                <w:szCs w:val="24"/>
              </w:rPr>
              <w:t>北京泰克华诚技术信息咨询有限公司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提出异议渠道和方式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投标人或其他利害关系人对评标结果有异议的，应在中标候选人公示期间按招标文件要求以书面形式通知招标人或招标代理机构。</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招标人联系方式：0312-6552827  招标代理机构联系方式：0311-67305619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2" w:type="dxa"/>
            <w:gridSpan w:val="16"/>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sz w:val="24"/>
                <w:szCs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4" w:type="dxa"/>
            <w:gridSpan w:val="5"/>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招标人：</w:t>
            </w:r>
          </w:p>
        </w:tc>
        <w:tc>
          <w:tcPr>
            <w:tcW w:w="2296" w:type="dxa"/>
            <w:gridSpan w:val="5"/>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河北高速公路集团有限公司张涿分公司</w:t>
            </w:r>
          </w:p>
        </w:tc>
        <w:tc>
          <w:tcPr>
            <w:tcW w:w="1604" w:type="dxa"/>
            <w:gridSpan w:val="4"/>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招标代理机构：</w:t>
            </w:r>
          </w:p>
        </w:tc>
        <w:tc>
          <w:tcPr>
            <w:tcW w:w="2858" w:type="dxa"/>
            <w:gridSpan w:val="2"/>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河北华业招标有限公司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4" w:type="dxa"/>
            <w:gridSpan w:val="5"/>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联系人:</w:t>
            </w:r>
          </w:p>
        </w:tc>
        <w:tc>
          <w:tcPr>
            <w:tcW w:w="2296" w:type="dxa"/>
            <w:gridSpan w:val="5"/>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侯佳</w:t>
            </w:r>
          </w:p>
        </w:tc>
        <w:tc>
          <w:tcPr>
            <w:tcW w:w="1604" w:type="dxa"/>
            <w:gridSpan w:val="4"/>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联系人:</w:t>
            </w:r>
          </w:p>
        </w:tc>
        <w:tc>
          <w:tcPr>
            <w:tcW w:w="2858" w:type="dxa"/>
            <w:gridSpan w:val="2"/>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张志军、孙晶晶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4" w:type="dxa"/>
            <w:gridSpan w:val="5"/>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地址:</w:t>
            </w:r>
          </w:p>
        </w:tc>
        <w:tc>
          <w:tcPr>
            <w:tcW w:w="2296" w:type="dxa"/>
            <w:gridSpan w:val="5"/>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河北省涿州市鹏程北街208号</w:t>
            </w:r>
          </w:p>
        </w:tc>
        <w:tc>
          <w:tcPr>
            <w:tcW w:w="1604" w:type="dxa"/>
            <w:gridSpan w:val="4"/>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地址:</w:t>
            </w:r>
          </w:p>
        </w:tc>
        <w:tc>
          <w:tcPr>
            <w:tcW w:w="2858" w:type="dxa"/>
            <w:gridSpan w:val="2"/>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石家庄市红旗大街25号西清公寓6楼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4" w:type="dxa"/>
            <w:gridSpan w:val="5"/>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电话:</w:t>
            </w:r>
          </w:p>
        </w:tc>
        <w:tc>
          <w:tcPr>
            <w:tcW w:w="2296" w:type="dxa"/>
            <w:gridSpan w:val="5"/>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0312-6552827</w:t>
            </w:r>
          </w:p>
        </w:tc>
        <w:tc>
          <w:tcPr>
            <w:tcW w:w="1604" w:type="dxa"/>
            <w:gridSpan w:val="4"/>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电话:</w:t>
            </w:r>
          </w:p>
        </w:tc>
        <w:tc>
          <w:tcPr>
            <w:tcW w:w="2858" w:type="dxa"/>
            <w:gridSpan w:val="2"/>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0311-67305619</w:t>
            </w:r>
          </w:p>
        </w:tc>
      </w:tr>
    </w:tbl>
    <w:p>
      <w:pPr>
        <w:rPr>
          <w:rFonts w:hint="eastAsia" w:ascii="宋体" w:hAnsi="宋体" w:eastAsia="宋体" w:cs="宋体"/>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A49B8"/>
    <w:multiLevelType w:val="singleLevel"/>
    <w:tmpl w:val="C68A49B8"/>
    <w:lvl w:ilvl="0" w:tentative="0">
      <w:start w:val="1"/>
      <w:numFmt w:val="decimal"/>
      <w:suff w:val="nothing"/>
      <w:lvlText w:val="%1、"/>
      <w:lvlJc w:val="left"/>
    </w:lvl>
  </w:abstractNum>
  <w:abstractNum w:abstractNumId="1">
    <w:nsid w:val="F49B97CB"/>
    <w:multiLevelType w:val="singleLevel"/>
    <w:tmpl w:val="F49B97CB"/>
    <w:lvl w:ilvl="0" w:tentative="0">
      <w:start w:val="1"/>
      <w:numFmt w:val="decimal"/>
      <w:suff w:val="nothing"/>
      <w:lvlText w:val="%1、"/>
      <w:lvlJc w:val="left"/>
    </w:lvl>
  </w:abstractNum>
  <w:abstractNum w:abstractNumId="2">
    <w:nsid w:val="5EB36ABA"/>
    <w:multiLevelType w:val="singleLevel"/>
    <w:tmpl w:val="5EB36AB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NjgxYmU2YjA2YmQ3NGQ2YjY2OGI0YzdmZjFjOTEifQ=="/>
  </w:docVars>
  <w:rsids>
    <w:rsidRoot w:val="43321B3C"/>
    <w:rsid w:val="1A6E334B"/>
    <w:rsid w:val="20BC04D6"/>
    <w:rsid w:val="20C03C34"/>
    <w:rsid w:val="43321B3C"/>
    <w:rsid w:val="44BD7F41"/>
    <w:rsid w:val="506B0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pPr>
      <w:spacing w:after="120"/>
    </w:pPr>
  </w:style>
  <w:style w:type="paragraph" w:styleId="3">
    <w:name w:val="Body Text 2"/>
    <w:basedOn w:val="1"/>
    <w:autoRedefine/>
    <w:qFormat/>
    <w:uiPriority w:val="0"/>
    <w:pPr>
      <w:spacing w:line="540" w:lineRule="exact"/>
    </w:pPr>
    <w:rPr>
      <w:color w:val="FF0000"/>
      <w:kern w:val="2"/>
      <w:sz w:val="21"/>
      <w:szCs w:val="24"/>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2024-05-08T11:18:00Z</dcterms:created>
  <dc:creator>李煜鹏</dc:creator>
  <cp:lastModifiedBy>HP</cp:lastModifiedBy>
  <cp:lastPrinted>2024-05-08T12:56:00Z</cp:lastPrinted>
  <dcterms:modified xsi:type="dcterms:W3CDTF">2024-05-09T01:14:19Z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25FFCB940B4C402C82ABD10B0E3BC5FE_11</vt:lpwstr>
  </property>
</Properties>
</file>