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2"/>
        <w:spacing w:before="120" w:after="120" w:line="300" w:lineRule="exact"/>
        <w:ind w:firstLine="200"/>
        <w:jc w:val="center"/>
        <w:rPr>
          <w:rFonts w:ascii="宋体" w:hAnsi="宋体"/>
          <w:sz w:val="24"/>
          <w:szCs w:val="24"/>
        </w:rPr>
      </w:pPr>
      <w:r>
        <w:rPr>
          <w:rFonts w:hint="eastAsia" w:ascii="宋体" w:hAnsi="宋体"/>
          <w:sz w:val="24"/>
          <w:szCs w:val="24"/>
        </w:rPr>
        <w:t>附录1 资格审查条件（资质最低要求）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具有有效企业营业执照；具备税务机关批准的税务师事务所行政登记证书。</w:t>
            </w:r>
          </w:p>
        </w:tc>
      </w:tr>
    </w:tbl>
    <w:p>
      <w:pPr>
        <w:pStyle w:val="2"/>
        <w:spacing w:before="120" w:after="120" w:line="300" w:lineRule="exact"/>
        <w:ind w:firstLine="200"/>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bookmarkStart w:id="2" w:name="_GoBack"/>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0454153"/>
            <w:bookmarkStart w:id="1" w:name="_Hlk51692819"/>
            <w:r>
              <w:rPr>
                <w:rFonts w:hint="eastAsia" w:ascii="宋体" w:hAnsi="宋体"/>
                <w:szCs w:val="21"/>
              </w:rPr>
              <w:t>投标人近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年4月1日至今，以合同签订时间为准）至少承担过一项企业财税咨询服务项目业绩。</w:t>
            </w:r>
            <w:bookmarkEnd w:id="0"/>
            <w:bookmarkEnd w:id="1"/>
          </w:p>
        </w:tc>
      </w:tr>
      <w:bookmarkEnd w:id="2"/>
    </w:tbl>
    <w:p>
      <w:pPr>
        <w:pStyle w:val="2"/>
        <w:spacing w:before="120" w:after="120" w:line="300" w:lineRule="exact"/>
        <w:ind w:firstLine="200"/>
        <w:jc w:val="center"/>
        <w:rPr>
          <w:rFonts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23</w:t>
            </w:r>
            <w:r>
              <w:rPr>
                <w:rFonts w:hint="eastAsia" w:ascii="宋体" w:hAnsi="宋体"/>
              </w:rPr>
              <w:t>年4月1日至今)</w:t>
            </w:r>
            <w:r>
              <w:rPr>
                <w:rFonts w:hint="eastAsia" w:ascii="宋体" w:hAnsi="宋体"/>
                <w:szCs w:val="21"/>
              </w:rPr>
              <w:t>不曾在财税咨询服务合同中违约而被驱逐或因投标人自身的原因而使财税咨询服务合同被解除。</w:t>
            </w:r>
          </w:p>
        </w:tc>
      </w:tr>
    </w:tbl>
    <w:p>
      <w:pPr>
        <w:pStyle w:val="2"/>
        <w:spacing w:before="120" w:after="120" w:line="300" w:lineRule="exact"/>
        <w:ind w:firstLine="200"/>
        <w:jc w:val="center"/>
        <w:rPr>
          <w:rFonts w:ascii="宋体" w:hAnsi="宋体"/>
          <w:sz w:val="24"/>
          <w:szCs w:val="24"/>
        </w:rPr>
      </w:pPr>
      <w:r>
        <w:rPr>
          <w:rFonts w:hint="eastAsia" w:ascii="宋体" w:hAnsi="宋体"/>
          <w:sz w:val="24"/>
          <w:szCs w:val="24"/>
        </w:rPr>
        <w:t>附录</w:t>
      </w:r>
      <w:r>
        <w:rPr>
          <w:rFonts w:ascii="宋体" w:hAnsi="宋体"/>
          <w:sz w:val="24"/>
          <w:szCs w:val="24"/>
        </w:rPr>
        <w:t>4</w:t>
      </w:r>
      <w:r>
        <w:rPr>
          <w:rFonts w:hint="eastAsia" w:ascii="宋体" w:hAnsi="宋体"/>
          <w:sz w:val="24"/>
          <w:szCs w:val="24"/>
        </w:rPr>
        <w:t xml:space="preserve"> 资格审查条件（项目负责人最低要求）</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384" w:firstLineChars="183"/>
              <w:rPr>
                <w:rFonts w:ascii="宋体" w:hAnsi="宋体"/>
              </w:rPr>
            </w:pPr>
            <w:r>
              <w:rPr>
                <w:rFonts w:hint="eastAsia" w:ascii="宋体" w:hAnsi="宋体"/>
              </w:rPr>
              <w:t>税务师，</w:t>
            </w:r>
            <w:r>
              <w:rPr>
                <w:rFonts w:hint="eastAsia" w:ascii="宋体" w:hAnsi="宋体"/>
                <w:szCs w:val="21"/>
              </w:rPr>
              <w:t>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年4月1日至今，以合同签订时间为准）至少担任过一项企业财税咨询服务项目的项目负责人</w:t>
            </w:r>
            <w:r>
              <w:rPr>
                <w:rFonts w:hint="eastAsia" w:ascii="宋体" w:hAnsi="宋体"/>
              </w:rPr>
              <w:t>。</w:t>
            </w:r>
          </w:p>
        </w:tc>
      </w:tr>
    </w:tbl>
    <w:p>
      <w:pPr>
        <w:pStyle w:val="2"/>
        <w:spacing w:before="120" w:line="300" w:lineRule="exact"/>
        <w:jc w:val="center"/>
        <w:rPr>
          <w:rFonts w:ascii="宋体" w:hAnsi="宋体"/>
          <w:sz w:val="24"/>
          <w:szCs w:val="24"/>
        </w:rPr>
      </w:pPr>
      <w:r>
        <w:rPr>
          <w:rFonts w:hint="eastAsia" w:ascii="宋体" w:hAnsi="宋体"/>
          <w:sz w:val="24"/>
          <w:szCs w:val="24"/>
        </w:rPr>
        <w:t>附录5 资格审查条件（其他主要人员最低要求）</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其他主要人员要求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3</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具有2年相关工作经验。</w:t>
            </w:r>
          </w:p>
        </w:tc>
      </w:tr>
    </w:tbl>
    <w:p>
      <w:pPr>
        <w:spacing w:line="360" w:lineRule="exact"/>
        <w:jc w:val="left"/>
        <w:rPr>
          <w:rFonts w:ascii="宋体" w:hAnsi="宋体"/>
          <w:b/>
          <w:sz w:val="24"/>
        </w:rPr>
      </w:pPr>
    </w:p>
    <w:p>
      <w:pPr>
        <w:adjustRightInd w:val="0"/>
        <w:spacing w:line="400" w:lineRule="atLeast"/>
        <w:ind w:firstLine="367" w:firstLineChars="175"/>
        <w:rPr>
          <w:rFonts w:ascii="宋体" w:hAnsi="宋体"/>
          <w:sz w:val="24"/>
          <w:szCs w:val="24"/>
        </w:rPr>
      </w:pPr>
      <w:r>
        <w:rPr>
          <w:rFonts w:ascii="宋体" w:hAnsi="宋体"/>
        </w:rPr>
        <w:br w:type="page"/>
      </w:r>
      <w:r>
        <w:rPr>
          <w:rFonts w:hint="eastAsia" w:ascii="宋体" w:hAnsi="宋体"/>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名中标候选人；综合评分相等时，评标委员会依次按照以下优先推荐中标候选人：</w:t>
            </w:r>
          </w:p>
          <w:p>
            <w:pPr>
              <w:widowControl/>
              <w:spacing w:line="360" w:lineRule="exact"/>
              <w:ind w:firstLine="420" w:firstLineChars="200"/>
              <w:jc w:val="left"/>
              <w:rPr>
                <w:rFonts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ascii="宋体" w:hAnsi="宋体"/>
                <w:szCs w:val="21"/>
              </w:rPr>
            </w:pPr>
            <w:r>
              <w:rPr>
                <w:rFonts w:hint="eastAsia" w:ascii="宋体" w:hAnsi="宋体"/>
                <w:szCs w:val="21"/>
              </w:rPr>
              <w:t>（2）服务方案得分较高的投标人优先；</w:t>
            </w:r>
          </w:p>
          <w:p>
            <w:pPr>
              <w:widowControl/>
              <w:spacing w:line="360" w:lineRule="exact"/>
              <w:ind w:firstLine="420" w:firstLineChars="200"/>
              <w:jc w:val="left"/>
              <w:rPr>
                <w:rFonts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2.1.1</w:t>
            </w:r>
          </w:p>
          <w:p>
            <w:pPr>
              <w:spacing w:before="120" w:beforeAutospacing="1" w:after="12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ind w:firstLine="175"/>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a．投标函按招标文件规定填报了补遗书编号（如有）、项目负责人等相关信息，且未对</w:t>
            </w:r>
            <w:r>
              <w:rPr>
                <w:rFonts w:hint="eastAsia" w:hAnsi="宋体"/>
              </w:rPr>
              <w:t>质量要求、服务期限</w:t>
            </w:r>
            <w:r>
              <w:rPr>
                <w:rFonts w:hint="eastAsia" w:ascii="宋体" w:hAnsi="宋体"/>
                <w:szCs w:val="21"/>
              </w:rPr>
              <w:t>进行修改；</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175"/>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）投标人的项目负责人符合招标文件规定。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（6）投标人的其他主要人员符合招标文件规定。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（7）投标人不存在第二章“投标人须知”第1.4.3项或1.4.4项规定的任何一种情形。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75"/>
              <w:rPr>
                <w:rFonts w:ascii="宋体" w:hAnsi="宋体"/>
                <w:szCs w:val="21"/>
              </w:rPr>
            </w:pPr>
            <w:r>
              <w:rPr>
                <w:rFonts w:hint="eastAsia" w:ascii="宋体" w:hAnsi="宋体"/>
                <w:b/>
                <w:szCs w:val="21"/>
              </w:rPr>
              <w:t>第一个信封（商务及技术文件）评分分值构成：</w:t>
            </w:r>
          </w:p>
          <w:p>
            <w:pPr>
              <w:spacing w:line="360" w:lineRule="exact"/>
              <w:ind w:firstLine="420" w:firstLineChars="200"/>
              <w:rPr>
                <w:rFonts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 xml:space="preserve">       2</w:t>
            </w:r>
            <w:r>
              <w:rPr>
                <w:rFonts w:hint="eastAsia" w:ascii="宋体" w:hAnsi="宋体"/>
                <w:szCs w:val="21"/>
              </w:rPr>
              <w:t>0分</w:t>
            </w:r>
          </w:p>
          <w:p>
            <w:pPr>
              <w:spacing w:line="360" w:lineRule="exact"/>
              <w:ind w:firstLine="420" w:firstLineChars="200"/>
              <w:rPr>
                <w:rFonts w:ascii="宋体" w:hAnsi="宋体"/>
                <w:szCs w:val="21"/>
              </w:rPr>
            </w:pPr>
            <w:r>
              <w:rPr>
                <w:rFonts w:hint="eastAsia" w:ascii="宋体" w:hAnsi="宋体"/>
                <w:szCs w:val="21"/>
              </w:rPr>
              <w:t xml:space="preserve">人 </w:t>
            </w:r>
            <w:r>
              <w:rPr>
                <w:rFonts w:ascii="宋体" w:hAnsi="宋体"/>
                <w:szCs w:val="21"/>
              </w:rPr>
              <w:t xml:space="preserve">   </w:t>
            </w:r>
            <w:r>
              <w:rPr>
                <w:rFonts w:hint="eastAsia" w:ascii="宋体" w:hAnsi="宋体"/>
                <w:szCs w:val="21"/>
              </w:rPr>
              <w:t xml:space="preserve">员： </w:t>
            </w:r>
            <w:r>
              <w:rPr>
                <w:rFonts w:ascii="宋体" w:hAnsi="宋体"/>
                <w:szCs w:val="21"/>
              </w:rPr>
              <w:t xml:space="preserve">             2</w:t>
            </w:r>
            <w:r>
              <w:rPr>
                <w:rFonts w:hint="eastAsia" w:ascii="宋体" w:hAnsi="宋体"/>
                <w:szCs w:val="21"/>
              </w:rPr>
              <w:t>5分</w:t>
            </w:r>
          </w:p>
          <w:p>
            <w:pPr>
              <w:spacing w:line="360" w:lineRule="exact"/>
              <w:ind w:firstLine="420" w:firstLineChars="200"/>
              <w:rPr>
                <w:rFonts w:ascii="宋体" w:hAnsi="宋体"/>
                <w:szCs w:val="21"/>
              </w:rPr>
            </w:pPr>
            <w:r>
              <w:rPr>
                <w:rFonts w:hint="eastAsia" w:ascii="宋体" w:hAnsi="宋体"/>
                <w:szCs w:val="21"/>
              </w:rPr>
              <w:t xml:space="preserve">服务方案： </w:t>
            </w:r>
            <w:r>
              <w:rPr>
                <w:rFonts w:ascii="宋体" w:hAnsi="宋体"/>
                <w:szCs w:val="21"/>
              </w:rPr>
              <w:t xml:space="preserve">             45</w:t>
            </w:r>
            <w:r>
              <w:rPr>
                <w:rFonts w:hint="eastAsia" w:ascii="宋体" w:hAnsi="宋体"/>
                <w:szCs w:val="21"/>
              </w:rPr>
              <w:t>分</w:t>
            </w:r>
          </w:p>
          <w:p>
            <w:pPr>
              <w:spacing w:line="360" w:lineRule="exact"/>
              <w:ind w:firstLine="175"/>
              <w:rPr>
                <w:rFonts w:ascii="宋体" w:hAnsi="宋体"/>
                <w:szCs w:val="21"/>
              </w:rPr>
            </w:pPr>
            <w:r>
              <w:rPr>
                <w:rFonts w:hint="eastAsia" w:ascii="宋体" w:hAnsi="宋体"/>
                <w:b/>
                <w:szCs w:val="21"/>
              </w:rPr>
              <w:t>第二个信封（报价文件）评分分值构成：</w:t>
            </w:r>
          </w:p>
          <w:p>
            <w:pPr>
              <w:spacing w:line="360" w:lineRule="exact"/>
              <w:ind w:firstLine="420" w:firstLineChars="200"/>
              <w:rPr>
                <w:rFonts w:ascii="宋体" w:hAnsi="宋体"/>
                <w:szCs w:val="21"/>
              </w:rPr>
            </w:pPr>
            <w:r>
              <w:rPr>
                <w:rFonts w:hint="eastAsia" w:ascii="宋体" w:hAnsi="宋体"/>
                <w:szCs w:val="21"/>
              </w:rPr>
              <w:t xml:space="preserve">评 标 价：       </w:t>
            </w:r>
            <w:r>
              <w:rPr>
                <w:rFonts w:ascii="宋体" w:hAnsi="宋体"/>
                <w:szCs w:val="21"/>
              </w:rPr>
              <w:t xml:space="preserve">       </w:t>
            </w: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20" w:beforeAutospacing="1" w:after="120" w:afterAutospacing="1"/>
              <w:jc w:val="center"/>
              <w:rPr>
                <w:rFonts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(2)评标价平均值的计算：</w:t>
            </w:r>
          </w:p>
          <w:p>
            <w:pPr>
              <w:spacing w:line="360" w:lineRule="exact"/>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szCs w:val="21"/>
              </w:rPr>
            </w:pPr>
            <w:r>
              <w:rPr>
                <w:rFonts w:hint="eastAsia" w:ascii="宋体" w:hAnsi="宋体"/>
                <w:szCs w:val="21"/>
              </w:rPr>
              <w:t>(3)评标基准价的确定：</w:t>
            </w:r>
          </w:p>
          <w:p>
            <w:pPr>
              <w:spacing w:line="360" w:lineRule="exact"/>
              <w:ind w:firstLine="420" w:firstLineChars="200"/>
              <w:rPr>
                <w:rFonts w:ascii="宋体" w:hAnsi="宋体"/>
                <w:szCs w:val="21"/>
              </w:rPr>
            </w:pPr>
            <w:r>
              <w:rPr>
                <w:rFonts w:hint="eastAsia" w:ascii="宋体" w:hAnsi="宋体"/>
                <w:szCs w:val="21"/>
              </w:rPr>
              <w:t>评标价平均值直接作为评标基准价。</w:t>
            </w:r>
          </w:p>
          <w:p>
            <w:pPr>
              <w:spacing w:line="360" w:lineRule="exact"/>
              <w:ind w:firstLine="420" w:firstLineChars="200"/>
              <w:rPr>
                <w:rFonts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在评标过程中，评标委员会应对以下信息进行查询：</w:t>
            </w:r>
          </w:p>
          <w:p>
            <w:pPr>
              <w:spacing w:line="360" w:lineRule="exact"/>
              <w:ind w:firstLine="420" w:firstLineChars="200"/>
              <w:rPr>
                <w:rFonts w:ascii="宋体" w:hAnsi="宋体"/>
                <w:szCs w:val="21"/>
              </w:rPr>
            </w:pPr>
            <w:r>
              <w:rPr>
                <w:rFonts w:hint="eastAsia" w:ascii="宋体" w:hAnsi="宋体"/>
                <w:szCs w:val="21"/>
              </w:rPr>
              <w:t>（1）评标委员会评标时在“国家企业信用信息公示系统（http://www.gsxt.gov.cn/)”对投标人的信用情况进行查询，若投标人存在被列入“严重违法失信企业名单”情形的（不含分公司），评标委员会应否决其投标。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2）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宋体" w:hAnsi="宋体"/>
                <w:szCs w:val="21"/>
              </w:rPr>
            </w:pPr>
            <w:r>
              <w:rPr>
                <w:rFonts w:hint="eastAsia" w:ascii="宋体" w:hAnsi="宋体"/>
                <w:szCs w:val="21"/>
              </w:rPr>
              <w:t>如投标人未提供相关网页截图或所附截图与复核结果不一致，评标委员会应否决其投标。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Cs w:val="21"/>
        </w:rPr>
      </w:pPr>
      <w:r>
        <w:rPr>
          <w:rFonts w:ascii="宋体" w:hAnsi="宋体"/>
          <w:szCs w:val="21"/>
        </w:rPr>
        <w:br w:type="page"/>
      </w:r>
      <w:r>
        <w:rPr>
          <w:rFonts w:hint="eastAsia" w:ascii="宋体" w:hAnsi="宋体"/>
          <w:szCs w:val="21"/>
        </w:rPr>
        <w:t>具体评分标准如下：</w:t>
      </w:r>
    </w:p>
    <w:tbl>
      <w:tblPr>
        <w:tblStyle w:val="3"/>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序号</w:t>
            </w:r>
          </w:p>
        </w:tc>
        <w:tc>
          <w:tcPr>
            <w:tcW w:w="2154" w:type="dxa"/>
            <w:gridSpan w:val="2"/>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ind w:firstLine="157"/>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业绩</w:t>
            </w:r>
          </w:p>
        </w:tc>
        <w:tc>
          <w:tcPr>
            <w:tcW w:w="843" w:type="dxa"/>
            <w:vMerge w:val="restart"/>
            <w:vAlign w:val="center"/>
          </w:tcPr>
          <w:p>
            <w:pPr>
              <w:snapToGrid w:val="0"/>
              <w:jc w:val="center"/>
              <w:rPr>
                <w:rFonts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szCs w:val="21"/>
              </w:rPr>
              <w:t>满足资格审查条件要求(业绩最低要求)得</w:t>
            </w:r>
            <w:r>
              <w:rPr>
                <w:rFonts w:ascii="宋体" w:hAnsi="宋体"/>
                <w:szCs w:val="21"/>
              </w:rPr>
              <w:t>12</w:t>
            </w:r>
            <w:r>
              <w:rPr>
                <w:rFonts w:hint="eastAsia" w:ascii="宋体" w:hAnsi="宋体"/>
                <w:szCs w:val="21"/>
              </w:rPr>
              <w:t>分；</w:t>
            </w:r>
            <w:r>
              <w:rPr>
                <w:rFonts w:ascii="宋体" w:hAnsi="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ind w:firstLine="157"/>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vMerge w:val="continue"/>
            <w:vAlign w:val="center"/>
          </w:tcPr>
          <w:p>
            <w:pPr>
              <w:snapToGrid w:val="0"/>
              <w:jc w:val="center"/>
              <w:rPr>
                <w:rFonts w:ascii="宋体" w:hAnsi="宋体" w:cs="宋体"/>
                <w:bCs/>
                <w:szCs w:val="21"/>
              </w:rPr>
            </w:pPr>
          </w:p>
        </w:tc>
        <w:tc>
          <w:tcPr>
            <w:tcW w:w="5978" w:type="dxa"/>
            <w:vAlign w:val="center"/>
          </w:tcPr>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(业绩最低要求)</w:t>
            </w:r>
            <w:r>
              <w:rPr>
                <w:rFonts w:hint="eastAsia" w:ascii="宋体" w:hAnsi="宋体"/>
              </w:rPr>
              <w:t>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ind w:firstLine="157"/>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人员</w:t>
            </w:r>
          </w:p>
        </w:tc>
        <w:tc>
          <w:tcPr>
            <w:tcW w:w="843" w:type="dxa"/>
            <w:tcBorders>
              <w:bottom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5978" w:type="dxa"/>
            <w:vAlign w:val="center"/>
          </w:tcPr>
          <w:p>
            <w:pPr>
              <w:snapToGrid w:val="0"/>
              <w:rPr>
                <w:rFonts w:ascii="宋体" w:hAnsi="宋体"/>
                <w:szCs w:val="21"/>
              </w:rPr>
            </w:pPr>
            <w:r>
              <w:rPr>
                <w:rFonts w:hint="eastAsia" w:ascii="宋体" w:hAnsi="宋体"/>
                <w:szCs w:val="21"/>
              </w:rPr>
              <w:t>满足资格审查条件要求（项目负责人最低要求）得9分；</w:t>
            </w:r>
          </w:p>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(项目负责人最低要求)</w:t>
            </w:r>
            <w:r>
              <w:rPr>
                <w:rFonts w:hint="eastAsia" w:ascii="宋体" w:hAnsi="宋体"/>
              </w:rPr>
              <w:t>的</w:t>
            </w:r>
            <w:r>
              <w:rPr>
                <w:rFonts w:hint="eastAsia" w:ascii="宋体" w:hAnsi="宋体" w:cs="宋体"/>
                <w:bCs/>
                <w:szCs w:val="21"/>
              </w:rPr>
              <w:t>业绩加</w:t>
            </w:r>
            <w:r>
              <w:rPr>
                <w:rFonts w:ascii="宋体" w:hAnsi="宋体" w:cs="宋体"/>
                <w:bCs/>
                <w:szCs w:val="21"/>
              </w:rPr>
              <w:t>3</w:t>
            </w:r>
            <w:r>
              <w:rPr>
                <w:rFonts w:hint="eastAsia" w:ascii="宋体" w:hAnsi="宋体" w:cs="宋体"/>
                <w:bCs/>
                <w:szCs w:val="21"/>
              </w:rPr>
              <w:t>分，最高加</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ind w:firstLine="157"/>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tcBorders>
              <w:top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10分</w:t>
            </w:r>
          </w:p>
        </w:tc>
        <w:tc>
          <w:tcPr>
            <w:tcW w:w="5978" w:type="dxa"/>
            <w:vAlign w:val="center"/>
          </w:tcPr>
          <w:p>
            <w:pPr>
              <w:snapToGrid w:val="0"/>
              <w:rPr>
                <w:rFonts w:ascii="宋体" w:hAnsi="宋体"/>
                <w:szCs w:val="21"/>
              </w:rPr>
            </w:pPr>
            <w:r>
              <w:rPr>
                <w:rFonts w:hint="eastAsia" w:ascii="宋体" w:hAnsi="宋体"/>
                <w:szCs w:val="21"/>
              </w:rPr>
              <w:t>满足资格审查条件要求（其他主要人员最低要求）得6分；</w:t>
            </w:r>
          </w:p>
          <w:p>
            <w:pPr>
              <w:snapToGrid w:val="0"/>
              <w:rPr>
                <w:rFonts w:ascii="宋体" w:hAnsi="宋体"/>
                <w:szCs w:val="21"/>
              </w:rPr>
            </w:pPr>
            <w:r>
              <w:rPr>
                <w:rFonts w:hint="eastAsia" w:ascii="宋体" w:hAnsi="宋体"/>
                <w:szCs w:val="21"/>
              </w:rPr>
              <w:t>项目组成员每有1名税务师加2分，最高加</w:t>
            </w:r>
            <w:r>
              <w:rPr>
                <w:rFonts w:ascii="宋体" w:hAnsi="宋体"/>
                <w:szCs w:val="21"/>
              </w:rPr>
              <w:t>4</w:t>
            </w:r>
            <w:r>
              <w:rPr>
                <w:rFonts w:hint="eastAsia" w:ascii="宋体" w:hAnsi="宋体"/>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23" w:hRule="atLeast"/>
          <w:jc w:val="center"/>
        </w:trPr>
        <w:tc>
          <w:tcPr>
            <w:tcW w:w="735" w:type="dxa"/>
            <w:vMerge w:val="restart"/>
            <w:tcBorders>
              <w:right w:val="single" w:color="auto" w:sz="2" w:space="0"/>
            </w:tcBorders>
            <w:vAlign w:val="center"/>
          </w:tcPr>
          <w:p>
            <w:pPr>
              <w:snapToGrid w:val="0"/>
              <w:ind w:firstLine="157"/>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cs="宋体"/>
                <w:bCs/>
                <w:szCs w:val="21"/>
              </w:rPr>
            </w:pPr>
            <w:r>
              <w:rPr>
                <w:rFonts w:hint="eastAsia" w:ascii="宋体" w:hAnsi="宋体" w:cs="宋体"/>
                <w:bCs/>
                <w:szCs w:val="21"/>
              </w:rPr>
              <w:t>服务方案</w:t>
            </w:r>
          </w:p>
          <w:p>
            <w:pPr>
              <w:snapToGrid w:val="0"/>
              <w:spacing w:before="156" w:beforeLines="50" w:after="156" w:afterLines="50"/>
              <w:jc w:val="center"/>
              <w:rPr>
                <w:rFonts w:ascii="宋体" w:hAnsi="宋体" w:cs="宋体"/>
                <w:bCs/>
                <w:szCs w:val="21"/>
              </w:rPr>
            </w:pPr>
            <w:r>
              <w:rPr>
                <w:rFonts w:hint="eastAsia" w:ascii="宋体" w:hAnsi="宋体" w:cs="宋体"/>
                <w:bCs/>
                <w:szCs w:val="21"/>
              </w:rPr>
              <w:t>（</w:t>
            </w:r>
            <w:r>
              <w:rPr>
                <w:rFonts w:ascii="宋体" w:hAnsi="宋体" w:cs="宋体"/>
                <w:bCs/>
                <w:szCs w:val="21"/>
              </w:rPr>
              <w:t>45</w:t>
            </w:r>
            <w:r>
              <w:rPr>
                <w:rFonts w:hint="eastAsia" w:ascii="宋体" w:hAnsi="宋体" w:cs="宋体"/>
                <w:bCs/>
                <w:szCs w:val="21"/>
              </w:rPr>
              <w:t>分）</w:t>
            </w: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完成服务工作的范围、内容、步骤、程序</w:t>
            </w:r>
          </w:p>
        </w:tc>
        <w:tc>
          <w:tcPr>
            <w:tcW w:w="843" w:type="dxa"/>
            <w:vAlign w:val="center"/>
          </w:tcPr>
          <w:p>
            <w:pPr>
              <w:snapToGrid w:val="0"/>
              <w:jc w:val="center"/>
              <w:rPr>
                <w:rFonts w:ascii="宋体" w:hAnsi="宋体" w:cs="宋体"/>
                <w:bCs/>
                <w:szCs w:val="21"/>
              </w:rPr>
            </w:pPr>
            <w:r>
              <w:rPr>
                <w:rFonts w:ascii="宋体" w:hAnsi="宋体" w:cs="宋体"/>
                <w:bCs/>
                <w:szCs w:val="21"/>
              </w:rPr>
              <w:t>15</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第一档，实施计划科学合理，总体方案完整、内容齐全，有针对性，得</w:t>
            </w:r>
            <w:r>
              <w:rPr>
                <w:rFonts w:ascii="宋体" w:hAnsi="宋体" w:cs="宋体"/>
                <w:bCs/>
                <w:szCs w:val="21"/>
              </w:rPr>
              <w:t>12</w:t>
            </w:r>
            <w:r>
              <w:rPr>
                <w:rFonts w:hint="eastAsia" w:ascii="宋体" w:hAnsi="宋体" w:cs="宋体"/>
                <w:bCs/>
                <w:szCs w:val="21"/>
              </w:rPr>
              <w:t>-</w:t>
            </w:r>
            <w:r>
              <w:rPr>
                <w:rFonts w:ascii="宋体" w:hAnsi="宋体" w:cs="宋体"/>
                <w:bCs/>
                <w:szCs w:val="21"/>
              </w:rPr>
              <w:t>15</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第二档，实施计划较科学合理，总体方案较完整，得</w:t>
            </w:r>
            <w:r>
              <w:rPr>
                <w:rFonts w:ascii="宋体" w:hAnsi="宋体" w:cs="宋体"/>
                <w:bCs/>
                <w:szCs w:val="21"/>
              </w:rPr>
              <w:t>9</w:t>
            </w: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第三档，实施计划基本合理，总体方案简单，得</w:t>
            </w:r>
            <w:r>
              <w:rPr>
                <w:rFonts w:ascii="宋体" w:hAnsi="宋体" w:cs="宋体"/>
                <w:bCs/>
                <w:szCs w:val="21"/>
              </w:rPr>
              <w:t>9</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ind w:firstLine="157"/>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服务工作的重点和难点分析</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第一档，科学合理，内容详细，得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第二档，较科学合理，内容较详细，得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第三档，基本合理，内容简单，得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ind w:firstLine="157"/>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服务工作的质量、进度控制措施</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第一档，科学合理、完善可行、有针对性，得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第二档，较科学、较完善可行、较有针对性，得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ind w:firstLine="157"/>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后续服务</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第一档，后续服务系统全面、科学合理，得8-10分；</w:t>
            </w:r>
          </w:p>
          <w:p>
            <w:pPr>
              <w:snapToGrid w:val="0"/>
              <w:rPr>
                <w:rFonts w:ascii="宋体" w:hAnsi="宋体" w:cs="宋体"/>
                <w:bCs/>
                <w:szCs w:val="21"/>
              </w:rPr>
            </w:pPr>
            <w:r>
              <w:rPr>
                <w:rFonts w:hint="eastAsia" w:ascii="宋体" w:hAnsi="宋体" w:cs="宋体"/>
                <w:bCs/>
                <w:szCs w:val="21"/>
              </w:rPr>
              <w:t>第二档，后续服务较完整、较科学，得6-8分；</w:t>
            </w:r>
          </w:p>
          <w:p>
            <w:pPr>
              <w:snapToGrid w:val="0"/>
              <w:rPr>
                <w:rFonts w:ascii="宋体" w:hAnsi="宋体" w:cs="宋体"/>
                <w:bCs/>
                <w:szCs w:val="21"/>
              </w:rPr>
            </w:pPr>
            <w:r>
              <w:rPr>
                <w:rFonts w:hint="eastAsia" w:ascii="宋体" w:hAnsi="宋体" w:cs="宋体"/>
                <w:bCs/>
                <w:szCs w:val="21"/>
              </w:rPr>
              <w:t>第三档，后续服务基本完整或基本合理，得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ind w:firstLine="157"/>
              <w:jc w:val="center"/>
              <w:rPr>
                <w:rFonts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4</w:t>
            </w:r>
            <w:r>
              <w:rPr>
                <w:rFonts w:hint="eastAsia" w:ascii="宋体" w:hAnsi="宋体" w:cs="宋体"/>
                <w:bCs/>
                <w:w w:val="90"/>
                <w:szCs w:val="21"/>
              </w:rPr>
              <w:t>）</w:t>
            </w:r>
          </w:p>
        </w:tc>
        <w:tc>
          <w:tcPr>
            <w:tcW w:w="2154" w:type="dxa"/>
            <w:gridSpan w:val="2"/>
            <w:tcBorders>
              <w:left w:val="single" w:color="auto" w:sz="2" w:space="0"/>
            </w:tcBorders>
            <w:vAlign w:val="center"/>
          </w:tcPr>
          <w:p>
            <w:pPr>
              <w:jc w:val="center"/>
              <w:rPr>
                <w:rFonts w:ascii="宋体" w:hAnsi="宋体" w:cs="宋体"/>
                <w:bCs/>
                <w:szCs w:val="21"/>
              </w:rPr>
            </w:pPr>
            <w:r>
              <w:rPr>
                <w:rFonts w:hint="eastAsia" w:ascii="宋体" w:hAnsi="宋体" w:cs="宋体"/>
                <w:bCs/>
                <w:szCs w:val="21"/>
              </w:rPr>
              <w:t>评标价</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rPr>
                <w:rFonts w:ascii="宋体" w:hAnsi="宋体"/>
                <w:szCs w:val="21"/>
              </w:rPr>
            </w:pPr>
            <w:r>
              <w:rPr>
                <w:rFonts w:hint="eastAsia" w:ascii="宋体" w:hAnsi="宋体"/>
                <w:szCs w:val="21"/>
              </w:rPr>
              <w:t>评标价得分计算公式示例：</w:t>
            </w:r>
          </w:p>
          <w:p>
            <w:pPr>
              <w:ind w:firstLine="243" w:firstLineChars="116"/>
              <w:rPr>
                <w:rFonts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szCs w:val="21"/>
              </w:rPr>
            </w:pPr>
            <w:r>
              <w:rPr>
                <w:rFonts w:hint="eastAsia" w:ascii="宋体" w:hAnsi="宋体"/>
                <w:szCs w:val="21"/>
              </w:rPr>
              <w:t>其中，F=10；E1=0.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pPr>
              <w:ind w:firstLine="243" w:firstLineChars="116"/>
            </w:pPr>
            <w:r>
              <w:rPr>
                <w:rFonts w:hint="eastAsia" w:ascii="宋体" w:hAnsi="宋体"/>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pPr>
              <w:jc w:val="center"/>
              <w:rPr>
                <w:rFonts w:ascii="宋体" w:hAnsi="宋体" w:cs="宋体"/>
                <w:bCs/>
                <w:szCs w:val="21"/>
              </w:rPr>
            </w:pPr>
          </w:p>
        </w:tc>
      </w:tr>
    </w:tbl>
    <w:p>
      <w:pPr>
        <w:spacing w:line="312" w:lineRule="auto"/>
        <w:rPr>
          <w:rFonts w:ascii="宋体" w:hAnsi="宋体"/>
          <w:szCs w:val="21"/>
        </w:rPr>
      </w:pPr>
      <w:r>
        <w:rPr>
          <w:rFonts w:hint="eastAsia" w:ascii="宋体" w:hAnsi="宋体"/>
          <w:szCs w:val="21"/>
        </w:rPr>
        <w:t>注：1、各分项得分为各评委打分算术平均值，评委打分平均值保留两位小数，第三位四舍五入。</w:t>
      </w:r>
    </w:p>
    <w:p>
      <w:pPr>
        <w:spacing w:line="312" w:lineRule="auto"/>
        <w:ind w:firstLine="420" w:firstLineChars="200"/>
        <w:rPr>
          <w:rFonts w:ascii="宋体" w:hAnsi="宋体"/>
          <w:sz w:val="20"/>
          <w:szCs w:val="20"/>
        </w:rPr>
      </w:pPr>
      <w:r>
        <w:rPr>
          <w:rFonts w:hint="eastAsia" w:ascii="宋体" w:hAnsi="宋体"/>
          <w:szCs w:val="21"/>
        </w:rPr>
        <w:t>2、服务方案缺项则该项得0分。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0B84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kern w:val="0"/>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2024-04-09T00:31:24Z</dcterms:created>
  <dc:creator>Administrator</dc:creator>
  <cp:lastModifiedBy>李娜</cp:lastModifiedBy>
  <dcterms:modified xsi:type="dcterms:W3CDTF">2024-04-09T00:31:55Z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D0D620C717844BA8A986155B6A1E8632_12</vt:lpwstr>
  </property>
</Properties>
</file>