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sz w:val="28"/>
          <w:szCs w:val="28"/>
          <w14:ligatures w14:val="none"/>
        </w:rPr>
      </w:pPr>
      <w:r>
        <w:rPr>
          <w:rFonts w:hint="eastAsia" w:ascii="宋体" w:hAnsi="宋体" w:eastAsia="宋体" w:cs="宋体"/>
          <w:b/>
          <w:sz w:val="28"/>
          <w:szCs w:val="28"/>
          <w14:ligatures w14:val="none"/>
        </w:rPr>
        <w:t>附件1：资格审查条件</w:t>
      </w:r>
    </w:p>
    <w:p>
      <w:pPr>
        <w:rPr>
          <w:rFonts w:hint="eastAsia" w:ascii="宋体" w:hAnsi="宋体" w:eastAsia="宋体" w:cs="宋体"/>
          <w:b/>
          <w:sz w:val="28"/>
          <w:szCs w:val="28"/>
          <w14:ligatures w14:val="none"/>
        </w:rPr>
      </w:pPr>
    </w:p>
    <w:p>
      <w:pPr>
        <w:jc w:val="center"/>
        <w:rPr>
          <w:rFonts w:ascii="宋体" w:hAnsi="宋体" w:eastAsia="宋体" w:cs="宋体"/>
          <w:b/>
          <w:sz w:val="24"/>
          <w:szCs w:val="24"/>
          <w14:ligatures w14:val="none"/>
        </w:rPr>
      </w:pPr>
      <w:r>
        <w:rPr>
          <w:rFonts w:hint="eastAsia" w:ascii="宋体" w:hAnsi="宋体" w:eastAsia="宋体" w:cs="宋体"/>
          <w:b/>
          <w:sz w:val="24"/>
          <w:szCs w:val="24"/>
          <w14:ligatures w14:val="none"/>
        </w:rPr>
        <w:t>附录1 资格审查条件（资质最低要求）</w:t>
      </w:r>
    </w:p>
    <w:tbl>
      <w:tblPr>
        <w:tblStyle w:val="3"/>
        <w:tblpPr w:leftFromText="181" w:rightFromText="181" w:vertAnchor="text" w:horzAnchor="margin" w:tblpXSpec="center" w:tblpY="3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83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trPr>
        <w:tc>
          <w:tcPr>
            <w:tcW w:w="5000" w:type="pct"/>
            <w:vAlign w:val="center"/>
          </w:tcPr>
          <w:p>
            <w:pPr>
              <w:adjustRightInd w:val="0"/>
              <w:snapToGrid w:val="0"/>
              <w:jc w:val="center"/>
              <w:rPr>
                <w:rFonts w:hint="eastAsia" w:ascii="宋体" w:hAnsi="宋体" w:eastAsia="宋体" w:cs="宋体"/>
                <w:b/>
                <w:bCs/>
                <w:szCs w:val="21"/>
                <w14:ligatures w14:val="none"/>
              </w:rPr>
            </w:pPr>
            <w:r>
              <w:rPr>
                <w:rFonts w:hint="eastAsia" w:ascii="宋体" w:hAnsi="宋体" w:eastAsia="宋体" w:cs="宋体"/>
                <w:b/>
                <w:bCs/>
                <w:szCs w:val="21"/>
                <w14:ligatures w14:val="none"/>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21" w:hRule="atLeast"/>
        </w:trPr>
        <w:tc>
          <w:tcPr>
            <w:tcW w:w="5000" w:type="pct"/>
            <w:vAlign w:val="center"/>
          </w:tcPr>
          <w:p>
            <w:pPr>
              <w:adjustRightInd w:val="0"/>
              <w:snapToGrid w:val="0"/>
              <w:spacing w:line="400" w:lineRule="exact"/>
              <w:rPr>
                <w:rFonts w:hint="eastAsia" w:ascii="宋体" w:hAnsi="宋体" w:eastAsia="宋体" w:cs="宋体"/>
                <w:szCs w:val="24"/>
                <w14:ligatures w14:val="none"/>
              </w:rPr>
            </w:pPr>
            <w:r>
              <w:rPr>
                <w:rFonts w:hint="eastAsia" w:ascii="宋体" w:hAnsi="宋体" w:eastAsia="宋体" w:cs="宋体"/>
                <w:szCs w:val="24"/>
                <w14:ligatures w14:val="none"/>
              </w:rPr>
              <w:t>投标人须具备独立企业法人资格的制造商，具有有效的营业执照。</w:t>
            </w:r>
          </w:p>
        </w:tc>
      </w:tr>
    </w:tbl>
    <w:p>
      <w:pPr>
        <w:jc w:val="center"/>
        <w:rPr>
          <w:rFonts w:hint="eastAsia" w:ascii="宋体" w:hAnsi="宋体" w:eastAsia="宋体" w:cs="宋体"/>
          <w:b/>
          <w:sz w:val="24"/>
          <w:szCs w:val="24"/>
          <w14:ligatures w14:val="none"/>
        </w:rPr>
      </w:pPr>
    </w:p>
    <w:p>
      <w:pPr>
        <w:jc w:val="center"/>
        <w:rPr>
          <w:rFonts w:hint="eastAsia" w:ascii="宋体" w:hAnsi="宋体" w:eastAsia="宋体" w:cs="宋体"/>
          <w:b/>
          <w:sz w:val="24"/>
          <w:szCs w:val="24"/>
          <w14:ligatures w14:val="none"/>
        </w:rPr>
      </w:pPr>
    </w:p>
    <w:p>
      <w:pPr>
        <w:jc w:val="center"/>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附录2 资格审查条件（业绩最低要求）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1"/>
        <w:gridCol w:w="928"/>
        <w:gridCol w:w="6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692" w:type="dxa"/>
            <w:vAlign w:val="center"/>
          </w:tcPr>
          <w:p>
            <w:pPr>
              <w:adjustRightInd w:val="0"/>
              <w:snapToGrid w:val="0"/>
              <w:jc w:val="center"/>
              <w:rPr>
                <w:rFonts w:hint="eastAsia" w:ascii="宋体" w:hAnsi="宋体" w:eastAsia="宋体" w:cs="宋体"/>
                <w:b/>
                <w:szCs w:val="21"/>
                <w:shd w:val="clear" w:color="auto" w:fill="FFFFFF"/>
                <w14:ligatures w14:val="none"/>
              </w:rPr>
            </w:pPr>
            <w:r>
              <w:rPr>
                <w:rFonts w:hint="eastAsia" w:ascii="宋体" w:hAnsi="宋体" w:eastAsia="宋体" w:cs="宋体"/>
                <w:b/>
                <w:szCs w:val="21"/>
                <w:shd w:val="clear" w:color="auto" w:fill="FFFFFF"/>
                <w14:ligatures w14:val="none"/>
              </w:rPr>
              <w:t>类别</w:t>
            </w:r>
          </w:p>
        </w:tc>
        <w:tc>
          <w:tcPr>
            <w:tcW w:w="1014" w:type="dxa"/>
            <w:vAlign w:val="center"/>
          </w:tcPr>
          <w:p>
            <w:pPr>
              <w:wordWrap w:val="0"/>
              <w:adjustRightInd w:val="0"/>
              <w:snapToGrid w:val="0"/>
              <w:jc w:val="center"/>
              <w:rPr>
                <w:rFonts w:hint="eastAsia" w:ascii="宋体" w:hAnsi="宋体" w:eastAsia="宋体" w:cs="宋体"/>
                <w:b/>
                <w:szCs w:val="21"/>
                <w:shd w:val="clear" w:color="auto" w:fill="FFFFFF"/>
                <w14:ligatures w14:val="none"/>
              </w:rPr>
            </w:pPr>
            <w:r>
              <w:rPr>
                <w:rFonts w:hint="eastAsia" w:ascii="宋体" w:hAnsi="宋体" w:eastAsia="宋体" w:cs="宋体"/>
                <w:b/>
                <w:szCs w:val="21"/>
                <w:shd w:val="clear" w:color="auto" w:fill="FFFFFF"/>
                <w14:ligatures w14:val="none"/>
              </w:rPr>
              <w:t>标段</w:t>
            </w:r>
          </w:p>
        </w:tc>
        <w:tc>
          <w:tcPr>
            <w:tcW w:w="7489" w:type="dxa"/>
            <w:vAlign w:val="center"/>
          </w:tcPr>
          <w:p>
            <w:pPr>
              <w:wordWrap w:val="0"/>
              <w:adjustRightInd w:val="0"/>
              <w:snapToGrid w:val="0"/>
              <w:jc w:val="center"/>
              <w:rPr>
                <w:rFonts w:hint="eastAsia" w:ascii="宋体" w:hAnsi="宋体" w:eastAsia="宋体" w:cs="宋体"/>
                <w:b/>
                <w:szCs w:val="21"/>
                <w:shd w:val="clear" w:color="auto" w:fill="FFFFFF"/>
                <w14:ligatures w14:val="none"/>
              </w:rPr>
            </w:pPr>
            <w:r>
              <w:rPr>
                <w:rFonts w:hint="eastAsia" w:ascii="宋体" w:hAnsi="宋体" w:eastAsia="宋体" w:cs="宋体"/>
                <w:b/>
                <w:szCs w:val="21"/>
                <w:shd w:val="clear" w:color="auto" w:fill="FFFFFF"/>
                <w14:ligatures w14: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692" w:type="dxa"/>
            <w:vAlign w:val="center"/>
          </w:tcPr>
          <w:p>
            <w:pPr>
              <w:adjustRightInd w:val="0"/>
              <w:snapToGrid w:val="0"/>
              <w:spacing w:line="288" w:lineRule="auto"/>
              <w:ind w:firstLine="77" w:firstLineChars="37"/>
              <w:jc w:val="center"/>
              <w:rPr>
                <w:rFonts w:hint="eastAsia" w:ascii="宋体" w:hAnsi="宋体" w:eastAsia="宋体" w:cs="宋体"/>
                <w:szCs w:val="21"/>
                <w:shd w:val="clear" w:color="auto" w:fill="FFFFFF"/>
                <w14:ligatures w14:val="none"/>
              </w:rPr>
            </w:pPr>
            <w:r>
              <w:rPr>
                <w:rFonts w:hint="eastAsia" w:ascii="宋体" w:hAnsi="宋体" w:eastAsia="宋体" w:cs="宋体"/>
                <w:szCs w:val="21"/>
                <w:shd w:val="clear" w:color="auto" w:fill="FFFFFF"/>
                <w14:ligatures w14:val="none"/>
              </w:rPr>
              <w:t>2</w:t>
            </w:r>
          </w:p>
        </w:tc>
        <w:tc>
          <w:tcPr>
            <w:tcW w:w="1014" w:type="dxa"/>
            <w:vAlign w:val="center"/>
          </w:tcPr>
          <w:p>
            <w:pPr>
              <w:adjustRightInd w:val="0"/>
              <w:snapToGrid w:val="0"/>
              <w:spacing w:line="288" w:lineRule="auto"/>
              <w:ind w:firstLine="77" w:firstLineChars="37"/>
              <w:jc w:val="center"/>
              <w:rPr>
                <w:rFonts w:hint="eastAsia" w:ascii="宋体" w:hAnsi="宋体" w:eastAsia="宋体" w:cs="宋体"/>
                <w:szCs w:val="21"/>
                <w:shd w:val="clear" w:color="auto" w:fill="FFFFFF"/>
                <w14:ligatures w14:val="none"/>
              </w:rPr>
            </w:pPr>
            <w:r>
              <w:rPr>
                <w:rFonts w:ascii="宋体" w:hAnsi="宋体" w:eastAsia="宋体" w:cs="宋体"/>
                <w:szCs w:val="21"/>
                <w:shd w:val="clear" w:color="auto" w:fill="FFFFFF"/>
                <w14:ligatures w14:val="none"/>
              </w:rPr>
              <w:t>4</w:t>
            </w:r>
            <w:r>
              <w:rPr>
                <w:rFonts w:hint="eastAsia" w:ascii="宋体" w:hAnsi="宋体" w:eastAsia="宋体" w:cs="宋体"/>
                <w:szCs w:val="21"/>
                <w:shd w:val="clear" w:color="auto" w:fill="FFFFFF"/>
                <w14:ligatures w14:val="none"/>
              </w:rPr>
              <w:t>标段</w:t>
            </w:r>
          </w:p>
        </w:tc>
        <w:tc>
          <w:tcPr>
            <w:tcW w:w="7489" w:type="dxa"/>
            <w:vAlign w:val="center"/>
          </w:tcPr>
          <w:p>
            <w:pPr>
              <w:adjustRightInd w:val="0"/>
              <w:snapToGrid w:val="0"/>
              <w:spacing w:line="288" w:lineRule="auto"/>
              <w:ind w:firstLine="77" w:firstLineChars="37"/>
              <w:rPr>
                <w:rFonts w:hint="eastAsia" w:ascii="宋体" w:hAnsi="宋体" w:eastAsia="宋体" w:cs="宋体"/>
                <w:szCs w:val="21"/>
                <w:shd w:val="clear" w:color="auto" w:fill="FFFFFF"/>
                <w14:ligatures w14:val="none"/>
              </w:rPr>
            </w:pPr>
            <w:r>
              <w:rPr>
                <w:rFonts w:hint="eastAsia" w:ascii="宋体" w:hAnsi="宋体" w:eastAsia="宋体" w:cs="Times New Roman"/>
                <w:szCs w:val="21"/>
                <w14:ligatures w14:val="none"/>
              </w:rPr>
              <w:t>近三年内（2021年1月1日至今，以合同签订日期为准）累计不低于100万张ETC用户卡销售业绩。</w:t>
            </w:r>
          </w:p>
        </w:tc>
      </w:tr>
    </w:tbl>
    <w:p>
      <w:pPr>
        <w:spacing w:line="288" w:lineRule="auto"/>
        <w:ind w:firstLine="420" w:firstLineChars="200"/>
        <w:rPr>
          <w:rFonts w:hint="eastAsia" w:ascii="宋体" w:hAnsi="宋体" w:eastAsia="宋体" w:cs="宋体"/>
          <w:szCs w:val="21"/>
          <w14:ligatures w14:val="none"/>
        </w:rPr>
      </w:pPr>
    </w:p>
    <w:p>
      <w:pPr>
        <w:jc w:val="center"/>
        <w:rPr>
          <w:rFonts w:hint="eastAsia" w:ascii="宋体" w:hAnsi="宋体" w:eastAsia="宋体" w:cs="宋体"/>
          <w:b/>
          <w:sz w:val="24"/>
          <w:szCs w:val="24"/>
          <w14:ligatures w14:val="none"/>
        </w:rPr>
      </w:pPr>
    </w:p>
    <w:p>
      <w:pPr>
        <w:jc w:val="center"/>
        <w:rPr>
          <w:rFonts w:hint="eastAsia" w:ascii="宋体" w:hAnsi="宋体" w:eastAsia="宋体" w:cs="宋体"/>
          <w:b/>
          <w:sz w:val="24"/>
          <w:szCs w:val="24"/>
          <w14:ligatures w14:val="none"/>
        </w:rPr>
      </w:pPr>
    </w:p>
    <w:p>
      <w:pPr>
        <w:jc w:val="center"/>
        <w:rPr>
          <w:rFonts w:hint="eastAsia" w:ascii="宋体" w:hAnsi="宋体" w:eastAsia="宋体" w:cs="宋体"/>
          <w:szCs w:val="24"/>
          <w14:ligatures w14:val="none"/>
        </w:rPr>
      </w:pPr>
      <w:r>
        <w:rPr>
          <w:rFonts w:hint="eastAsia" w:ascii="宋体" w:hAnsi="宋体" w:eastAsia="宋体" w:cs="宋体"/>
          <w:b/>
          <w:sz w:val="24"/>
          <w:szCs w:val="24"/>
          <w14:ligatures w14:val="none"/>
        </w:rPr>
        <w:t>附录3  资格审查条件（信誉最低要求）</w:t>
      </w:r>
    </w:p>
    <w:tbl>
      <w:tblPr>
        <w:tblStyle w:val="3"/>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5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24" w:hRule="atLeast"/>
          <w:jc w:val="center"/>
        </w:trPr>
        <w:tc>
          <w:tcPr>
            <w:tcW w:w="5000" w:type="pct"/>
            <w:vAlign w:val="center"/>
          </w:tcPr>
          <w:p>
            <w:pPr>
              <w:adjustRightInd w:val="0"/>
              <w:snapToGrid w:val="0"/>
              <w:jc w:val="center"/>
              <w:rPr>
                <w:rFonts w:hint="eastAsia" w:ascii="宋体" w:hAnsi="宋体" w:eastAsia="宋体" w:cs="宋体"/>
                <w:b/>
                <w:szCs w:val="21"/>
                <w14:ligatures w14:val="none"/>
              </w:rPr>
            </w:pPr>
            <w:r>
              <w:rPr>
                <w:rFonts w:hint="eastAsia" w:ascii="宋体" w:hAnsi="宋体" w:eastAsia="宋体" w:cs="宋体"/>
                <w:b/>
                <w:szCs w:val="21"/>
                <w14:ligatures w14:val="none"/>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971" w:hRule="atLeast"/>
          <w:jc w:val="center"/>
        </w:trPr>
        <w:tc>
          <w:tcPr>
            <w:tcW w:w="5000" w:type="pct"/>
            <w:vAlign w:val="center"/>
          </w:tcPr>
          <w:p>
            <w:pPr>
              <w:ind w:firstLine="420" w:firstLineChars="200"/>
              <w:rPr>
                <w:rFonts w:hint="eastAsia" w:ascii="宋体" w:hAnsi="宋体" w:eastAsia="宋体" w:cs="宋体"/>
                <w:szCs w:val="24"/>
                <w14:ligatures w14:val="none"/>
              </w:rPr>
            </w:pPr>
            <w:r>
              <w:rPr>
                <w:rFonts w:hint="eastAsia" w:ascii="宋体" w:hAnsi="宋体" w:eastAsia="宋体" w:cs="宋体"/>
                <w:szCs w:val="24"/>
                <w14:ligatures w14:val="none"/>
              </w:rPr>
              <w:t>投标人在过去1年中（2023年1月1日</w:t>
            </w:r>
            <w:r>
              <w:rPr>
                <w:rFonts w:hint="eastAsia" w:ascii="宋体" w:hAnsi="宋体" w:eastAsia="宋体" w:cs="宋体"/>
                <w:szCs w:val="21"/>
                <w:shd w:val="clear" w:color="auto" w:fill="FFFFFF"/>
                <w14:ligatures w14:val="none"/>
              </w:rPr>
              <w:t>至今</w:t>
            </w:r>
            <w:r>
              <w:rPr>
                <w:rFonts w:hint="eastAsia" w:ascii="宋体" w:hAnsi="宋体" w:eastAsia="宋体" w:cs="宋体"/>
                <w:szCs w:val="24"/>
                <w14:ligatures w14:val="none"/>
              </w:rPr>
              <w:t>）不曾在高速公路供货合同中违约而被驱逐或因投标人自身的原因而使供货合同被解除。</w:t>
            </w:r>
          </w:p>
        </w:tc>
      </w:tr>
    </w:tbl>
    <w:p>
      <w:pPr>
        <w:jc w:val="center"/>
        <w:rPr>
          <w:rFonts w:hint="eastAsia" w:ascii="宋体" w:hAnsi="宋体" w:eastAsia="宋体" w:cs="宋体"/>
          <w:b/>
          <w:sz w:val="24"/>
          <w:szCs w:val="24"/>
          <w14:ligatures w14:val="none"/>
        </w:rPr>
      </w:pPr>
    </w:p>
    <w:p>
      <w:pPr>
        <w:jc w:val="center"/>
        <w:rPr>
          <w:rFonts w:hint="eastAsia" w:ascii="宋体" w:hAnsi="宋体" w:eastAsia="宋体" w:cs="宋体"/>
          <w:b/>
          <w:sz w:val="24"/>
          <w:szCs w:val="24"/>
          <w14:ligatures w14:val="none"/>
        </w:rPr>
      </w:pPr>
    </w:p>
    <w:p>
      <w:pPr>
        <w:rPr>
          <w:rFonts w:hint="eastAsia" w:ascii="宋体" w:hAnsi="宋体" w:eastAsia="宋体" w:cs="宋体"/>
          <w:b/>
          <w:sz w:val="28"/>
          <w:szCs w:val="28"/>
          <w14:ligatures w14:val="none"/>
        </w:rPr>
      </w:pPr>
      <w:r>
        <w:rPr>
          <w:rFonts w:hint="eastAsia" w:ascii="宋体" w:hAnsi="宋体" w:eastAsia="宋体" w:cs="宋体"/>
          <w:szCs w:val="24"/>
          <w14:ligatures w14:val="none"/>
        </w:rPr>
        <w:br w:type="page"/>
      </w:r>
      <w:r>
        <w:rPr>
          <w:rFonts w:hint="eastAsia" w:ascii="宋体" w:hAnsi="宋体" w:eastAsia="宋体" w:cs="宋体"/>
          <w:b/>
          <w:sz w:val="28"/>
          <w:szCs w:val="28"/>
          <w14:ligatures w14:val="none"/>
        </w:rPr>
        <w:t>附件2：评标办法前附表</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5"/>
        <w:gridCol w:w="1002"/>
        <w:gridCol w:w="1916"/>
        <w:gridCol w:w="48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pct"/>
            <w:gridSpan w:val="2"/>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
                <w:szCs w:val="21"/>
                <w14:ligatures w14:val="none"/>
              </w:rPr>
            </w:pPr>
            <w:r>
              <w:rPr>
                <w:rFonts w:hint="eastAsia" w:ascii="宋体" w:hAnsi="宋体" w:eastAsia="宋体" w:cs="宋体"/>
                <w:b/>
                <w:szCs w:val="21"/>
                <w14:ligatures w14:val="none"/>
              </w:rPr>
              <w:t>条款号</w:t>
            </w: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
                <w:szCs w:val="21"/>
                <w14:ligatures w14:val="none"/>
              </w:rPr>
            </w:pPr>
            <w:r>
              <w:rPr>
                <w:rFonts w:hint="eastAsia" w:ascii="宋体" w:hAnsi="宋体" w:eastAsia="宋体" w:cs="宋体"/>
                <w:b/>
                <w:szCs w:val="21"/>
                <w14:ligatures w14:val="none"/>
              </w:rPr>
              <w:t>评审因素</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
                <w:szCs w:val="21"/>
                <w14:ligatures w14:val="none"/>
              </w:rPr>
            </w:pPr>
            <w:r>
              <w:rPr>
                <w:rFonts w:hint="eastAsia" w:ascii="宋体" w:hAnsi="宋体" w:eastAsia="宋体" w:cs="宋体"/>
                <w:b/>
                <w:szCs w:val="21"/>
                <w14:ligatures w14: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443" w:type="pct"/>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1</w:t>
            </w:r>
          </w:p>
        </w:tc>
        <w:tc>
          <w:tcPr>
            <w:tcW w:w="588" w:type="pct"/>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评标方法</w:t>
            </w: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中标候选人排序方法</w:t>
            </w:r>
          </w:p>
        </w:tc>
        <w:tc>
          <w:tcPr>
            <w:tcW w:w="2845" w:type="pct"/>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left"/>
              <w:rPr>
                <w:rFonts w:hint="eastAsia" w:ascii="宋体" w:hAnsi="宋体" w:eastAsia="宋体" w:cs="宋体"/>
                <w:szCs w:val="21"/>
                <w14:ligatures w14:val="none"/>
              </w:rPr>
            </w:pPr>
            <w:r>
              <w:rPr>
                <w:rFonts w:hint="eastAsia" w:ascii="宋体" w:hAnsi="宋体" w:eastAsia="宋体" w:cs="宋体"/>
                <w:szCs w:val="21"/>
                <w14:ligatures w14:val="none"/>
              </w:rPr>
              <w:t>本条修改为：</w:t>
            </w:r>
          </w:p>
          <w:p>
            <w:pPr>
              <w:spacing w:line="360" w:lineRule="exact"/>
              <w:ind w:firstLine="420" w:firstLineChars="200"/>
              <w:jc w:val="left"/>
              <w:rPr>
                <w:rFonts w:ascii="宋体" w:hAnsi="宋体" w:eastAsia="宋体" w:cs="宋体"/>
                <w:szCs w:val="21"/>
                <w14:ligatures w14:val="none"/>
              </w:rPr>
            </w:pPr>
            <w:r>
              <w:rPr>
                <w:rFonts w:hint="eastAsia" w:ascii="宋体" w:hAnsi="宋体" w:eastAsia="宋体" w:cs="宋体"/>
                <w:szCs w:val="21"/>
                <w14:ligatures w14:val="none"/>
              </w:rPr>
              <w:t>本次评标采用经评审的最低投标价法。评标委员会对满足招标文件实质性要求的投标文件进行评审，按照投标价由低到高的顺序推荐1-3名为中标候选人。经评审的投标价相等时，投标报价低的优先，投标报价也相等的，以满足招标文件“投标人须知”附录2要求的业绩累计金额最多的投标人优先。</w:t>
            </w:r>
          </w:p>
          <w:p>
            <w:pPr>
              <w:spacing w:line="360" w:lineRule="exact"/>
              <w:ind w:firstLine="420" w:firstLineChars="200"/>
              <w:jc w:val="left"/>
              <w:rPr>
                <w:rFonts w:hint="eastAsia" w:ascii="宋体" w:hAnsi="宋体" w:eastAsia="宋体" w:cs="宋体"/>
                <w:szCs w:val="21"/>
                <w14:ligatures w14:val="none"/>
              </w:rPr>
            </w:pPr>
            <w:r>
              <w:rPr>
                <w:rFonts w:hint="eastAsia" w:ascii="宋体" w:hAnsi="宋体" w:eastAsia="宋体" w:cs="宋体"/>
                <w:szCs w:val="21"/>
                <w14:ligatures w14:val="none"/>
              </w:rPr>
              <w:t>满足招标文件实质性要求的投标人少于3名时，评标委员会可以否决全部投标，未否决全部投标的，评标委员会应当在评标报告中阐明理由并推荐中标候选人。</w:t>
            </w:r>
          </w:p>
          <w:p>
            <w:pPr>
              <w:spacing w:line="360" w:lineRule="exact"/>
              <w:ind w:firstLine="420" w:firstLineChars="200"/>
              <w:jc w:val="left"/>
              <w:rPr>
                <w:rFonts w:hint="eastAsia" w:ascii="宋体" w:hAnsi="宋体" w:eastAsia="宋体" w:cs="宋体"/>
                <w:szCs w:val="21"/>
                <w14:ligatures w14:val="none"/>
              </w:rPr>
            </w:pPr>
            <w:r>
              <w:rPr>
                <w:rFonts w:hint="eastAsia" w:ascii="宋体" w:hAnsi="宋体" w:eastAsia="宋体" w:cs="宋体"/>
                <w:szCs w:val="21"/>
                <w14:ligatures w14:val="none"/>
              </w:rPr>
              <w:t>投标人同时对多个标段进行投标的，每个类别最多允许中1个标段。投标人在0</w:t>
            </w:r>
            <w:r>
              <w:rPr>
                <w:rFonts w:ascii="宋体" w:hAnsi="宋体" w:eastAsia="宋体" w:cs="宋体"/>
                <w:szCs w:val="21"/>
                <w14:ligatures w14:val="none"/>
              </w:rPr>
              <w:t>3</w:t>
            </w:r>
            <w:r>
              <w:rPr>
                <w:rFonts w:hint="eastAsia" w:ascii="宋体" w:hAnsi="宋体" w:eastAsia="宋体" w:cs="宋体"/>
                <w:szCs w:val="21"/>
                <w14:ligatures w14:val="none"/>
              </w:rPr>
              <w:t>、0</w:t>
            </w:r>
            <w:r>
              <w:rPr>
                <w:rFonts w:ascii="宋体" w:hAnsi="宋体" w:eastAsia="宋体" w:cs="宋体"/>
                <w:szCs w:val="21"/>
                <w14:ligatures w14:val="none"/>
              </w:rPr>
              <w:t>4</w:t>
            </w:r>
            <w:r>
              <w:rPr>
                <w:rFonts w:hint="eastAsia" w:ascii="宋体" w:hAnsi="宋体" w:eastAsia="宋体" w:cs="宋体"/>
                <w:szCs w:val="21"/>
                <w14:ligatures w14:val="none"/>
              </w:rPr>
              <w:t>标段同时排名第一名时，只推荐其为0</w:t>
            </w:r>
            <w:r>
              <w:rPr>
                <w:rFonts w:ascii="宋体" w:hAnsi="宋体" w:eastAsia="宋体" w:cs="宋体"/>
                <w:szCs w:val="21"/>
                <w14:ligatures w14:val="none"/>
              </w:rPr>
              <w:t>3</w:t>
            </w:r>
            <w:r>
              <w:rPr>
                <w:rFonts w:hint="eastAsia" w:ascii="宋体" w:hAnsi="宋体" w:eastAsia="宋体" w:cs="宋体"/>
                <w:szCs w:val="21"/>
                <w14:ligatures w14:val="none"/>
              </w:rPr>
              <w:t>标段第一中标候选人，0</w:t>
            </w:r>
            <w:r>
              <w:rPr>
                <w:rFonts w:ascii="宋体" w:hAnsi="宋体" w:eastAsia="宋体" w:cs="宋体"/>
                <w:szCs w:val="21"/>
                <w14:ligatures w14:val="none"/>
              </w:rPr>
              <w:t>4</w:t>
            </w:r>
            <w:r>
              <w:rPr>
                <w:rFonts w:hint="eastAsia" w:ascii="宋体" w:hAnsi="宋体" w:eastAsia="宋体" w:cs="宋体"/>
                <w:szCs w:val="21"/>
                <w14:ligatures w14:val="none"/>
              </w:rPr>
              <w:t>标段按其余投标人得分高低排序，推选中标候选人。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restart"/>
            <w:tcBorders>
              <w:top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2.1.1</w:t>
            </w:r>
          </w:p>
        </w:tc>
        <w:tc>
          <w:tcPr>
            <w:tcW w:w="588" w:type="pct"/>
            <w:vMerge w:val="restart"/>
            <w:tcBorders>
              <w:top w:val="single" w:color="auto" w:sz="4" w:space="0"/>
              <w:right w:val="single" w:color="auto" w:sz="4" w:space="0"/>
            </w:tcBorders>
            <w:vAlign w:val="center"/>
          </w:tcPr>
          <w:p>
            <w:pPr>
              <w:spacing w:line="0" w:lineRule="atLeast"/>
              <w:ind w:left="-109" w:leftChars="-52"/>
              <w:jc w:val="center"/>
              <w:rPr>
                <w:rFonts w:hint="eastAsia" w:ascii="宋体" w:hAnsi="宋体" w:eastAsia="宋体" w:cs="宋体"/>
                <w:szCs w:val="21"/>
                <w14:ligatures w14:val="none"/>
              </w:rPr>
            </w:pPr>
            <w:r>
              <w:rPr>
                <w:rFonts w:hint="eastAsia" w:ascii="宋体" w:hAnsi="宋体" w:eastAsia="宋体" w:cs="宋体"/>
                <w:szCs w:val="21"/>
                <w14:ligatures w14:val="none"/>
              </w:rPr>
              <w:t>形式评审标准</w:t>
            </w: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投标人名称</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szCs w:val="21"/>
                <w14:ligatures w14:val="none"/>
              </w:rPr>
            </w:pPr>
            <w:r>
              <w:rPr>
                <w:rFonts w:hint="eastAsia" w:ascii="宋体" w:hAnsi="宋体" w:eastAsia="宋体" w:cs="宋体"/>
                <w:szCs w:val="21"/>
                <w14:ligatures w14:val="none"/>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top w:val="single" w:color="auto" w:sz="4" w:space="0"/>
              <w:right w:val="single" w:color="auto" w:sz="4" w:space="0"/>
            </w:tcBorders>
            <w:vAlign w:val="center"/>
          </w:tcPr>
          <w:p>
            <w:pPr>
              <w:spacing w:line="0" w:lineRule="atLeast"/>
              <w:ind w:left="-109" w:leftChars="-52"/>
              <w:jc w:val="center"/>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类别和标段</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szCs w:val="21"/>
                <w14:ligatures w14:val="none"/>
              </w:rPr>
            </w:pPr>
            <w:r>
              <w:rPr>
                <w:rFonts w:hint="eastAsia" w:ascii="宋体" w:hAnsi="宋体" w:eastAsia="宋体" w:cs="宋体"/>
                <w:szCs w:val="21"/>
                <w14:ligatures w14:val="none"/>
              </w:rPr>
              <w:t>递交的投标文件与所投类别、标段一致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43" w:type="pct"/>
            <w:vMerge w:val="continue"/>
            <w:tcBorders>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right w:val="single" w:color="auto" w:sz="4" w:space="0"/>
            </w:tcBorders>
            <w:vAlign w:val="center"/>
          </w:tcPr>
          <w:p>
            <w:pPr>
              <w:spacing w:line="0" w:lineRule="atLeast"/>
              <w:ind w:left="-109" w:leftChars="-52" w:right="-111" w:rightChars="-53" w:firstLine="1"/>
              <w:jc w:val="center"/>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签字盖章</w:t>
            </w:r>
          </w:p>
        </w:tc>
        <w:tc>
          <w:tcPr>
            <w:tcW w:w="2845" w:type="pct"/>
            <w:tcBorders>
              <w:top w:val="single" w:color="auto" w:sz="4" w:space="0"/>
              <w:left w:val="single" w:color="auto" w:sz="4" w:space="0"/>
              <w:bottom w:val="single" w:color="auto" w:sz="4" w:space="0"/>
              <w:right w:val="single" w:color="auto" w:sz="4" w:space="0"/>
            </w:tcBorders>
            <w:vAlign w:val="center"/>
          </w:tcPr>
          <w:p>
            <w:pPr>
              <w:snapToGrid w:val="0"/>
              <w:spacing w:line="288" w:lineRule="auto"/>
              <w:ind w:left="-2" w:leftChars="-1" w:right="-107" w:rightChars="-51" w:firstLine="4" w:firstLineChars="2"/>
              <w:rPr>
                <w:rFonts w:hint="eastAsia" w:ascii="宋体" w:hAnsi="宋体" w:eastAsia="宋体" w:cs="宋体"/>
                <w:szCs w:val="21"/>
                <w14:ligatures w14:val="none"/>
              </w:rPr>
            </w:pPr>
            <w:r>
              <w:rPr>
                <w:rFonts w:hint="eastAsia" w:ascii="宋体" w:hAnsi="宋体" w:eastAsia="宋体" w:cs="宋体"/>
                <w:szCs w:val="21"/>
                <w14:ligatures w14:val="none"/>
              </w:rPr>
              <w:t>投标文件上法定代表人或其委托代理人的签字、投标人的单位盖章齐全，符合招标文件规定。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right w:val="single" w:color="auto" w:sz="4" w:space="0"/>
            </w:tcBorders>
            <w:vAlign w:val="center"/>
          </w:tcPr>
          <w:p>
            <w:pPr>
              <w:spacing w:line="0" w:lineRule="atLeast"/>
              <w:ind w:left="-109" w:leftChars="-52" w:right="-111" w:rightChars="-53" w:firstLine="1"/>
              <w:jc w:val="center"/>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投标文件格式</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szCs w:val="21"/>
                <w14:ligatures w14:val="none"/>
              </w:rPr>
            </w:pPr>
            <w:r>
              <w:rPr>
                <w:rFonts w:hint="eastAsia" w:ascii="宋体" w:hAnsi="宋体" w:eastAsia="宋体" w:cs="宋体"/>
                <w:szCs w:val="21"/>
                <w14:ligatures w14:val="none"/>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right w:val="single" w:color="auto" w:sz="4" w:space="0"/>
            </w:tcBorders>
            <w:vAlign w:val="center"/>
          </w:tcPr>
          <w:p>
            <w:pPr>
              <w:spacing w:line="0" w:lineRule="atLeast"/>
              <w:ind w:right="-111" w:rightChars="-53"/>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联合体投标人</w:t>
            </w:r>
          </w:p>
        </w:tc>
        <w:tc>
          <w:tcPr>
            <w:tcW w:w="2845" w:type="pct"/>
            <w:tcBorders>
              <w:top w:val="single" w:color="auto" w:sz="4" w:space="0"/>
              <w:left w:val="single" w:color="auto" w:sz="4" w:space="0"/>
              <w:bottom w:val="single" w:color="auto" w:sz="4" w:space="0"/>
              <w:right w:val="single" w:color="auto" w:sz="4" w:space="0"/>
            </w:tcBorders>
            <w:vAlign w:val="center"/>
          </w:tcPr>
          <w:p>
            <w:pPr>
              <w:snapToGrid w:val="0"/>
              <w:spacing w:line="288" w:lineRule="auto"/>
              <w:rPr>
                <w:rFonts w:hint="eastAsia" w:ascii="宋体" w:hAnsi="宋体" w:eastAsia="宋体" w:cs="宋体"/>
                <w:szCs w:val="21"/>
                <w14:ligatures w14:val="none"/>
              </w:rPr>
            </w:pPr>
            <w:r>
              <w:rPr>
                <w:rFonts w:hint="eastAsia" w:ascii="宋体" w:hAnsi="宋体" w:eastAsia="宋体" w:cs="宋体"/>
                <w:szCs w:val="21"/>
                <w14:ligatures w14:val="none"/>
              </w:rPr>
              <w:t>投标人未以联合体形式投标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right w:val="single" w:color="auto" w:sz="4" w:space="0"/>
            </w:tcBorders>
            <w:vAlign w:val="center"/>
          </w:tcPr>
          <w:p>
            <w:pPr>
              <w:spacing w:line="0" w:lineRule="atLeast"/>
              <w:ind w:right="-111" w:rightChars="-53"/>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lang w:bidi="ar"/>
                <w14:ligatures w14:val="none"/>
              </w:rPr>
              <w:t>备选投标方案</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宋体" w:hAnsi="宋体" w:eastAsia="宋体" w:cs="宋体"/>
                <w:szCs w:val="21"/>
                <w14:ligatures w14:val="none"/>
              </w:rPr>
            </w:pPr>
            <w:r>
              <w:rPr>
                <w:rFonts w:hint="eastAsia" w:ascii="宋体" w:hAnsi="宋体" w:eastAsia="宋体" w:cs="宋体"/>
                <w:szCs w:val="21"/>
                <w:lang w:bidi="ar"/>
                <w14:ligatures w14:val="none"/>
              </w:rPr>
              <w:t>投标人未提交备选投标方案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3" w:type="pct"/>
            <w:vMerge w:val="restart"/>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2.1.2</w:t>
            </w:r>
          </w:p>
        </w:tc>
        <w:tc>
          <w:tcPr>
            <w:tcW w:w="588" w:type="pct"/>
            <w:vMerge w:val="restart"/>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资格评审标准</w:t>
            </w: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szCs w:val="21"/>
                <w14:ligatures w14:val="none"/>
              </w:rPr>
            </w:pPr>
            <w:r>
              <w:rPr>
                <w:rFonts w:hint="eastAsia" w:ascii="宋体" w:hAnsi="宋体" w:eastAsia="宋体" w:cs="宋体"/>
                <w:szCs w:val="21"/>
                <w14:ligatures w14:val="none"/>
              </w:rPr>
              <w:t>营业执照和组织机构代码证</w:t>
            </w:r>
          </w:p>
        </w:tc>
        <w:tc>
          <w:tcPr>
            <w:tcW w:w="28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zCs w:val="21"/>
                <w14:ligatures w14:val="none"/>
              </w:rPr>
            </w:pPr>
            <w:r>
              <w:rPr>
                <w:rFonts w:hint="eastAsia" w:ascii="宋体" w:hAnsi="宋体" w:eastAsia="宋体" w:cs="宋体"/>
                <w:szCs w:val="21"/>
                <w14:ligatures w14: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业绩要求</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szCs w:val="21"/>
                <w14:ligatures w14:val="none"/>
              </w:rPr>
            </w:pPr>
            <w:r>
              <w:rPr>
                <w:rFonts w:hint="eastAsia" w:ascii="宋体" w:hAnsi="宋体" w:eastAsia="宋体" w:cs="宋体"/>
                <w:szCs w:val="21"/>
                <w14:ligatures w14: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信誉要求</w:t>
            </w:r>
          </w:p>
        </w:tc>
        <w:tc>
          <w:tcPr>
            <w:tcW w:w="2845" w:type="pct"/>
            <w:tcBorders>
              <w:top w:val="single" w:color="auto" w:sz="4" w:space="0"/>
              <w:left w:val="single" w:color="auto" w:sz="4" w:space="0"/>
              <w:bottom w:val="single" w:color="auto" w:sz="4" w:space="0"/>
              <w:right w:val="single" w:color="auto" w:sz="4" w:space="0"/>
            </w:tcBorders>
            <w:vAlign w:val="center"/>
          </w:tcPr>
          <w:p>
            <w:pPr>
              <w:spacing w:line="254" w:lineRule="exact"/>
              <w:jc w:val="left"/>
              <w:rPr>
                <w:rFonts w:hint="eastAsia" w:ascii="宋体" w:hAnsi="宋体" w:eastAsia="宋体" w:cs="宋体"/>
                <w:szCs w:val="21"/>
                <w14:ligatures w14:val="none"/>
              </w:rPr>
            </w:pPr>
            <w:r>
              <w:rPr>
                <w:rFonts w:hint="eastAsia" w:ascii="宋体" w:hAnsi="宋体" w:eastAsia="宋体" w:cs="宋体"/>
                <w:szCs w:val="21"/>
                <w14:ligatures w14: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其他要求</w:t>
            </w:r>
          </w:p>
        </w:tc>
        <w:tc>
          <w:tcPr>
            <w:tcW w:w="2845" w:type="pct"/>
            <w:tcBorders>
              <w:top w:val="single" w:color="auto" w:sz="4" w:space="0"/>
              <w:left w:val="single" w:color="auto" w:sz="4" w:space="0"/>
              <w:bottom w:val="single" w:color="auto" w:sz="4" w:space="0"/>
              <w:right w:val="single" w:color="auto" w:sz="4" w:space="0"/>
            </w:tcBorders>
            <w:vAlign w:val="center"/>
          </w:tcPr>
          <w:p>
            <w:pPr>
              <w:spacing w:line="254" w:lineRule="exact"/>
              <w:jc w:val="left"/>
              <w:rPr>
                <w:rFonts w:hint="eastAsia" w:ascii="宋体" w:hAnsi="宋体" w:eastAsia="宋体" w:cs="宋体"/>
                <w:szCs w:val="21"/>
                <w14:ligatures w14:val="none"/>
              </w:rPr>
            </w:pPr>
            <w:r>
              <w:rPr>
                <w:rFonts w:hint="eastAsia" w:ascii="宋体" w:hAnsi="宋体" w:eastAsia="宋体" w:cs="宋体"/>
                <w:szCs w:val="21"/>
                <w14:ligatures w14:val="none"/>
              </w:rPr>
              <w:t>符合第二章</w:t>
            </w:r>
            <w:r>
              <w:rPr>
                <w:rFonts w:hint="eastAsia" w:ascii="宋体" w:hAnsi="宋体" w:eastAsia="宋体" w:cs="宋体"/>
                <w:i/>
                <w:szCs w:val="21"/>
                <w14:ligatures w14:val="none"/>
              </w:rPr>
              <w:t>“</w:t>
            </w:r>
            <w:r>
              <w:rPr>
                <w:rFonts w:hint="eastAsia" w:ascii="宋体" w:hAnsi="宋体" w:eastAsia="宋体" w:cs="宋体"/>
                <w:szCs w:val="21"/>
                <w14:ligatures w14:val="none"/>
              </w:rPr>
              <w:t>投标人须知</w:t>
            </w:r>
            <w:r>
              <w:rPr>
                <w:rFonts w:hint="eastAsia" w:ascii="宋体" w:hAnsi="宋体" w:eastAsia="宋体" w:cs="宋体"/>
                <w:i/>
                <w:szCs w:val="21"/>
                <w14:ligatures w14:val="none"/>
              </w:rPr>
              <w:t>”</w:t>
            </w:r>
            <w:r>
              <w:rPr>
                <w:rFonts w:hint="eastAsia" w:ascii="宋体" w:hAnsi="宋体" w:eastAsia="宋体" w:cs="宋体"/>
                <w:szCs w:val="21"/>
                <w14:ligatures w14:val="none"/>
              </w:rPr>
              <w:t>第</w:t>
            </w:r>
            <w:r>
              <w:rPr>
                <w:rFonts w:hint="eastAsia" w:ascii="宋体" w:hAnsi="宋体" w:eastAsia="宋体" w:cs="宋体"/>
                <w:spacing w:val="-78"/>
                <w:szCs w:val="21"/>
                <w14:ligatures w14:val="none"/>
              </w:rPr>
              <w:t xml:space="preserve"> </w:t>
            </w:r>
            <w:r>
              <w:rPr>
                <w:rFonts w:hint="eastAsia" w:ascii="宋体" w:hAnsi="宋体" w:eastAsia="宋体" w:cs="宋体"/>
                <w:szCs w:val="21"/>
                <w14:ligatures w14:val="none"/>
              </w:rPr>
              <w:t>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不存在禁止投标的情形</w:t>
            </w:r>
          </w:p>
        </w:tc>
        <w:tc>
          <w:tcPr>
            <w:tcW w:w="2845" w:type="pct"/>
            <w:tcBorders>
              <w:top w:val="single" w:color="auto" w:sz="4" w:space="0"/>
              <w:left w:val="single" w:color="auto" w:sz="4" w:space="0"/>
              <w:bottom w:val="single" w:color="auto" w:sz="4" w:space="0"/>
              <w:right w:val="single" w:color="auto" w:sz="4" w:space="0"/>
            </w:tcBorders>
            <w:vAlign w:val="center"/>
          </w:tcPr>
          <w:p>
            <w:pPr>
              <w:spacing w:line="254" w:lineRule="exact"/>
              <w:jc w:val="left"/>
              <w:rPr>
                <w:rFonts w:hint="eastAsia" w:ascii="宋体" w:hAnsi="宋体" w:eastAsia="宋体" w:cs="宋体"/>
                <w:szCs w:val="21"/>
                <w14:ligatures w14:val="none"/>
              </w:rPr>
            </w:pPr>
            <w:r>
              <w:rPr>
                <w:rFonts w:hint="eastAsia" w:ascii="宋体" w:hAnsi="宋体" w:eastAsia="宋体" w:cs="宋体"/>
                <w:szCs w:val="21"/>
                <w14:ligatures w14:val="none"/>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restart"/>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2.1.3</w:t>
            </w:r>
          </w:p>
        </w:tc>
        <w:tc>
          <w:tcPr>
            <w:tcW w:w="588" w:type="pct"/>
            <w:vMerge w:val="restart"/>
            <w:tcBorders>
              <w:top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响应性评审标准</w:t>
            </w: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投标报价</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szCs w:val="21"/>
                <w14:ligatures w14:val="none"/>
              </w:rPr>
            </w:pPr>
            <w:r>
              <w:rPr>
                <w:rFonts w:hint="eastAsia" w:ascii="宋体" w:hAnsi="宋体" w:eastAsia="宋体" w:cs="宋体"/>
                <w:szCs w:val="21"/>
                <w14:ligatures w14:val="none"/>
              </w:rPr>
              <w:t>符合第二章“投标人须知”第 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top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投标内容</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szCs w:val="21"/>
                <w14:ligatures w14:val="none"/>
              </w:rPr>
            </w:pPr>
            <w:r>
              <w:rPr>
                <w:rFonts w:hint="eastAsia" w:ascii="宋体" w:hAnsi="宋体" w:eastAsia="宋体" w:cs="宋体"/>
                <w:szCs w:val="21"/>
                <w14:ligatures w14:val="none"/>
              </w:rPr>
              <w:t>符合第二章“投标人须知”第 1.3.1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交货期</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szCs w:val="21"/>
                <w14:ligatures w14:val="none"/>
              </w:rPr>
            </w:pPr>
            <w:r>
              <w:rPr>
                <w:rFonts w:hint="eastAsia" w:ascii="宋体" w:hAnsi="宋体" w:eastAsia="宋体" w:cs="宋体"/>
                <w:szCs w:val="21"/>
                <w14:ligatures w14:val="none"/>
              </w:rPr>
              <w:t>符合第二章“投标人须知”第 1.3.2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交货地点</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szCs w:val="21"/>
                <w14:ligatures w14:val="none"/>
              </w:rPr>
            </w:pPr>
            <w:r>
              <w:rPr>
                <w:rFonts w:hint="eastAsia" w:ascii="宋体" w:hAnsi="宋体" w:eastAsia="宋体" w:cs="宋体"/>
                <w:szCs w:val="21"/>
                <w14:ligatures w14:val="none"/>
              </w:rPr>
              <w:t>符合第二章“投标人须知”第 1.3.3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 xml:space="preserve">技术性能指标 </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宋体" w:hAnsi="宋体" w:eastAsia="宋体" w:cs="宋体"/>
                <w:szCs w:val="21"/>
                <w14:ligatures w14:val="none"/>
              </w:rPr>
            </w:pPr>
            <w:r>
              <w:rPr>
                <w:rFonts w:hint="eastAsia" w:ascii="宋体" w:hAnsi="宋体" w:eastAsia="宋体" w:cs="宋体"/>
                <w:szCs w:val="21"/>
                <w14:ligatures w14:val="none"/>
              </w:rPr>
              <w:t>符合第二章“投标人须知”第 1.3.4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分包</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宋体" w:hAnsi="宋体" w:eastAsia="宋体" w:cs="宋体"/>
                <w:szCs w:val="21"/>
                <w14:ligatures w14:val="none"/>
              </w:rPr>
            </w:pPr>
            <w:r>
              <w:rPr>
                <w:rFonts w:hint="eastAsia" w:ascii="宋体" w:hAnsi="宋体" w:eastAsia="宋体" w:cs="宋体"/>
                <w:szCs w:val="21"/>
                <w14:ligatures w14:val="none"/>
              </w:rPr>
              <w:t xml:space="preserve">符合第二章“投标人须知”第 </w:t>
            </w:r>
            <w:r>
              <w:rPr>
                <w:rFonts w:hint="eastAsia" w:ascii="宋体" w:hAnsi="宋体" w:eastAsia="宋体" w:cs="宋体"/>
                <w:kern w:val="0"/>
                <w:szCs w:val="21"/>
                <w14:ligatures w14:val="none"/>
              </w:rPr>
              <w:t>1.10.1</w:t>
            </w:r>
            <w:r>
              <w:rPr>
                <w:rFonts w:hint="eastAsia" w:ascii="宋体" w:hAnsi="宋体" w:eastAsia="宋体" w:cs="宋体"/>
                <w:szCs w:val="21"/>
                <w14:ligatures w14:val="none"/>
              </w:rPr>
              <w:t xml:space="preserve">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投标有效期</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szCs w:val="21"/>
                <w14:ligatures w14:val="none"/>
              </w:rPr>
            </w:pPr>
            <w:r>
              <w:rPr>
                <w:rFonts w:hint="eastAsia" w:ascii="宋体" w:hAnsi="宋体" w:eastAsia="宋体" w:cs="宋体"/>
                <w:szCs w:val="21"/>
                <w14:ligatures w14:val="none"/>
              </w:rPr>
              <w:t>符合第二章“投标人须知”第 3.3.1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投标保证金</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ind w:left="80"/>
              <w:rPr>
                <w:rFonts w:hint="eastAsia" w:ascii="宋体" w:hAnsi="宋体" w:eastAsia="宋体" w:cs="宋体"/>
                <w:szCs w:val="21"/>
                <w14:ligatures w14:val="none"/>
              </w:rPr>
            </w:pPr>
            <w:r>
              <w:rPr>
                <w:rFonts w:hint="eastAsia" w:ascii="宋体" w:hAnsi="宋体" w:eastAsia="宋体" w:cs="宋体"/>
                <w:szCs w:val="21"/>
                <w14:ligatures w14:val="none"/>
              </w:rPr>
              <w:t>符合第二章“投标人须知”第 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权利义务</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szCs w:val="21"/>
                <w14:ligatures w14:val="none"/>
              </w:rPr>
            </w:pPr>
            <w:r>
              <w:rPr>
                <w:rFonts w:hint="eastAsia" w:ascii="宋体" w:hAnsi="宋体" w:eastAsia="宋体" w:cs="宋体"/>
                <w:szCs w:val="21"/>
                <w14:ligatures w14:val="none"/>
              </w:rPr>
              <w:t>符合第二章“投标人须知”第 1.11.1 项规定和第四章“合同条款及格式”中的实质性要求和条件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投标设备及技术服务和质保期服务</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ind w:left="80"/>
              <w:jc w:val="left"/>
              <w:rPr>
                <w:rFonts w:hint="eastAsia" w:ascii="宋体" w:hAnsi="宋体" w:eastAsia="宋体" w:cs="宋体"/>
                <w:szCs w:val="21"/>
                <w14:ligatures w14:val="none"/>
              </w:rPr>
            </w:pPr>
            <w:r>
              <w:rPr>
                <w:rFonts w:hint="eastAsia" w:ascii="宋体" w:hAnsi="宋体" w:eastAsia="宋体" w:cs="宋体"/>
                <w:szCs w:val="21"/>
                <w14:ligatures w14:val="none"/>
              </w:rPr>
              <w:t>符合第五章“供货要求”中的实质性要求和条件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588" w:type="pct"/>
            <w:vMerge w:val="continue"/>
            <w:tcBorders>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技术支持资料</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ind w:left="80"/>
              <w:jc w:val="left"/>
              <w:rPr>
                <w:rFonts w:hint="eastAsia" w:ascii="宋体" w:hAnsi="宋体" w:eastAsia="宋体" w:cs="宋体"/>
                <w:szCs w:val="21"/>
                <w14:ligatures w14:val="none"/>
              </w:rPr>
            </w:pPr>
            <w:r>
              <w:rPr>
                <w:rFonts w:hint="eastAsia" w:ascii="宋体" w:hAnsi="宋体" w:eastAsia="宋体" w:cs="宋体"/>
                <w:szCs w:val="21"/>
                <w14:ligatures w14:val="none"/>
              </w:rPr>
              <w:t>符合第二章“投标人须知”第 1.11.3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2</w:t>
            </w:r>
            <w:r>
              <w:rPr>
                <w:rFonts w:ascii="宋体" w:hAnsi="宋体" w:eastAsia="宋体" w:cs="宋体"/>
                <w:szCs w:val="21"/>
                <w14:ligatures w14:val="none"/>
              </w:rPr>
              <w:t>.2</w:t>
            </w:r>
          </w:p>
        </w:tc>
        <w:tc>
          <w:tcPr>
            <w:tcW w:w="588" w:type="pct"/>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详细评审标准</w:t>
            </w:r>
          </w:p>
        </w:tc>
        <w:tc>
          <w:tcPr>
            <w:tcW w:w="112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Times New Roman"/>
                <w:szCs w:val="21"/>
                <w14:ligatures w14:val="none"/>
              </w:rPr>
              <w:t>经评审的投标价</w:t>
            </w:r>
          </w:p>
        </w:tc>
        <w:tc>
          <w:tcPr>
            <w:tcW w:w="2845" w:type="pct"/>
            <w:tcBorders>
              <w:top w:val="single" w:color="auto" w:sz="4" w:space="0"/>
              <w:left w:val="single" w:color="auto" w:sz="4" w:space="0"/>
              <w:bottom w:val="single" w:color="auto" w:sz="4" w:space="0"/>
              <w:right w:val="single" w:color="auto" w:sz="4" w:space="0"/>
            </w:tcBorders>
            <w:vAlign w:val="center"/>
          </w:tcPr>
          <w:p>
            <w:pPr>
              <w:spacing w:line="0" w:lineRule="atLeast"/>
              <w:ind w:left="80"/>
              <w:jc w:val="left"/>
              <w:rPr>
                <w:rFonts w:hint="eastAsia" w:ascii="宋体" w:hAnsi="宋体" w:eastAsia="宋体" w:cs="宋体"/>
                <w:szCs w:val="21"/>
                <w14:ligatures w14:val="none"/>
              </w:rPr>
            </w:pPr>
            <w:r>
              <w:rPr>
                <w:rFonts w:hint="eastAsia" w:ascii="宋体" w:hAnsi="宋体" w:eastAsia="宋体" w:cs="Times New Roman"/>
                <w:szCs w:val="21"/>
                <w14:ligatures w14:val="none"/>
              </w:rPr>
              <w:t>经评审的投标价</w:t>
            </w:r>
            <w:r>
              <w:rPr>
                <w:rFonts w:hint="eastAsia" w:ascii="宋体" w:hAnsi="宋体" w:eastAsia="宋体" w:cs="宋体"/>
                <w:szCs w:val="21"/>
                <w14:ligatures w14:val="none"/>
              </w:rPr>
              <w:t>=经过算术性修正后的投标报价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031" w:type="pct"/>
            <w:gridSpan w:val="2"/>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增加：3.1.4</w:t>
            </w:r>
          </w:p>
        </w:tc>
        <w:tc>
          <w:tcPr>
            <w:tcW w:w="1124" w:type="pct"/>
            <w:tcBorders>
              <w:top w:val="single" w:color="auto" w:sz="4" w:space="0"/>
              <w:left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经评审的投标价</w:t>
            </w:r>
          </w:p>
        </w:tc>
        <w:tc>
          <w:tcPr>
            <w:tcW w:w="2845" w:type="pct"/>
            <w:tcBorders>
              <w:top w:val="single" w:color="auto" w:sz="4" w:space="0"/>
              <w:left w:val="single" w:color="auto" w:sz="4" w:space="0"/>
              <w:right w:val="single" w:color="auto" w:sz="4" w:space="0"/>
            </w:tcBorders>
            <w:vAlign w:val="center"/>
          </w:tcPr>
          <w:p>
            <w:pPr>
              <w:spacing w:line="0" w:lineRule="atLeast"/>
              <w:rPr>
                <w:rFonts w:hint="eastAsia" w:ascii="宋体" w:hAnsi="宋体" w:eastAsia="宋体" w:cs="宋体"/>
                <w:szCs w:val="21"/>
                <w14:ligatures w14:val="none"/>
              </w:rPr>
            </w:pPr>
            <w:r>
              <w:rPr>
                <w:rFonts w:hint="eastAsia" w:ascii="宋体" w:hAnsi="宋体" w:eastAsia="宋体" w:cs="Times New Roman"/>
                <w:szCs w:val="21"/>
                <w14:ligatures w14:val="none"/>
              </w:rPr>
              <w:t>经评审的投标价</w:t>
            </w:r>
            <w:r>
              <w:rPr>
                <w:rFonts w:hint="eastAsia" w:ascii="宋体" w:hAnsi="宋体" w:eastAsia="宋体" w:cs="宋体"/>
                <w:szCs w:val="21"/>
                <w14:ligatures w14:val="none"/>
              </w:rPr>
              <w:t>若超过最高投标限价，评标委员会应否决其投标。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31" w:type="pct"/>
            <w:gridSpan w:val="2"/>
            <w:tcBorders>
              <w:top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szCs w:val="21"/>
                <w14:ligatures w14:val="none"/>
              </w:rPr>
            </w:pPr>
            <w:r>
              <w:rPr>
                <w:rFonts w:hint="eastAsia" w:ascii="宋体" w:hAnsi="宋体" w:eastAsia="宋体" w:cs="宋体"/>
                <w:szCs w:val="21"/>
                <w14:ligatures w14:val="none"/>
              </w:rPr>
              <w:t>增加：3.2.5</w:t>
            </w:r>
          </w:p>
        </w:tc>
        <w:tc>
          <w:tcPr>
            <w:tcW w:w="1124" w:type="pct"/>
            <w:tcBorders>
              <w:top w:val="single" w:color="auto" w:sz="4" w:space="0"/>
              <w:left w:val="single" w:color="auto" w:sz="4" w:space="0"/>
              <w:right w:val="single" w:color="auto" w:sz="4" w:space="0"/>
            </w:tcBorders>
            <w:vAlign w:val="center"/>
          </w:tcPr>
          <w:p>
            <w:pPr>
              <w:spacing w:line="288" w:lineRule="auto"/>
              <w:jc w:val="center"/>
              <w:rPr>
                <w:rFonts w:hint="eastAsia" w:ascii="宋体" w:hAnsi="宋体" w:eastAsia="宋体" w:cs="宋体"/>
                <w:szCs w:val="21"/>
                <w14:ligatures w14:val="none"/>
              </w:rPr>
            </w:pPr>
            <w:r>
              <w:rPr>
                <w:rFonts w:hint="eastAsia" w:ascii="宋体" w:hAnsi="宋体" w:eastAsia="宋体" w:cs="宋体"/>
                <w:szCs w:val="21"/>
                <w14:ligatures w14:val="none"/>
              </w:rPr>
              <w:t>投标文件相关信息的核查</w:t>
            </w:r>
          </w:p>
        </w:tc>
        <w:tc>
          <w:tcPr>
            <w:tcW w:w="2845" w:type="pct"/>
            <w:tcBorders>
              <w:top w:val="single" w:color="auto" w:sz="4" w:space="0"/>
              <w:left w:val="single" w:color="auto" w:sz="4" w:space="0"/>
              <w:right w:val="single" w:color="auto" w:sz="4" w:space="0"/>
            </w:tcBorders>
            <w:vAlign w:val="center"/>
          </w:tcPr>
          <w:p>
            <w:pPr>
              <w:snapToGrid w:val="0"/>
              <w:spacing w:line="288" w:lineRule="auto"/>
              <w:jc w:val="left"/>
              <w:rPr>
                <w:rFonts w:hint="eastAsia" w:ascii="宋体" w:hAnsi="宋体" w:eastAsia="宋体" w:cs="Times New Roman"/>
                <w:szCs w:val="21"/>
                <w14:ligatures w14:val="none"/>
              </w:rPr>
            </w:pPr>
            <w:r>
              <w:rPr>
                <w:rFonts w:hint="eastAsia" w:ascii="宋体" w:hAnsi="宋体" w:eastAsia="宋体" w:cs="Times New Roman"/>
                <w:szCs w:val="21"/>
                <w14:ligatures w14:val="none"/>
              </w:rPr>
              <w:t>3.2.5投标文件相关信息的核查</w:t>
            </w:r>
          </w:p>
          <w:p>
            <w:pPr>
              <w:snapToGrid w:val="0"/>
              <w:spacing w:line="288" w:lineRule="auto"/>
              <w:jc w:val="left"/>
              <w:rPr>
                <w:rFonts w:hint="eastAsia" w:ascii="宋体" w:hAnsi="宋体" w:eastAsia="宋体" w:cs="Times New Roman"/>
                <w:szCs w:val="21"/>
                <w14:ligatures w14:val="none"/>
              </w:rPr>
            </w:pPr>
            <w:r>
              <w:rPr>
                <w:rFonts w:hint="eastAsia" w:ascii="宋体" w:hAnsi="宋体" w:eastAsia="宋体" w:cs="Times New Roman"/>
                <w:szCs w:val="21"/>
                <w14:ligatures w14:val="none"/>
              </w:rPr>
              <w:t>3.2.5.1在评标过程中，评标委员会应对以下信息进行查询：</w:t>
            </w:r>
          </w:p>
          <w:p>
            <w:pPr>
              <w:snapToGrid w:val="0"/>
              <w:spacing w:line="288" w:lineRule="auto"/>
              <w:ind w:firstLine="327" w:firstLineChars="156"/>
              <w:jc w:val="left"/>
              <w:rPr>
                <w:rFonts w:hint="eastAsia" w:ascii="宋体" w:hAnsi="宋体" w:eastAsia="宋体" w:cs="Times New Roman"/>
                <w:szCs w:val="21"/>
                <w14:ligatures w14:val="none"/>
              </w:rPr>
            </w:pPr>
            <w:r>
              <w:rPr>
                <w:rFonts w:hint="eastAsia" w:ascii="宋体" w:hAnsi="宋体" w:eastAsia="宋体" w:cs="Times New Roman"/>
                <w:szCs w:val="21"/>
                <w14:ligatures w14:val="none"/>
              </w:rPr>
              <w:t>（1）投标人信用情况网页截图内容与在“国家企业信用信息公示系统”中严重违法失信名单（黑名单）信息（不含分公司）或在“信用中国”网站中失信被执行人名单、经营异常名录、税收违法黑名单、政府采购严重违法失信名单（均不含分公司）的复核结果一致。</w:t>
            </w:r>
          </w:p>
          <w:p>
            <w:pPr>
              <w:snapToGrid w:val="0"/>
              <w:spacing w:line="288" w:lineRule="auto"/>
              <w:ind w:firstLine="327" w:firstLineChars="156"/>
              <w:jc w:val="left"/>
              <w:rPr>
                <w:rFonts w:hint="eastAsia" w:ascii="宋体" w:hAnsi="宋体" w:eastAsia="宋体" w:cs="Times New Roman"/>
                <w:szCs w:val="21"/>
                <w14:ligatures w14:val="none"/>
              </w:rPr>
            </w:pPr>
            <w:r>
              <w:rPr>
                <w:rFonts w:hint="eastAsia" w:ascii="宋体" w:hAnsi="宋体" w:eastAsia="宋体" w:cs="Times New Roman"/>
                <w:szCs w:val="21"/>
                <w14:ligatures w14:val="none"/>
              </w:rPr>
              <w:t>如投标人未提供相关网页截图或所附截图与复核结果不一致导致不能满足资格评审要求的，评标委员会应否决其投标。</w:t>
            </w:r>
          </w:p>
          <w:p>
            <w:pPr>
              <w:autoSpaceDE w:val="0"/>
              <w:autoSpaceDN w:val="0"/>
              <w:spacing w:line="288" w:lineRule="auto"/>
              <w:ind w:firstLine="420" w:firstLineChars="200"/>
              <w:rPr>
                <w:rFonts w:hint="eastAsia" w:ascii="宋体" w:hAnsi="宋体" w:eastAsia="宋体" w:cs="Times New Roman"/>
                <w:szCs w:val="21"/>
                <w14:ligatures w14:val="none"/>
              </w:rPr>
            </w:pPr>
            <w:r>
              <w:rPr>
                <w:rFonts w:hint="eastAsia" w:ascii="宋体" w:hAnsi="宋体" w:eastAsia="宋体" w:cs="Times New Roman"/>
                <w:szCs w:val="21"/>
                <w14:ligatures w14: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pPr>
              <w:spacing w:line="288" w:lineRule="auto"/>
              <w:rPr>
                <w:rFonts w:hint="eastAsia" w:ascii="宋体" w:hAnsi="宋体" w:eastAsia="宋体" w:cs="宋体"/>
                <w:kern w:val="0"/>
                <w:szCs w:val="21"/>
                <w14:ligatures w14:val="none"/>
              </w:rPr>
            </w:pPr>
            <w:r>
              <w:rPr>
                <w:rFonts w:hint="eastAsia" w:ascii="宋体" w:hAnsi="宋体" w:eastAsia="宋体" w:cs="Times New Roman"/>
                <w:kern w:val="0"/>
                <w:szCs w:val="21"/>
                <w14:ligatures w14:val="none"/>
              </w:rPr>
              <w:t>3.2.5.2评标委员会应对在评标过程中发现的投标人与投标人之间、投标人与招标人之间存在的串通投标的情形进行评审和认定。投标人存在串通投标、弄虚作假、行贿等违法行为的，评标委员会应否决其投标。</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2BAB2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2024-01-10T00:59:21Z</dcterms:created>
  <dc:creator>Administrator</dc:creator>
  <cp:lastModifiedBy>李娜</cp:lastModifiedBy>
  <dcterms:modified xsi:type="dcterms:W3CDTF">2024-01-10T00:59:25Z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124B0688A9484031A0917BD47D8D861C_12</vt:lpwstr>
  </property>
</Properties>
</file>