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Times New Roman"/>
          <w:b/>
          <w:sz w:val="28"/>
          <w:szCs w:val="28"/>
        </w:rPr>
      </w:pPr>
      <w:bookmarkStart w:id="2" w:name="_GoBack"/>
      <w:bookmarkEnd w:id="2"/>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具备独立法人资格，具有有效企业营业执照；具备省级及以上财政部门批准的会计师事务所执业证书。</w:t>
            </w:r>
          </w:p>
        </w:tc>
      </w:tr>
    </w:tbl>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eastAsia="宋体" w:cs="Times New Roman"/>
                <w:b/>
                <w:bCs/>
                <w:szCs w:val="21"/>
              </w:rPr>
            </w:pPr>
            <w:bookmarkStart w:id="0" w:name="_Hlk50454153"/>
            <w:bookmarkStart w:id="1" w:name="_Hlk51692819"/>
            <w:r>
              <w:rPr>
                <w:rFonts w:hint="eastAsia" w:ascii="宋体" w:hAnsi="宋体" w:eastAsia="宋体" w:cs="Times New Roman"/>
                <w:szCs w:val="21"/>
              </w:rPr>
              <w:t>投标人近</w:t>
            </w:r>
            <w:r>
              <w:rPr>
                <w:rFonts w:ascii="宋体" w:hAnsi="宋体" w:eastAsia="宋体" w:cs="Times New Roman"/>
                <w:szCs w:val="21"/>
              </w:rPr>
              <w:t>5</w:t>
            </w:r>
            <w:r>
              <w:rPr>
                <w:rFonts w:hint="eastAsia" w:ascii="宋体" w:hAnsi="宋体" w:eastAsia="宋体" w:cs="Times New Roman"/>
                <w:szCs w:val="21"/>
              </w:rPr>
              <w:t>年内（20</w:t>
            </w:r>
            <w:r>
              <w:rPr>
                <w:rFonts w:ascii="宋体" w:hAnsi="宋体" w:eastAsia="宋体" w:cs="Times New Roman"/>
                <w:szCs w:val="21"/>
              </w:rPr>
              <w:t>18</w:t>
            </w:r>
            <w:r>
              <w:rPr>
                <w:rFonts w:hint="eastAsia" w:ascii="宋体" w:hAnsi="宋体" w:eastAsia="宋体" w:cs="Times New Roman"/>
                <w:szCs w:val="21"/>
              </w:rPr>
              <w:t>年11月1日至今，以合同签订时间为准）至少承担过一项企业内控体系或全面风险管理体系建设咨询服务项目业绩。</w:t>
            </w:r>
            <w:bookmarkEnd w:id="0"/>
            <w:bookmarkEnd w:id="1"/>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22</w:t>
            </w:r>
            <w:r>
              <w:rPr>
                <w:rFonts w:hint="eastAsia" w:ascii="宋体" w:hAnsi="宋体" w:eastAsia="宋体" w:cs="Times New Roman"/>
              </w:rPr>
              <w:t>年</w:t>
            </w:r>
            <w:r>
              <w:rPr>
                <w:rFonts w:ascii="宋体" w:hAnsi="宋体" w:eastAsia="宋体" w:cs="Times New Roman"/>
              </w:rPr>
              <w:t>11月</w:t>
            </w:r>
            <w:r>
              <w:rPr>
                <w:rFonts w:hint="eastAsia" w:ascii="宋体" w:hAnsi="宋体" w:eastAsia="宋体" w:cs="Times New Roman"/>
              </w:rPr>
              <w:t>1日至今)</w:t>
            </w:r>
            <w:r>
              <w:rPr>
                <w:rFonts w:hint="eastAsia" w:ascii="宋体" w:hAnsi="宋体" w:eastAsia="宋体" w:cs="Times New Roman"/>
                <w:szCs w:val="21"/>
              </w:rPr>
              <w:t>不曾在全面风险管理体系建设咨询服务合同中违约而被驱逐或因投标人自身的原因而使全面风险管理体系建设咨询服务合同被解除。</w:t>
            </w:r>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4</w:t>
      </w:r>
      <w:r>
        <w:rPr>
          <w:rFonts w:hint="eastAsia" w:ascii="宋体" w:hAnsi="宋体" w:eastAsia="宋体" w:cs="Times New Roman"/>
          <w:b/>
          <w:kern w:val="0"/>
          <w:sz w:val="24"/>
          <w:szCs w:val="24"/>
        </w:rPr>
        <w:t xml:space="preserve"> 资格审查条件（项目负责人最低要求）</w:t>
      </w:r>
    </w:p>
    <w:tbl>
      <w:tblPr>
        <w:tblStyle w:val="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高级会计师职称；近</w:t>
            </w:r>
            <w:r>
              <w:rPr>
                <w:rFonts w:ascii="宋体" w:hAnsi="宋体" w:eastAsia="宋体" w:cs="Times New Roman"/>
              </w:rPr>
              <w:t>5</w:t>
            </w:r>
            <w:r>
              <w:rPr>
                <w:rFonts w:hint="eastAsia" w:ascii="宋体" w:hAnsi="宋体" w:eastAsia="宋体" w:cs="Times New Roman"/>
              </w:rPr>
              <w:t>年内（20</w:t>
            </w:r>
            <w:r>
              <w:rPr>
                <w:rFonts w:ascii="宋体" w:hAnsi="宋体" w:eastAsia="宋体" w:cs="Times New Roman"/>
              </w:rPr>
              <w:t>18</w:t>
            </w:r>
            <w:r>
              <w:rPr>
                <w:rFonts w:hint="eastAsia" w:ascii="宋体" w:hAnsi="宋体" w:eastAsia="宋体" w:cs="Times New Roman"/>
              </w:rPr>
              <w:t>年11月1日至今，以合同签订时间为准）至少担任过</w:t>
            </w:r>
            <w:r>
              <w:rPr>
                <w:rFonts w:hint="eastAsia" w:ascii="宋体" w:hAnsi="宋体" w:eastAsia="宋体" w:cs="Times New Roman"/>
                <w:szCs w:val="21"/>
              </w:rPr>
              <w:t>一项的企业内控体系或全面风险管理体系建设咨询服务项目的项目负责人（或项目经理）</w:t>
            </w:r>
            <w:r>
              <w:rPr>
                <w:rFonts w:hint="eastAsia" w:ascii="宋体" w:hAnsi="宋体" w:eastAsia="宋体" w:cs="Times New Roman"/>
              </w:rPr>
              <w:t>。</w:t>
            </w:r>
          </w:p>
        </w:tc>
      </w:tr>
    </w:tbl>
    <w:p>
      <w:pPr>
        <w:spacing w:line="360" w:lineRule="exact"/>
        <w:jc w:val="left"/>
        <w:rPr>
          <w:rFonts w:ascii="宋体" w:hAnsi="宋体" w:eastAsia="宋体" w:cs="Times New Roman"/>
          <w:b/>
          <w:sz w:val="24"/>
        </w:rPr>
      </w:pPr>
    </w:p>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名中标候选人；综合评分相等时，评标委员会依次按照以下优先推荐中标候选人：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（2）服务方案得分较高的投标人优先；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a．投标函按招标文件规定填报了补遗书编号（如有）和项目负责人等相关信息；</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）投标文件载明的招标项目完成期限符合招标文件规定的时限。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）投标人未对本项目提出分包计划。</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）投标人的项目负责人符合招标文件规定。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b/>
                <w:szCs w:val="21"/>
              </w:rPr>
              <w:t>第一个信封（商务及技术文件）评分分值构成：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 xml:space="preserve">       25</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主要人员： </w:t>
            </w:r>
            <w:r>
              <w:rPr>
                <w:rFonts w:ascii="宋体" w:hAnsi="宋体" w:eastAsia="宋体" w:cs="Times New Roman"/>
                <w:szCs w:val="21"/>
              </w:rPr>
              <w:t xml:space="preserve">             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 xml:space="preserve">             45</w:t>
            </w:r>
            <w:r>
              <w:rPr>
                <w:rFonts w:hint="eastAsia" w:ascii="宋体" w:hAnsi="宋体" w:eastAsia="宋体" w:cs="Times New Roman"/>
                <w:szCs w:val="21"/>
              </w:rPr>
              <w:t>分</w:t>
            </w:r>
          </w:p>
          <w:p>
            <w:pPr>
              <w:spacing w:line="360" w:lineRule="exact"/>
              <w:rPr>
                <w:rFonts w:ascii="宋体" w:hAnsi="宋体" w:eastAsia="宋体" w:cs="Times New Roman"/>
                <w:szCs w:val="21"/>
              </w:rPr>
            </w:pPr>
            <w:r>
              <w:rPr>
                <w:rFonts w:hint="eastAsia" w:ascii="宋体" w:hAnsi="宋体" w:eastAsia="宋体" w:cs="Times New Roman"/>
                <w:b/>
                <w:szCs w:val="21"/>
              </w:rPr>
              <w:t>第二个信封（报价文件）评分分值构成：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评 标 价：       </w:t>
            </w:r>
            <w:r>
              <w:rPr>
                <w:rFonts w:ascii="宋体" w:hAnsi="宋体" w:eastAsia="宋体" w:cs="Times New Roman"/>
                <w:szCs w:val="21"/>
              </w:rPr>
              <w:t xml:space="preserve">       </w:t>
            </w:r>
            <w:r>
              <w:rPr>
                <w:rFonts w:hint="eastAsia" w:ascii="宋体" w:hAnsi="宋体" w:eastAsia="宋体"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在评标过程中，评标委员会应对以下信息进行查询：</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如投标人未提供相关网页截图或所附截图与复核结果不一致，评标委员会应否决其投标。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Times New Roman"/>
                <w:szCs w:val="21"/>
              </w:rPr>
              <w:t>满足资格审查条件要求(业绩最低要求)得</w:t>
            </w:r>
            <w:r>
              <w:rPr>
                <w:rFonts w:ascii="宋体" w:hAnsi="宋体" w:eastAsia="宋体" w:cs="Times New Roman"/>
                <w:szCs w:val="21"/>
              </w:rPr>
              <w:t>15</w:t>
            </w:r>
            <w:r>
              <w:rPr>
                <w:rFonts w:hint="eastAsia" w:ascii="宋体" w:hAnsi="宋体" w:eastAsia="宋体" w:cs="Times New Roman"/>
                <w:szCs w:val="21"/>
              </w:rPr>
              <w:t>分；</w:t>
            </w:r>
            <w:r>
              <w:rPr>
                <w:rFonts w:ascii="宋体" w:hAnsi="宋体" w:eastAsia="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(业绩最低要求)</w:t>
            </w:r>
            <w:r>
              <w:rPr>
                <w:rFonts w:hint="eastAsia" w:ascii="宋体" w:hAnsi="宋体" w:eastAsia="宋体" w:cs="Times New Roman"/>
              </w:rPr>
              <w:t>的</w:t>
            </w:r>
            <w:r>
              <w:rPr>
                <w:rFonts w:hint="eastAsia" w:ascii="宋体" w:hAnsi="宋体" w:eastAsia="宋体" w:cs="宋体"/>
                <w:bCs/>
                <w:szCs w:val="21"/>
              </w:rPr>
              <w:t>业绩加</w:t>
            </w:r>
            <w:r>
              <w:rPr>
                <w:rFonts w:ascii="宋体" w:hAnsi="宋体" w:eastAsia="宋体" w:cs="宋体"/>
                <w:bCs/>
                <w:szCs w:val="21"/>
              </w:rPr>
              <w:t>5</w:t>
            </w:r>
            <w:r>
              <w:rPr>
                <w:rFonts w:hint="eastAsia" w:ascii="宋体" w:hAnsi="宋体" w:eastAsia="宋体" w:cs="宋体"/>
                <w:bCs/>
                <w:szCs w:val="21"/>
              </w:rPr>
              <w:t>分，最高加</w:t>
            </w:r>
            <w:r>
              <w:rPr>
                <w:rFonts w:ascii="宋体" w:hAnsi="宋体" w:eastAsia="宋体" w:cs="宋体"/>
                <w:bCs/>
                <w:szCs w:val="21"/>
              </w:rPr>
              <w:t>10</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主要人员</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满足资格审查条件要求（项目负责人最低要求）得</w:t>
            </w:r>
            <w:r>
              <w:rPr>
                <w:rFonts w:ascii="宋体" w:hAnsi="宋体" w:eastAsia="宋体" w:cs="Times New Roman"/>
                <w:szCs w:val="21"/>
              </w:rPr>
              <w:t>12</w:t>
            </w:r>
            <w:r>
              <w:rPr>
                <w:rFonts w:hint="eastAsia" w:ascii="宋体" w:hAnsi="宋体" w:eastAsia="宋体" w:cs="Times New Roman"/>
                <w:szCs w:val="21"/>
              </w:rPr>
              <w:t xml:space="preserve">分；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每增加一项满足</w:t>
            </w:r>
            <w:r>
              <w:rPr>
                <w:rFonts w:ascii="宋体" w:hAnsi="宋体" w:eastAsia="宋体" w:cs="Times New Roman"/>
                <w:szCs w:val="21"/>
              </w:rPr>
              <w:t>资</w:t>
            </w:r>
            <w:r>
              <w:rPr>
                <w:rFonts w:hint="eastAsia" w:ascii="宋体" w:hAnsi="宋体" w:eastAsia="宋体" w:cs="Times New Roman"/>
                <w:szCs w:val="21"/>
              </w:rPr>
              <w:t>格审查条件要求(项目负责人最低要求)的业绩加</w:t>
            </w:r>
            <w:r>
              <w:rPr>
                <w:rFonts w:ascii="宋体" w:hAnsi="宋体" w:eastAsia="宋体" w:cs="Times New Roman"/>
                <w:szCs w:val="21"/>
              </w:rPr>
              <w:t>4</w:t>
            </w:r>
            <w:r>
              <w:rPr>
                <w:rFonts w:hint="eastAsia" w:ascii="宋体" w:hAnsi="宋体" w:eastAsia="宋体" w:cs="Times New Roman"/>
                <w:szCs w:val="21"/>
              </w:rPr>
              <w:t>分，最高加8分。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23" w:hRule="atLeas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45</w:t>
            </w:r>
            <w:r>
              <w:rPr>
                <w:rFonts w:hint="eastAsia" w:ascii="宋体" w:hAnsi="宋体" w:eastAsia="宋体" w:cs="宋体"/>
                <w:bCs/>
                <w:szCs w:val="21"/>
              </w:rPr>
              <w:t>分）</w:t>
            </w: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完成服务工作的范围、内容、步骤、程序</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15</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9</w:t>
            </w:r>
            <w:r>
              <w:rPr>
                <w:rFonts w:hint="eastAsia" w:ascii="宋体" w:hAnsi="宋体" w:eastAsia="宋体" w:cs="宋体"/>
                <w:bCs/>
                <w:szCs w:val="21"/>
              </w:rPr>
              <w:t>-</w:t>
            </w:r>
            <w:r>
              <w:rPr>
                <w:rFonts w:ascii="宋体" w:hAnsi="宋体" w:eastAsia="宋体" w:cs="宋体"/>
                <w:bCs/>
                <w:szCs w:val="21"/>
              </w:rPr>
              <w:t>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服务工作的重点和难点分析</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第三档，基本合理，内容简单，得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服务工作的质量、进度控制措施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后续服务</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第一档，后续服务系统全面、科学合理，得8-10分；</w:t>
            </w:r>
          </w:p>
          <w:p>
            <w:pPr>
              <w:snapToGrid w:val="0"/>
              <w:rPr>
                <w:rFonts w:ascii="宋体" w:hAnsi="宋体" w:eastAsia="宋体" w:cs="宋体"/>
                <w:bCs/>
                <w:szCs w:val="21"/>
              </w:rPr>
            </w:pPr>
            <w:r>
              <w:rPr>
                <w:rFonts w:hint="eastAsia" w:ascii="宋体" w:hAnsi="宋体" w:eastAsia="宋体" w:cs="宋体"/>
                <w:bCs/>
                <w:szCs w:val="21"/>
              </w:rPr>
              <w:t>第二档，后续服务较完整、较科学，得6-8分；</w:t>
            </w:r>
          </w:p>
          <w:p>
            <w:pPr>
              <w:snapToGrid w:val="0"/>
              <w:rPr>
                <w:rFonts w:ascii="宋体" w:hAnsi="宋体" w:eastAsia="宋体" w:cs="宋体"/>
                <w:bCs/>
                <w:szCs w:val="21"/>
              </w:rPr>
            </w:pPr>
            <w:r>
              <w:rPr>
                <w:rFonts w:hint="eastAsia" w:ascii="宋体" w:hAnsi="宋体" w:eastAsia="宋体" w:cs="宋体"/>
                <w:bCs/>
                <w:szCs w:val="21"/>
              </w:rPr>
              <w:t>第三档，后续服务基本完整或基本合理，得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4</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Times New Roman"/>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w:t>
            </w:r>
          </w:p>
          <w:p>
            <w:pPr>
              <w:ind w:firstLine="243" w:firstLineChars="116"/>
              <w:rPr>
                <w:rFonts w:ascii="Times New Roman" w:hAnsi="Times New Roman" w:eastAsia="宋体" w:cs="Times New Roman"/>
              </w:rPr>
            </w:pPr>
            <w:r>
              <w:rPr>
                <w:rFonts w:hint="eastAsia" w:ascii="宋体" w:hAnsi="宋体" w:eastAsia="宋体" w:cs="Times New Roman"/>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rPr>
          <w:rFonts w:ascii="宋体" w:hAnsi="宋体" w:eastAsia="宋体" w:cs="Times New Roman"/>
          <w:sz w:val="20"/>
          <w:szCs w:val="20"/>
        </w:rPr>
      </w:pPr>
      <w:r>
        <w:rPr>
          <w:rFonts w:hint="eastAsia" w:ascii="宋体" w:hAnsi="宋体" w:eastAsia="宋体" w:cs="Times New Roman"/>
          <w:szCs w:val="21"/>
        </w:rPr>
        <w:t>2、服务方案缺项则该项得0分。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5941F6"/>
    <w:rsid w:val="00145917"/>
    <w:rsid w:val="004A11CD"/>
    <w:rsid w:val="005754D1"/>
    <w:rsid w:val="005941F6"/>
    <w:rsid w:val="00641CB7"/>
    <w:rsid w:val="00AD12F1"/>
    <w:rsid w:val="00B6455E"/>
    <w:rsid w:val="00D66E79"/>
    <w:rsid w:val="00F00004"/>
    <w:rsid w:val="384F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2663</Words>
  <Characters>2851</Characters>
  <Lines>178</Lines>
  <Paragraphs>177</Paragraphs>
  <TotalTime>0</TotalTime>
  <ScaleCrop>false</ScaleCrop>
  <LinksUpToDate>false</LinksUpToDate>
  <CharactersWithSpaces>5337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2023-11-24T00:41:00Z</dcterms:created>
  <dc:creator>宝鑫 王</dc:creator>
  <cp:lastModifiedBy>李</cp:lastModifiedBy>
  <dcterms:modified xsi:type="dcterms:W3CDTF">2023-12-04T02:44:57Z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7B5E4A66E1F44DB0B9D8C534B39152FB_12</vt:lpwstr>
  </property>
</Properties>
</file>