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rPr>
      </w:pPr>
      <w:r>
        <w:rPr>
          <w:rFonts w:hint="eastAsia" w:ascii="宋体" w:hAnsi="宋体" w:cs="宋体"/>
          <w:b/>
          <w:sz w:val="28"/>
          <w:szCs w:val="28"/>
        </w:rPr>
        <w:t>附件1：资格审查条件</w:t>
      </w:r>
    </w:p>
    <w:p>
      <w:pPr>
        <w:rPr>
          <w:rFonts w:hint="eastAsia" w:ascii="宋体" w:hAnsi="宋体" w:cs="宋体"/>
          <w:b/>
          <w:sz w:val="28"/>
          <w:szCs w:val="28"/>
        </w:rPr>
      </w:pPr>
    </w:p>
    <w:p>
      <w:pPr>
        <w:rPr>
          <w:rFonts w:hint="eastAsia" w:ascii="宋体" w:hAnsi="宋体" w:cs="宋体"/>
          <w:b/>
          <w:sz w:val="28"/>
          <w:szCs w:val="28"/>
        </w:rPr>
      </w:pPr>
    </w:p>
    <w:p>
      <w:pPr>
        <w:jc w:val="center"/>
        <w:rPr>
          <w:rFonts w:ascii="宋体" w:hAnsi="宋体" w:cs="宋体"/>
          <w:b/>
          <w:sz w:val="24"/>
        </w:rPr>
      </w:pPr>
      <w:r>
        <w:rPr>
          <w:rFonts w:hint="eastAsia" w:ascii="宋体" w:hAnsi="宋体" w:cs="宋体"/>
          <w:b/>
          <w:sz w:val="24"/>
        </w:rPr>
        <w:t>附录1 资格审查条件（资质最低要求）</w:t>
      </w:r>
    </w:p>
    <w:tbl>
      <w:tblPr>
        <w:tblStyle w:val="6"/>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1" w:hRule="atLeast"/>
        </w:trPr>
        <w:tc>
          <w:tcPr>
            <w:tcW w:w="9384"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投标人应为在中华人民共和国境内注册，能够独立承担民事责任，有所投设备供应能力的独立法人组织。本次招标接受经销商投标。</w:t>
            </w:r>
          </w:p>
        </w:tc>
      </w:tr>
    </w:tbl>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rPr>
      </w:pPr>
      <w:r>
        <w:rPr>
          <w:rFonts w:hint="eastAsia" w:ascii="宋体" w:hAnsi="宋体" w:cs="宋体"/>
          <w:b/>
          <w:sz w:val="24"/>
        </w:rPr>
        <w:t xml:space="preserve">附录2 </w:t>
      </w:r>
      <w:r>
        <w:rPr>
          <w:rFonts w:ascii="宋体" w:hAnsi="宋体" w:cs="宋体"/>
          <w:b/>
          <w:sz w:val="24"/>
        </w:rPr>
        <w:t xml:space="preserve"> </w:t>
      </w:r>
      <w:r>
        <w:rPr>
          <w:rFonts w:hint="eastAsia" w:ascii="宋体" w:hAnsi="宋体" w:cs="宋体"/>
          <w:b/>
          <w:sz w:val="24"/>
        </w:rPr>
        <w:t>资格审查条件（信誉最低要求）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0" w:hRule="atLeast"/>
          <w:jc w:val="center"/>
        </w:trPr>
        <w:tc>
          <w:tcPr>
            <w:tcW w:w="9368"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投标人在过去1年中（2022年11月1日</w:t>
            </w:r>
            <w:r>
              <w:rPr>
                <w:rFonts w:hint="eastAsia" w:ascii="宋体" w:hAnsi="宋体" w:cs="宋体"/>
                <w:szCs w:val="21"/>
                <w:shd w:val="clear" w:color="auto" w:fill="FFFFFF"/>
              </w:rPr>
              <w:t>至今</w:t>
            </w:r>
            <w:r>
              <w:rPr>
                <w:rFonts w:hint="eastAsia" w:ascii="宋体" w:hAnsi="宋体" w:cs="宋体"/>
              </w:rPr>
              <w:t>）不曾在设备供货合同中违约而被驱逐或因投标人自身的原因而使设备供货合同被解除。</w:t>
            </w:r>
          </w:p>
        </w:tc>
      </w:tr>
    </w:tbl>
    <w:p>
      <w:pPr>
        <w:rPr>
          <w:rFonts w:ascii="宋体" w:hAnsi="宋体" w:cs="宋体"/>
          <w:b/>
          <w:sz w:val="28"/>
          <w:szCs w:val="28"/>
        </w:rPr>
      </w:pPr>
      <w:r>
        <w:rPr>
          <w:rFonts w:hint="eastAsia" w:ascii="宋体" w:hAnsi="宋体" w:cs="宋体"/>
        </w:rPr>
        <w:br w:type="page"/>
      </w:r>
      <w:r>
        <w:rPr>
          <w:rFonts w:hint="eastAsia" w:ascii="宋体" w:hAnsi="宋体" w:cs="宋体"/>
          <w:b/>
          <w:sz w:val="28"/>
          <w:szCs w:val="28"/>
        </w:rPr>
        <w:t>附件</w:t>
      </w:r>
      <w:r>
        <w:rPr>
          <w:rFonts w:ascii="宋体" w:hAnsi="宋体" w:cs="宋体"/>
          <w:b/>
          <w:sz w:val="28"/>
          <w:szCs w:val="28"/>
        </w:rPr>
        <w:t>2</w:t>
      </w:r>
      <w:r>
        <w:rPr>
          <w:rFonts w:hint="eastAsia" w:ascii="宋体" w:hAnsi="宋体" w:cs="宋体"/>
          <w:b/>
          <w:sz w:val="28"/>
          <w:szCs w:val="28"/>
        </w:rPr>
        <w:t>：评标办法</w:t>
      </w:r>
    </w:p>
    <w:p>
      <w:pPr>
        <w:rPr>
          <w:rFonts w:hint="eastAsia" w:ascii="宋体" w:hAnsi="宋体" w:cs="宋体"/>
          <w:b/>
          <w:sz w:val="28"/>
          <w:szCs w:val="28"/>
        </w:rPr>
      </w:pPr>
    </w:p>
    <w:p>
      <w:pPr>
        <w:pStyle w:val="3"/>
        <w:wordWrap w:val="0"/>
        <w:spacing w:before="0" w:beforeLines="0" w:line="360" w:lineRule="auto"/>
        <w:rPr>
          <w:rFonts w:hint="eastAsia" w:ascii="宋体" w:hAnsi="宋体" w:cs="宋体"/>
          <w:spacing w:val="1"/>
          <w:kern w:val="0"/>
          <w:sz w:val="28"/>
          <w:szCs w:val="28"/>
        </w:rPr>
      </w:pPr>
      <w:r>
        <w:rPr>
          <w:rFonts w:hint="eastAsia" w:ascii="宋体" w:hAnsi="宋体" w:cs="宋体"/>
          <w:spacing w:val="2"/>
          <w:kern w:val="0"/>
          <w:sz w:val="24"/>
          <w:szCs w:val="24"/>
        </w:rPr>
        <w:t>评标办法前附表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3"/>
        <w:gridCol w:w="2088"/>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评审因素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1</w:t>
            </w:r>
          </w:p>
        </w:tc>
        <w:tc>
          <w:tcPr>
            <w:tcW w:w="587"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中标候选人排序方法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rPr>
            </w:pPr>
            <w:r>
              <w:rPr>
                <w:rFonts w:hint="eastAsia" w:ascii="宋体" w:hAnsi="宋体" w:cs="宋体"/>
                <w:szCs w:val="21"/>
              </w:rPr>
              <w:t>（1）评标价低的投标人优先；</w:t>
            </w:r>
          </w:p>
          <w:p>
            <w:pPr>
              <w:spacing w:line="360" w:lineRule="exact"/>
              <w:jc w:val="left"/>
              <w:rPr>
                <w:rFonts w:hint="eastAsia" w:ascii="宋体" w:hAnsi="宋体" w:cs="宋体"/>
                <w:szCs w:val="21"/>
              </w:rPr>
            </w:pPr>
            <w:r>
              <w:rPr>
                <w:rFonts w:hint="eastAsia" w:ascii="宋体" w:hAnsi="宋体" w:cs="宋体"/>
                <w:szCs w:val="21"/>
              </w:rPr>
              <w:t>（2）技术部分得分高的优先。</w:t>
            </w:r>
          </w:p>
          <w:p>
            <w:pPr>
              <w:spacing w:line="360" w:lineRule="exact"/>
              <w:jc w:val="left"/>
              <w:rPr>
                <w:rFonts w:hint="eastAsia" w:ascii="宋体" w:hAnsi="宋体" w:cs="宋体"/>
                <w:szCs w:val="21"/>
              </w:rPr>
            </w:pPr>
            <w:r>
              <w:rPr>
                <w:rFonts w:hint="eastAsia" w:cs="宋体"/>
                <w:sz w:val="21"/>
                <w:szCs w:val="21"/>
                <w:lang w:val="en-US" w:eastAsia="zh-CN"/>
              </w:rPr>
              <w:t>本条补充：本项目共分为2个标段，每个投标人可同时对2个标段进行投标，最多允许中1个标段。投标人在多个标段同时排名第一名时，按照标段评审顺序（1、2）优先推荐其为先评审标段的第一中标候选人，已推荐为第一中标候选人的投标人不再推荐为其他标段的第一中标候选人。</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2.1.1</w:t>
            </w:r>
          </w:p>
        </w:tc>
        <w:tc>
          <w:tcPr>
            <w:tcW w:w="587"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rPr>
            </w:pPr>
            <w:r>
              <w:rPr>
                <w:rFonts w:hint="eastAsia" w:ascii="宋体" w:hAnsi="宋体" w:cs="宋体"/>
                <w:szCs w:val="21"/>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投标人名称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签字盖章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cs="宋体"/>
                <w:szCs w:val="21"/>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投标标段</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szCs w:val="21"/>
                <w:lang w:bidi="ar"/>
              </w:rPr>
              <w:t>提交投标文件的标段与所投标段一致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投标文件格式</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联合体投标人</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rPr>
            </w:pPr>
            <w:r>
              <w:rPr>
                <w:rFonts w:hint="eastAsia" w:ascii="宋体" w:hAnsi="宋体" w:cs="宋体"/>
                <w:szCs w:val="21"/>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bidi="ar"/>
              </w:rPr>
              <w:t>备选投标方案</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2.1.2</w:t>
            </w:r>
          </w:p>
        </w:tc>
        <w:tc>
          <w:tcPr>
            <w:tcW w:w="587"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营业执照和组织机构代码证</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rPr>
            </w:pPr>
            <w:r>
              <w:rPr>
                <w:rFonts w:hint="eastAsia" w:ascii="宋体" w:hAnsi="宋体" w:cs="宋体"/>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信誉要求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rPr>
              <w:t>其他要求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rPr>
              <w:t>符合第二章</w:t>
            </w:r>
            <w:r>
              <w:rPr>
                <w:rFonts w:hint="eastAsia" w:ascii="宋体" w:hAnsi="宋体" w:cs="宋体"/>
                <w:i/>
              </w:rPr>
              <w:t>“</w:t>
            </w:r>
            <w:r>
              <w:rPr>
                <w:rFonts w:hint="eastAsia" w:ascii="宋体" w:hAnsi="宋体" w:cs="宋体"/>
              </w:rPr>
              <w:t>投标人须知</w:t>
            </w:r>
            <w:r>
              <w:rPr>
                <w:rFonts w:hint="eastAsia" w:ascii="宋体" w:hAnsi="宋体" w:cs="宋体"/>
                <w:i/>
              </w:rPr>
              <w:t>”</w:t>
            </w:r>
            <w:r>
              <w:rPr>
                <w:rFonts w:hint="eastAsia" w:ascii="宋体" w:hAnsi="宋体" w:cs="宋体"/>
              </w:rPr>
              <w:t>第</w:t>
            </w:r>
            <w:r>
              <w:rPr>
                <w:rFonts w:hint="eastAsia" w:ascii="宋体" w:hAnsi="宋体" w:cs="宋体"/>
                <w:spacing w:val="-78"/>
              </w:rPr>
              <w:t xml:space="preserve"> </w:t>
            </w:r>
            <w:r>
              <w:rPr>
                <w:rFonts w:hint="eastAsia" w:ascii="宋体" w:hAnsi="宋体" w:cs="宋体"/>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rPr>
            </w:pPr>
            <w:r>
              <w:rPr>
                <w:rFonts w:hint="eastAsia" w:ascii="宋体" w:hAnsi="宋体" w:cs="宋体"/>
                <w:szCs w:val="21"/>
              </w:rPr>
              <w:t>不存在禁止投标的情形</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rPr>
            </w:pPr>
            <w:r>
              <w:rPr>
                <w:rFonts w:hint="eastAsia" w:ascii="宋体" w:hAnsi="宋体" w:cs="宋体"/>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2.1.3</w:t>
            </w:r>
          </w:p>
        </w:tc>
        <w:tc>
          <w:tcPr>
            <w:tcW w:w="587"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交货地点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质量要求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投标有效期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宋体" w:hAnsi="宋体" w:cs="宋体"/>
                <w:szCs w:val="21"/>
              </w:rPr>
            </w:pPr>
            <w:r>
              <w:rPr>
                <w:rFonts w:hint="eastAsia" w:ascii="宋体" w:hAnsi="宋体" w:cs="宋体"/>
                <w:szCs w:val="21"/>
              </w:rPr>
              <w:t>投标保证金</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rPr>
            </w:pPr>
            <w:r>
              <w:rPr>
                <w:rFonts w:hint="eastAsia" w:ascii="宋体" w:hAnsi="宋体" w:cs="宋体"/>
                <w:szCs w:val="21"/>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权利义务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投标材料及相关服务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rPr>
            </w:pPr>
            <w:r>
              <w:rPr>
                <w:rFonts w:hint="eastAsia" w:ascii="宋体" w:hAnsi="宋体" w:cs="宋体"/>
                <w:szCs w:val="21"/>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highlight w:val="none"/>
              </w:rPr>
              <w:t>技术支持资料</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leftChars="0"/>
              <w:jc w:val="left"/>
              <w:rPr>
                <w:rFonts w:hint="eastAsia" w:ascii="宋体" w:hAnsi="宋体" w:cs="宋体"/>
                <w:szCs w:val="21"/>
              </w:rPr>
            </w:pPr>
            <w:r>
              <w:rPr>
                <w:rFonts w:hint="eastAsia" w:ascii="宋体" w:hAnsi="宋体" w:cs="宋体"/>
                <w:szCs w:val="21"/>
                <w:highlight w:val="none"/>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条款内容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分值构成</w:t>
            </w:r>
          </w:p>
          <w:p>
            <w:pPr>
              <w:spacing w:line="0" w:lineRule="atLeast"/>
              <w:jc w:val="center"/>
              <w:rPr>
                <w:rFonts w:hint="eastAsia" w:ascii="宋体" w:hAnsi="宋体" w:cs="宋体"/>
                <w:szCs w:val="21"/>
              </w:rPr>
            </w:pPr>
            <w:r>
              <w:rPr>
                <w:rFonts w:hint="eastAsia" w:ascii="宋体" w:hAnsi="宋体" w:cs="宋体"/>
                <w:szCs w:val="21"/>
              </w:rPr>
              <w:t>（总分100分）</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技术部分：</w:t>
            </w:r>
            <w:r>
              <w:rPr>
                <w:rFonts w:ascii="宋体" w:hAnsi="宋体" w:cs="宋体"/>
                <w:szCs w:val="21"/>
                <w:u w:val="single"/>
              </w:rPr>
              <w:t>6</w:t>
            </w:r>
            <w:r>
              <w:rPr>
                <w:rFonts w:hint="eastAsia" w:ascii="宋体" w:hAnsi="宋体" w:cs="宋体"/>
                <w:szCs w:val="21"/>
                <w:u w:val="single"/>
              </w:rPr>
              <w:t>0</w:t>
            </w:r>
            <w:r>
              <w:rPr>
                <w:rFonts w:hint="eastAsia" w:ascii="宋体" w:hAnsi="宋体" w:cs="宋体"/>
                <w:szCs w:val="21"/>
              </w:rPr>
              <w:t>分</w:t>
            </w:r>
          </w:p>
          <w:p>
            <w:pPr>
              <w:spacing w:line="0" w:lineRule="atLeast"/>
              <w:rPr>
                <w:rFonts w:hint="eastAsia" w:ascii="宋体" w:hAnsi="宋体" w:cs="宋体"/>
                <w:szCs w:val="21"/>
              </w:rPr>
            </w:pPr>
            <w:r>
              <w:rPr>
                <w:rFonts w:hint="eastAsia" w:ascii="宋体" w:hAnsi="宋体" w:cs="宋体"/>
                <w:szCs w:val="21"/>
              </w:rPr>
              <w:t>投标报价：</w:t>
            </w:r>
            <w:r>
              <w:rPr>
                <w:rFonts w:ascii="宋体" w:hAnsi="宋体" w:cs="宋体"/>
                <w:szCs w:val="21"/>
                <w:u w:val="single"/>
              </w:rPr>
              <w:t>4</w:t>
            </w:r>
            <w:r>
              <w:rPr>
                <w:rFonts w:hint="eastAsia" w:ascii="宋体" w:hAnsi="宋体" w:cs="宋体"/>
                <w:szCs w:val="21"/>
                <w:u w:val="single"/>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评标基准价计算方法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rPr>
            </w:pPr>
            <w:r>
              <w:rPr>
                <w:rFonts w:hint="eastAsia" w:ascii="宋体" w:hAnsi="宋体" w:cs="宋体"/>
                <w:szCs w:val="21"/>
              </w:rPr>
              <w:t>评标基准价的计算：</w:t>
            </w:r>
          </w:p>
          <w:p>
            <w:pPr>
              <w:spacing w:line="276" w:lineRule="auto"/>
              <w:ind w:firstLine="420" w:firstLineChars="200"/>
              <w:rPr>
                <w:rFonts w:hint="eastAsia" w:ascii="宋体" w:hAnsi="宋体" w:cs="宋体"/>
                <w:szCs w:val="21"/>
              </w:rPr>
            </w:pPr>
            <w:r>
              <w:rPr>
                <w:rFonts w:hint="eastAsia" w:ascii="宋体" w:hAnsi="宋体" w:cs="宋体"/>
                <w:szCs w:val="21"/>
              </w:rPr>
              <w:t>在开标现场计算并宣布评标基准价。</w:t>
            </w:r>
          </w:p>
          <w:p>
            <w:pPr>
              <w:spacing w:line="276" w:lineRule="auto"/>
              <w:ind w:firstLine="420" w:firstLineChars="200"/>
              <w:rPr>
                <w:rFonts w:hint="eastAsia" w:ascii="宋体" w:hAnsi="宋体" w:cs="宋体"/>
                <w:szCs w:val="21"/>
              </w:rPr>
            </w:pPr>
            <w:r>
              <w:rPr>
                <w:rFonts w:hint="eastAsia" w:ascii="宋体" w:hAnsi="宋体" w:cs="宋体"/>
                <w:szCs w:val="21"/>
              </w:rPr>
              <w:t>（1）评标价的确定：评标价＝投标函文字报价</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（2）评标价平均值的计算：</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如果参与评标价平均值计算的投标人数量＜6家时，n=0；</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6家≤参与评标价平均值计算的投标人数量＜10家时，n =1；</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参与评标价平均值计算的投标人数量≥10家时，n=2。</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（3）评标基准价的确定：</w:t>
            </w:r>
          </w:p>
          <w:p>
            <w:pPr>
              <w:snapToGrid w:val="0"/>
              <w:spacing w:line="288" w:lineRule="auto"/>
              <w:ind w:firstLine="420" w:firstLineChars="200"/>
              <w:rPr>
                <w:rFonts w:ascii="宋体" w:hAnsi="宋体" w:cs="宋体"/>
                <w:szCs w:val="21"/>
              </w:rPr>
            </w:pPr>
            <w:r>
              <w:rPr>
                <w:rFonts w:hint="eastAsia" w:ascii="宋体" w:hAnsi="宋体" w:cs="宋体"/>
                <w:szCs w:val="21"/>
              </w:rPr>
              <w:t>将评标价平均值直接作为评标基准价（评标基准价保留两位小数，第三位四舍五入）。</w:t>
            </w:r>
          </w:p>
          <w:p>
            <w:pPr>
              <w:snapToGrid w:val="0"/>
              <w:spacing w:line="288" w:lineRule="auto"/>
              <w:ind w:firstLine="404" w:firstLineChars="200"/>
              <w:rPr>
                <w:rFonts w:hint="eastAsia" w:ascii="宋体" w:hAnsi="宋体" w:cs="宋体"/>
              </w:rPr>
            </w:pPr>
            <w:r>
              <w:rPr>
                <w:rFonts w:hint="eastAsia" w:ascii="宋体" w:hAnsi="宋体" w:cs="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投标报价的偏差率计算公式</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修正后的最终投标报价</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投标文件相关信息的核查</w:t>
            </w:r>
          </w:p>
        </w:tc>
        <w:tc>
          <w:tcPr>
            <w:tcW w:w="2844"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rPr>
            </w:pPr>
            <w:r>
              <w:rPr>
                <w:rFonts w:hint="eastAsia" w:ascii="宋体" w:hAnsi="宋体"/>
              </w:rPr>
              <w:t>3.2.5投标文件相关信息的核查</w:t>
            </w:r>
          </w:p>
          <w:p>
            <w:pPr>
              <w:snapToGrid w:val="0"/>
              <w:spacing w:line="288" w:lineRule="auto"/>
              <w:jc w:val="left"/>
              <w:rPr>
                <w:rFonts w:hint="eastAsia" w:ascii="宋体" w:hAnsi="宋体"/>
              </w:rPr>
            </w:pPr>
            <w:r>
              <w:rPr>
                <w:rFonts w:hint="eastAsia" w:ascii="宋体" w:hAnsi="宋体"/>
              </w:rPr>
              <w:t>3.2.5.1在评标过程中，评标委员会应对以下信息进行查询：</w:t>
            </w:r>
          </w:p>
          <w:p>
            <w:pPr>
              <w:snapToGrid w:val="0"/>
              <w:spacing w:line="288" w:lineRule="auto"/>
              <w:ind w:firstLine="327" w:firstLineChars="156"/>
              <w:jc w:val="left"/>
              <w:rPr>
                <w:rFonts w:hint="eastAsia" w:ascii="宋体" w:hAnsi="宋体"/>
              </w:rPr>
            </w:pPr>
            <w:r>
              <w:rPr>
                <w:rFonts w:hint="eastAsia" w:ascii="宋体" w:hAnsi="宋体"/>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rPr>
            </w:pPr>
            <w:r>
              <w:rPr>
                <w:rFonts w:hint="eastAsia" w:ascii="宋体" w:hAnsi="宋体"/>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9"/>
              <w:shd w:val="clear" w:color="auto" w:fill="auto"/>
              <w:spacing w:before="0" w:line="288" w:lineRule="auto"/>
              <w:jc w:val="both"/>
              <w:rPr>
                <w:rFonts w:hint="eastAsia"/>
                <w:szCs w:val="21"/>
              </w:rPr>
            </w:pPr>
            <w:r>
              <w:rPr>
                <w:rFonts w:hint="eastAsia" w:cs="Times New Roman"/>
                <w:sz w:val="21"/>
                <w:szCs w:val="21"/>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z w:val="24"/>
        </w:rPr>
      </w:pPr>
      <w:r>
        <w:rPr>
          <w:rFonts w:hint="eastAsia" w:ascii="宋体" w:hAnsi="宋体" w:cs="宋体"/>
          <w:kern w:val="0"/>
          <w:szCs w:val="21"/>
        </w:rPr>
        <w:t>具体评分标准</w:t>
      </w:r>
      <w:r>
        <w:rPr>
          <w:rFonts w:hint="eastAsia" w:ascii="宋体" w:hAnsi="宋体" w:cs="宋体"/>
        </w:rPr>
        <w:t xml:space="preserve"> </w:t>
      </w:r>
    </w:p>
    <w:tbl>
      <w:tblPr>
        <w:tblStyle w:val="6"/>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40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4"/>
              <w:spacing w:line="160" w:lineRule="atLeast"/>
              <w:jc w:val="center"/>
              <w:textAlignment w:val="baseline"/>
              <w:rPr>
                <w:rFonts w:hint="eastAsia" w:hAnsi="宋体" w:cs="宋体"/>
                <w:kern w:val="0"/>
                <w:szCs w:val="21"/>
              </w:rPr>
            </w:pPr>
            <w:r>
              <w:rPr>
                <w:rFonts w:hint="eastAsia" w:hAnsi="宋体" w:cs="宋体"/>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u w:val="single"/>
              </w:rPr>
            </w:pPr>
            <w:r>
              <w:rPr>
                <w:rFonts w:hint="eastAsia" w:ascii="宋体" w:hAnsi="宋体" w:cs="宋体"/>
                <w:szCs w:val="21"/>
              </w:rPr>
              <w:t>评分因素</w:t>
            </w:r>
          </w:p>
        </w:tc>
        <w:tc>
          <w:tcPr>
            <w:tcW w:w="4022" w:type="dxa"/>
            <w:noWrap w:val="0"/>
            <w:vAlign w:val="center"/>
          </w:tcPr>
          <w:p>
            <w:pPr>
              <w:spacing w:line="288" w:lineRule="auto"/>
              <w:jc w:val="center"/>
              <w:rPr>
                <w:rFonts w:hint="eastAsia" w:ascii="宋体" w:hAnsi="宋体" w:cs="宋体"/>
                <w:szCs w:val="21"/>
              </w:rPr>
            </w:pPr>
            <w:r>
              <w:rPr>
                <w:rFonts w:hint="eastAsia" w:ascii="宋体" w:hAnsi="宋体" w:cs="宋体"/>
                <w:spacing w:val="-3"/>
                <w:szCs w:val="21"/>
              </w:rPr>
              <w:t>分</w:t>
            </w:r>
            <w:r>
              <w:rPr>
                <w:rFonts w:hint="eastAsia" w:ascii="宋体" w:hAnsi="宋体" w:cs="宋体"/>
                <w:spacing w:val="-2"/>
                <w:szCs w:val="21"/>
              </w:rPr>
              <w:t>值</w:t>
            </w:r>
          </w:p>
        </w:tc>
        <w:tc>
          <w:tcPr>
            <w:tcW w:w="1280" w:type="dxa"/>
            <w:noWrap w:val="0"/>
            <w:vAlign w:val="center"/>
          </w:tcPr>
          <w:p>
            <w:pPr>
              <w:spacing w:line="288" w:lineRule="auto"/>
              <w:jc w:val="center"/>
              <w:rPr>
                <w:rFonts w:hint="eastAsia" w:ascii="宋体" w:hAnsi="宋体" w:cs="宋体"/>
                <w:spacing w:val="-3"/>
                <w:szCs w:val="21"/>
              </w:rPr>
            </w:pPr>
            <w:r>
              <w:rPr>
                <w:rFonts w:hint="eastAsia" w:ascii="宋体" w:hAnsi="宋体" w:cs="宋体"/>
                <w:spacing w:val="-1"/>
                <w:szCs w:val="21"/>
              </w:rPr>
              <w:t>评分</w:t>
            </w:r>
            <w:r>
              <w:rPr>
                <w:rFonts w:hint="eastAsia"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2.2.4（2）</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技术评分标准</w:t>
            </w:r>
          </w:p>
        </w:tc>
        <w:tc>
          <w:tcPr>
            <w:tcW w:w="1919" w:type="dxa"/>
            <w:vMerge w:val="restart"/>
            <w:noWrap w:val="0"/>
            <w:vAlign w:val="center"/>
          </w:tcPr>
          <w:p>
            <w:pPr>
              <w:spacing w:line="288" w:lineRule="auto"/>
              <w:jc w:val="center"/>
              <w:rPr>
                <w:rFonts w:ascii="宋体" w:hAnsi="宋体"/>
                <w:szCs w:val="21"/>
              </w:rPr>
            </w:pPr>
            <w:r>
              <w:rPr>
                <w:rFonts w:ascii="宋体" w:hAnsi="宋体"/>
                <w:spacing w:val="12"/>
                <w:szCs w:val="21"/>
              </w:rPr>
              <w:t>投标</w:t>
            </w:r>
            <w:r>
              <w:rPr>
                <w:rFonts w:hint="eastAsia" w:ascii="宋体" w:hAnsi="宋体"/>
                <w:spacing w:val="12"/>
                <w:szCs w:val="21"/>
              </w:rPr>
              <w:t>人综合能力</w:t>
            </w:r>
            <w:r>
              <w:rPr>
                <w:rFonts w:ascii="宋体" w:hAnsi="宋体"/>
                <w:spacing w:val="12"/>
                <w:szCs w:val="21"/>
              </w:rPr>
              <w:t>评价</w:t>
            </w:r>
            <w:r>
              <w:rPr>
                <w:rFonts w:hint="eastAsia" w:ascii="宋体" w:hAnsi="宋体"/>
                <w:bCs/>
                <w:szCs w:val="21"/>
              </w:rPr>
              <w:t>（2</w:t>
            </w:r>
            <w:r>
              <w:rPr>
                <w:rFonts w:ascii="宋体" w:hAnsi="宋体"/>
                <w:bCs/>
                <w:szCs w:val="21"/>
              </w:rPr>
              <w:t>5</w:t>
            </w:r>
            <w:r>
              <w:rPr>
                <w:rFonts w:hint="eastAsia" w:ascii="宋体" w:hAnsi="宋体"/>
                <w:bCs/>
                <w:szCs w:val="21"/>
              </w:rPr>
              <w:t>分）</w:t>
            </w:r>
          </w:p>
        </w:tc>
        <w:tc>
          <w:tcPr>
            <w:tcW w:w="4022" w:type="dxa"/>
            <w:noWrap w:val="0"/>
            <w:vAlign w:val="center"/>
          </w:tcPr>
          <w:p>
            <w:pPr>
              <w:rPr>
                <w:rFonts w:ascii="宋体" w:hAnsi="宋体"/>
                <w:bCs/>
                <w:szCs w:val="21"/>
              </w:rPr>
            </w:pPr>
            <w:r>
              <w:rPr>
                <w:rFonts w:hint="eastAsia" w:ascii="宋体" w:hAnsi="宋体"/>
                <w:spacing w:val="12"/>
                <w:szCs w:val="21"/>
              </w:rPr>
              <w:t>质保期限长、故障响应时间短、常驻服务人员多，投标人综合能力强，能很好满足招标文件要求</w:t>
            </w:r>
          </w:p>
        </w:tc>
        <w:tc>
          <w:tcPr>
            <w:tcW w:w="1280" w:type="dxa"/>
            <w:noWrap w:val="0"/>
            <w:vAlign w:val="center"/>
          </w:tcPr>
          <w:p>
            <w:pPr>
              <w:pStyle w:val="10"/>
              <w:spacing w:before="240" w:after="120"/>
              <w:jc w:val="center"/>
              <w:rPr>
                <w:bCs/>
                <w:sz w:val="21"/>
                <w:szCs w:val="21"/>
              </w:rPr>
            </w:pPr>
            <w:r>
              <w:rPr>
                <w:bCs/>
                <w:sz w:val="21"/>
                <w:szCs w:val="21"/>
              </w:rPr>
              <w:t>21.0-25.0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质保期限较长、故障响应时间较短、常驻服务人员较多，投标人综合能力较强，能较好满足招标文件要求</w:t>
            </w:r>
          </w:p>
        </w:tc>
        <w:tc>
          <w:tcPr>
            <w:tcW w:w="1280" w:type="dxa"/>
            <w:noWrap w:val="0"/>
            <w:vAlign w:val="center"/>
          </w:tcPr>
          <w:p>
            <w:pPr>
              <w:pStyle w:val="10"/>
              <w:spacing w:before="240" w:after="120"/>
              <w:jc w:val="center"/>
              <w:rPr>
                <w:bCs/>
                <w:sz w:val="21"/>
                <w:szCs w:val="21"/>
              </w:rPr>
            </w:pPr>
            <w:r>
              <w:rPr>
                <w:bCs/>
                <w:sz w:val="21"/>
                <w:szCs w:val="21"/>
              </w:rPr>
              <w:t>18.0-21.0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质保期限短、故障响应时间长、常驻服务人少，投标人综合能力一般，满足招标文件要求</w:t>
            </w:r>
          </w:p>
        </w:tc>
        <w:tc>
          <w:tcPr>
            <w:tcW w:w="1280" w:type="dxa"/>
            <w:noWrap w:val="0"/>
            <w:vAlign w:val="center"/>
          </w:tcPr>
          <w:p>
            <w:pPr>
              <w:pStyle w:val="10"/>
              <w:spacing w:before="240" w:after="120"/>
              <w:jc w:val="center"/>
              <w:rPr>
                <w:bCs/>
                <w:sz w:val="21"/>
                <w:szCs w:val="21"/>
              </w:rPr>
            </w:pPr>
            <w:r>
              <w:rPr>
                <w:bCs/>
                <w:sz w:val="21"/>
                <w:szCs w:val="21"/>
              </w:rPr>
              <w:t>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车辆主要配置及</w:t>
            </w:r>
            <w:r>
              <w:rPr>
                <w:rFonts w:ascii="宋体" w:hAnsi="宋体"/>
                <w:spacing w:val="12"/>
                <w:szCs w:val="21"/>
              </w:rPr>
              <w:t>投标设备技术性能指标的响应程度</w:t>
            </w:r>
            <w:r>
              <w:rPr>
                <w:rFonts w:hint="eastAsia" w:ascii="宋体" w:hAnsi="宋体"/>
                <w:spacing w:val="12"/>
                <w:szCs w:val="21"/>
              </w:rPr>
              <w:t>评价</w:t>
            </w:r>
          </w:p>
          <w:p>
            <w:pPr>
              <w:spacing w:line="288" w:lineRule="auto"/>
              <w:jc w:val="center"/>
              <w:rPr>
                <w:rFonts w:ascii="宋体" w:hAnsi="宋体"/>
                <w:spacing w:val="12"/>
                <w:szCs w:val="21"/>
              </w:rPr>
            </w:pPr>
            <w:r>
              <w:rPr>
                <w:rFonts w:hint="eastAsia" w:ascii="宋体" w:hAnsi="宋体"/>
                <w:bCs/>
                <w:szCs w:val="21"/>
              </w:rPr>
              <w:t>（1</w:t>
            </w:r>
            <w:r>
              <w:rPr>
                <w:rFonts w:ascii="宋体" w:hAnsi="宋体"/>
                <w:bCs/>
                <w:szCs w:val="21"/>
              </w:rPr>
              <w:t>5</w:t>
            </w:r>
            <w:r>
              <w:rPr>
                <w:rFonts w:hint="eastAsia" w:ascii="宋体" w:hAnsi="宋体"/>
                <w:bCs/>
                <w:szCs w:val="21"/>
              </w:rPr>
              <w:t>分）</w:t>
            </w:r>
          </w:p>
        </w:tc>
        <w:tc>
          <w:tcPr>
            <w:tcW w:w="4022" w:type="dxa"/>
            <w:noWrap w:val="0"/>
            <w:vAlign w:val="center"/>
          </w:tcPr>
          <w:p>
            <w:pPr>
              <w:rPr>
                <w:rFonts w:ascii="宋体" w:hAnsi="宋体"/>
                <w:spacing w:val="12"/>
                <w:szCs w:val="21"/>
              </w:rPr>
            </w:pPr>
            <w:r>
              <w:rPr>
                <w:rFonts w:hint="eastAsia" w:ascii="宋体" w:hAnsi="宋体"/>
                <w:spacing w:val="12"/>
                <w:szCs w:val="21"/>
              </w:rPr>
              <w:t>车辆功能配置齐全、实用性强、外观、内饰、工艺好，主要零部件的性能参数高</w:t>
            </w:r>
          </w:p>
        </w:tc>
        <w:tc>
          <w:tcPr>
            <w:tcW w:w="1280" w:type="dxa"/>
            <w:noWrap w:val="0"/>
            <w:vAlign w:val="center"/>
          </w:tcPr>
          <w:p>
            <w:pPr>
              <w:pStyle w:val="10"/>
              <w:spacing w:before="240" w:after="120"/>
              <w:jc w:val="center"/>
              <w:rPr>
                <w:bCs/>
                <w:sz w:val="21"/>
                <w:szCs w:val="21"/>
              </w:rPr>
            </w:pPr>
            <w:r>
              <w:rPr>
                <w:rFonts w:hint="eastAsia"/>
                <w:bCs/>
                <w:sz w:val="21"/>
                <w:szCs w:val="21"/>
              </w:rPr>
              <w:t>1</w:t>
            </w:r>
            <w:r>
              <w:rPr>
                <w:bCs/>
                <w:sz w:val="21"/>
                <w:szCs w:val="21"/>
              </w:rPr>
              <w:t>3</w:t>
            </w:r>
            <w:r>
              <w:rPr>
                <w:rFonts w:hint="eastAsia"/>
                <w:bCs/>
                <w:sz w:val="21"/>
                <w:szCs w:val="21"/>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车辆功能配置较齐全、实用性较强、外观、内饰、工艺较好，主要零部件的性能参数较高</w:t>
            </w:r>
          </w:p>
        </w:tc>
        <w:tc>
          <w:tcPr>
            <w:tcW w:w="1280" w:type="dxa"/>
            <w:noWrap w:val="0"/>
            <w:vAlign w:val="center"/>
          </w:tcPr>
          <w:p>
            <w:pPr>
              <w:pStyle w:val="10"/>
              <w:spacing w:before="240" w:after="120"/>
              <w:jc w:val="center"/>
              <w:rPr>
                <w:bCs/>
                <w:sz w:val="21"/>
                <w:szCs w:val="21"/>
              </w:rPr>
            </w:pPr>
            <w:r>
              <w:rPr>
                <w:bCs/>
                <w:sz w:val="21"/>
                <w:szCs w:val="21"/>
              </w:rPr>
              <w:t>11</w:t>
            </w:r>
            <w:r>
              <w:rPr>
                <w:rFonts w:hint="eastAsia"/>
                <w:bCs/>
                <w:sz w:val="21"/>
                <w:szCs w:val="21"/>
              </w:rPr>
              <w:t>.</w:t>
            </w:r>
            <w:r>
              <w:rPr>
                <w:bCs/>
                <w:sz w:val="21"/>
                <w:szCs w:val="21"/>
              </w:rPr>
              <w:t>0</w:t>
            </w:r>
            <w:r>
              <w:rPr>
                <w:rFonts w:hint="eastAsia"/>
                <w:bCs/>
                <w:sz w:val="21"/>
                <w:szCs w:val="21"/>
              </w:rPr>
              <w:t>-1</w:t>
            </w:r>
            <w:r>
              <w:rPr>
                <w:bCs/>
                <w:sz w:val="21"/>
                <w:szCs w:val="21"/>
              </w:rPr>
              <w:t>3</w:t>
            </w:r>
            <w:r>
              <w:rPr>
                <w:rFonts w:hint="eastAsia"/>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车辆功能配置一般、实用性一般、外观、内饰、工艺一般，主要零部件的性能参数一般</w:t>
            </w:r>
          </w:p>
        </w:tc>
        <w:tc>
          <w:tcPr>
            <w:tcW w:w="1280" w:type="dxa"/>
            <w:noWrap w:val="0"/>
            <w:vAlign w:val="center"/>
          </w:tcPr>
          <w:p>
            <w:pPr>
              <w:pStyle w:val="10"/>
              <w:spacing w:before="240" w:after="120"/>
              <w:jc w:val="center"/>
              <w:rPr>
                <w:bCs/>
                <w:sz w:val="21"/>
                <w:szCs w:val="21"/>
              </w:rPr>
            </w:pPr>
            <w:r>
              <w:rPr>
                <w:rFonts w:hint="eastAsia"/>
                <w:bCs/>
                <w:sz w:val="21"/>
                <w:szCs w:val="21"/>
              </w:rPr>
              <w:t>9.0</w:t>
            </w:r>
            <w:r>
              <w:rPr>
                <w:bCs/>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交货期服务方案及服务能力评价</w:t>
            </w:r>
          </w:p>
          <w:p>
            <w:pPr>
              <w:spacing w:line="288" w:lineRule="auto"/>
              <w:jc w:val="center"/>
              <w:rPr>
                <w:rFonts w:ascii="宋体" w:hAnsi="宋体"/>
                <w:spacing w:val="12"/>
                <w:szCs w:val="21"/>
              </w:rPr>
            </w:pPr>
            <w:r>
              <w:rPr>
                <w:rFonts w:hint="eastAsia" w:ascii="宋体" w:hAnsi="宋体"/>
                <w:spacing w:val="12"/>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配送及时、安全可靠、有良好的相关配套增值服务方案</w:t>
            </w:r>
          </w:p>
        </w:tc>
        <w:tc>
          <w:tcPr>
            <w:tcW w:w="1280" w:type="dxa"/>
            <w:noWrap w:val="0"/>
            <w:vAlign w:val="center"/>
          </w:tcPr>
          <w:p>
            <w:pPr>
              <w:pStyle w:val="10"/>
              <w:spacing w:before="240" w:after="120"/>
              <w:jc w:val="center"/>
              <w:rPr>
                <w:bCs/>
                <w:sz w:val="21"/>
                <w:szCs w:val="21"/>
              </w:rPr>
            </w:pPr>
            <w:r>
              <w:rPr>
                <w:bCs/>
                <w:sz w:val="21"/>
                <w:szCs w:val="21"/>
              </w:rPr>
              <w:t>9.0-</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配送较及时、较安全可靠、有较好的相关配套增值服务方案</w:t>
            </w:r>
          </w:p>
        </w:tc>
        <w:tc>
          <w:tcPr>
            <w:tcW w:w="1280" w:type="dxa"/>
            <w:noWrap w:val="0"/>
            <w:vAlign w:val="center"/>
          </w:tcPr>
          <w:p>
            <w:pPr>
              <w:pStyle w:val="10"/>
              <w:spacing w:before="240" w:after="120"/>
              <w:jc w:val="center"/>
              <w:rPr>
                <w:bCs/>
                <w:sz w:val="21"/>
                <w:szCs w:val="21"/>
              </w:rPr>
            </w:pPr>
            <w:r>
              <w:rPr>
                <w:bCs/>
                <w:sz w:val="21"/>
                <w:szCs w:val="21"/>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配送时效性一般、安全可靠性一般、相关配套增值服务方案一般</w:t>
            </w:r>
          </w:p>
        </w:tc>
        <w:tc>
          <w:tcPr>
            <w:tcW w:w="1280" w:type="dxa"/>
            <w:noWrap w:val="0"/>
            <w:vAlign w:val="center"/>
          </w:tcPr>
          <w:p>
            <w:pPr>
              <w:pStyle w:val="10"/>
              <w:spacing w:before="240" w:after="120"/>
              <w:jc w:val="center"/>
              <w:rPr>
                <w:bCs/>
                <w:sz w:val="21"/>
                <w:szCs w:val="21"/>
              </w:rPr>
            </w:pPr>
            <w:r>
              <w:rPr>
                <w:rFonts w:hint="eastAsia"/>
                <w:bCs/>
                <w:sz w:val="21"/>
                <w:szCs w:val="21"/>
              </w:rPr>
              <w:t>6</w:t>
            </w:r>
            <w:r>
              <w:rPr>
                <w:bCs/>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adjustRightInd w:val="0"/>
              <w:snapToGrid w:val="0"/>
              <w:spacing w:line="288" w:lineRule="auto"/>
              <w:jc w:val="center"/>
              <w:rPr>
                <w:rFonts w:ascii="宋体" w:hAnsi="宋体"/>
                <w:szCs w:val="21"/>
                <w:shd w:val="clear" w:color="auto" w:fill="FFFFFF"/>
              </w:rPr>
            </w:pPr>
            <w:r>
              <w:rPr>
                <w:rFonts w:ascii="宋体" w:hAnsi="宋体"/>
                <w:szCs w:val="21"/>
                <w:shd w:val="clear" w:color="auto" w:fill="FFFFFF"/>
              </w:rPr>
              <w:t>技术服务和质保期服务能力的评价</w:t>
            </w:r>
          </w:p>
          <w:p>
            <w:pPr>
              <w:adjustRightInd w:val="0"/>
              <w:snapToGrid w:val="0"/>
              <w:spacing w:line="288" w:lineRule="auto"/>
              <w:jc w:val="center"/>
              <w:rPr>
                <w:rFonts w:ascii="宋体" w:hAnsi="宋体"/>
                <w:bCs/>
                <w:szCs w:val="21"/>
              </w:rPr>
            </w:pPr>
            <w:r>
              <w:rPr>
                <w:rFonts w:hint="eastAsia" w:ascii="宋体" w:hAnsi="宋体"/>
                <w:bCs/>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技术服务能力、维保能力强，优惠政策好、有良好的保养检测等售后服务</w:t>
            </w:r>
          </w:p>
        </w:tc>
        <w:tc>
          <w:tcPr>
            <w:tcW w:w="1280" w:type="dxa"/>
            <w:noWrap w:val="0"/>
            <w:vAlign w:val="center"/>
          </w:tcPr>
          <w:p>
            <w:pPr>
              <w:pStyle w:val="10"/>
              <w:spacing w:before="240" w:after="120"/>
              <w:jc w:val="center"/>
              <w:rPr>
                <w:bCs/>
                <w:sz w:val="21"/>
                <w:szCs w:val="21"/>
              </w:rPr>
            </w:pPr>
            <w:r>
              <w:rPr>
                <w:bCs/>
                <w:sz w:val="21"/>
                <w:szCs w:val="21"/>
              </w:rPr>
              <w:t>9.0-</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技术服务能力、维保能力较强，优惠政策较好、有较好的保养检测等售后服务</w:t>
            </w:r>
          </w:p>
        </w:tc>
        <w:tc>
          <w:tcPr>
            <w:tcW w:w="1280" w:type="dxa"/>
            <w:noWrap w:val="0"/>
            <w:vAlign w:val="center"/>
          </w:tcPr>
          <w:p>
            <w:pPr>
              <w:pStyle w:val="10"/>
              <w:spacing w:before="240" w:after="120"/>
              <w:jc w:val="center"/>
              <w:rPr>
                <w:bCs/>
                <w:sz w:val="21"/>
                <w:szCs w:val="21"/>
              </w:rPr>
            </w:pPr>
            <w:r>
              <w:rPr>
                <w:bCs/>
                <w:sz w:val="21"/>
                <w:szCs w:val="21"/>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技术服务能力、维保能力一般，优惠政策一般、保养检测等售后服务一般</w:t>
            </w:r>
          </w:p>
        </w:tc>
        <w:tc>
          <w:tcPr>
            <w:tcW w:w="1280" w:type="dxa"/>
            <w:noWrap w:val="0"/>
            <w:vAlign w:val="center"/>
          </w:tcPr>
          <w:p>
            <w:pPr>
              <w:pStyle w:val="10"/>
              <w:spacing w:before="240" w:after="120"/>
              <w:jc w:val="center"/>
              <w:rPr>
                <w:bCs/>
                <w:sz w:val="21"/>
                <w:szCs w:val="21"/>
              </w:rPr>
            </w:pPr>
            <w:r>
              <w:rPr>
                <w:rFonts w:hint="eastAsia"/>
                <w:bCs/>
                <w:sz w:val="21"/>
                <w:szCs w:val="21"/>
              </w:rPr>
              <w:t>6</w:t>
            </w:r>
            <w:r>
              <w:rPr>
                <w:bCs/>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rPr>
            </w:pPr>
            <w:r>
              <w:rPr>
                <w:rFonts w:hint="eastAsia" w:ascii="宋体" w:hAnsi="宋体" w:cs="宋体"/>
                <w:kern w:val="0"/>
                <w:szCs w:val="21"/>
              </w:rPr>
              <w:t>评标价</w:t>
            </w:r>
          </w:p>
          <w:p>
            <w:pPr>
              <w:spacing w:line="288" w:lineRule="auto"/>
              <w:ind w:left="126" w:hanging="126" w:hangingChars="60"/>
              <w:jc w:val="center"/>
              <w:rPr>
                <w:rFonts w:hint="eastAsia" w:ascii="宋体" w:hAnsi="宋体" w:cs="宋体"/>
                <w:szCs w:val="21"/>
              </w:rPr>
            </w:pPr>
            <w:r>
              <w:rPr>
                <w:rFonts w:hint="eastAsia" w:ascii="宋体" w:hAnsi="宋体" w:cs="宋体"/>
                <w:kern w:val="0"/>
                <w:szCs w:val="21"/>
              </w:rPr>
              <w:t>（</w:t>
            </w:r>
            <w:r>
              <w:rPr>
                <w:rFonts w:ascii="宋体" w:hAnsi="宋体" w:cs="宋体"/>
                <w:kern w:val="0"/>
                <w:szCs w:val="21"/>
                <w:u w:val="single"/>
              </w:rPr>
              <w:t>4</w:t>
            </w:r>
            <w:r>
              <w:rPr>
                <w:rFonts w:hint="eastAsia" w:ascii="宋体" w:hAnsi="宋体" w:cs="宋体"/>
                <w:kern w:val="0"/>
                <w:szCs w:val="21"/>
                <w:u w:val="single"/>
              </w:rPr>
              <w:t>0</w:t>
            </w:r>
            <w:r>
              <w:rPr>
                <w:rFonts w:hint="eastAsia" w:ascii="宋体" w:hAnsi="宋体" w:cs="宋体"/>
                <w:kern w:val="0"/>
                <w:szCs w:val="21"/>
              </w:rPr>
              <w:t>分）</w:t>
            </w:r>
          </w:p>
        </w:tc>
        <w:tc>
          <w:tcPr>
            <w:tcW w:w="7221" w:type="dxa"/>
            <w:gridSpan w:val="3"/>
            <w:tcBorders>
              <w:bottom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评标价得分计算公式示例：</w:t>
            </w:r>
          </w:p>
          <w:p>
            <w:pPr>
              <w:spacing w:line="276" w:lineRule="auto"/>
              <w:ind w:firstLine="256" w:firstLineChars="122"/>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其中：F=</w:t>
            </w:r>
            <w:r>
              <w:rPr>
                <w:rFonts w:ascii="宋体" w:hAnsi="宋体" w:cs="宋体"/>
                <w:kern w:val="0"/>
                <w:szCs w:val="21"/>
              </w:rPr>
              <w:t>4</w:t>
            </w:r>
            <w:r>
              <w:rPr>
                <w:rFonts w:hint="eastAsia" w:ascii="宋体" w:hAnsi="宋体" w:cs="宋体"/>
                <w:kern w:val="0"/>
                <w:szCs w:val="21"/>
              </w:rPr>
              <w:t>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p>
          <w:p>
            <w:pPr>
              <w:spacing w:line="276" w:lineRule="auto"/>
              <w:ind w:firstLine="256" w:firstLineChars="122"/>
              <w:rPr>
                <w:rFonts w:hint="eastAsia" w:ascii="宋体" w:hAnsi="宋体" w:cs="宋体"/>
                <w:szCs w:val="21"/>
              </w:rPr>
            </w:pPr>
            <w:r>
              <w:rPr>
                <w:rFonts w:hint="eastAsia" w:ascii="宋体" w:hAnsi="宋体" w:cs="宋体"/>
                <w:szCs w:val="21"/>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rPr>
      </w:pPr>
      <w:r>
        <w:rPr>
          <w:rFonts w:hint="eastAsia" w:ascii="宋体" w:hAnsi="宋体" w:cs="宋体"/>
          <w:szCs w:val="21"/>
        </w:rPr>
        <w:t>注：1.评委打分保留一位小数，各评分因素得分应以评标委员会各成员的打分平均值确定，保留两位小数，第三位四舍五入。</w:t>
      </w:r>
    </w:p>
    <w:p>
      <w:pPr>
        <w:ind w:firstLine="840" w:firstLineChars="400"/>
        <w:rPr>
          <w:rFonts w:hint="eastAsia" w:eastAsia="宋体"/>
          <w:lang w:eastAsia="zh-CN"/>
        </w:rPr>
      </w:pPr>
      <w:r>
        <w:rPr>
          <w:rFonts w:hint="eastAsia" w:ascii="宋体" w:hAnsi="宋体" w:cs="宋体"/>
          <w:szCs w:val="21"/>
        </w:rPr>
        <w:t>2.技术部分评分因素缺项则该项得0分。</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Tk5MGE2OWE3NDFkZTVmODg3YWUwZjgxZDE3N2MifQ=="/>
  </w:docVars>
  <w:rsids>
    <w:rsidRoot w:val="1E81396A"/>
    <w:rsid w:val="18C963CC"/>
    <w:rsid w:val="1E81396A"/>
    <w:rsid w:val="78101415"/>
    <w:rsid w:val="7F9F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40" w:lineRule="atLeast"/>
      <w:ind w:firstLine="538" w:firstLineChars="192"/>
      <w:textAlignment w:val="auto"/>
    </w:pPr>
    <w:rPr>
      <w:rFonts w:ascii="宋体" w:hAnsi="宋体"/>
      <w:color w:val="auto"/>
      <w:sz w:val="28"/>
      <w:szCs w:val="24"/>
    </w:r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character" w:styleId="8">
    <w:name w:val="page number"/>
    <w:qFormat/>
    <w:uiPriority w:val="0"/>
  </w:style>
  <w:style w:type="paragraph" w:customStyle="1" w:styleId="9">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styleId="10">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2023-11-14T11:13:00Z</dcterms:created>
  <dc:creator>小蒋</dc:creator>
  <cp:lastModifiedBy>小蒋</cp:lastModifiedBy>
  <dcterms:modified xsi:type="dcterms:W3CDTF">2023-11-20T16:30:56Z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A9681E548AE6408FAD71A83AB83CAA54_11</vt:lpwstr>
  </property>
</Properties>
</file>