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12" w:lineRule="auto"/>
        <w:rPr>
          <w:rFonts w:ascii="黑体" w:hAnsi="黑体"/>
          <w:b w:val="0"/>
          <w:bCs w:val="0"/>
          <w:sz w:val="26"/>
          <w:szCs w:val="26"/>
        </w:rPr>
      </w:pPr>
      <w:bookmarkStart w:id="0" w:name="_Toc140494086"/>
      <w:bookmarkStart w:id="1" w:name="_Toc145454014"/>
      <w:bookmarkStart w:id="2" w:name="_Hlk142429435"/>
      <w:bookmarkStart w:id="3" w:name="_Hlk135998188"/>
      <w:r>
        <w:rPr>
          <w:rFonts w:hint="eastAsia" w:ascii="黑体" w:hAnsi="黑体"/>
          <w:b w:val="0"/>
          <w:bCs w:val="0"/>
          <w:sz w:val="26"/>
          <w:szCs w:val="26"/>
        </w:rPr>
        <w:t>附件1：资格审查条件</w:t>
      </w:r>
      <w:bookmarkEnd w:id="0"/>
      <w:bookmarkEnd w:id="1"/>
    </w:p>
    <w:p>
      <w:pPr>
        <w:rPr>
          <w:szCs w:val="21"/>
        </w:rPr>
      </w:pPr>
    </w:p>
    <w:p>
      <w:pPr>
        <w:spacing w:after="120" w:afterLines="50"/>
        <w:jc w:val="center"/>
        <w:rPr>
          <w:rFonts w:ascii="宋体" w:hAnsi="宋体"/>
          <w:b/>
          <w:sz w:val="24"/>
        </w:rPr>
      </w:pPr>
      <w:bookmarkStart w:id="4" w:name="_Hlk133410725"/>
      <w:r>
        <w:rPr>
          <w:rFonts w:hint="eastAsia" w:ascii="宋体" w:hAnsi="宋体"/>
          <w:b/>
          <w:sz w:val="24"/>
        </w:rPr>
        <w:t>附录1 资格审查条件(资质最低要求)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7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8" w:type="dxa"/>
            <w:gridSpan w:val="2"/>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03" w:type="dxa"/>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研发资质</w:t>
            </w:r>
          </w:p>
        </w:tc>
        <w:tc>
          <w:tcPr>
            <w:tcW w:w="7865" w:type="dxa"/>
            <w:vAlign w:val="center"/>
          </w:tcPr>
          <w:p>
            <w:pPr>
              <w:adjustRightInd w:val="0"/>
              <w:snapToGrid w:val="0"/>
              <w:spacing w:line="320" w:lineRule="exact"/>
              <w:ind w:left="-2" w:leftChars="-1"/>
              <w:jc w:val="left"/>
              <w:rPr>
                <w:rFonts w:ascii="宋体" w:hAnsi="宋体"/>
                <w:szCs w:val="21"/>
              </w:rPr>
            </w:pPr>
            <w:r>
              <w:rPr>
                <w:rFonts w:hint="eastAsia" w:ascii="宋体" w:hAnsi="宋体"/>
                <w:szCs w:val="21"/>
              </w:rPr>
              <w:t>具有独立法人资格，持有有效的企业营业执照或事业单位法人证书。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03" w:type="dxa"/>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设计资质</w:t>
            </w:r>
          </w:p>
        </w:tc>
        <w:tc>
          <w:tcPr>
            <w:tcW w:w="7865" w:type="dxa"/>
            <w:vAlign w:val="center"/>
          </w:tcPr>
          <w:p>
            <w:pPr>
              <w:adjustRightInd w:val="0"/>
              <w:snapToGrid w:val="0"/>
              <w:spacing w:line="320" w:lineRule="exact"/>
              <w:ind w:left="-2" w:leftChars="-1"/>
              <w:jc w:val="left"/>
              <w:rPr>
                <w:rFonts w:ascii="宋体" w:hAnsi="宋体"/>
                <w:szCs w:val="21"/>
              </w:rPr>
            </w:pPr>
            <w:r>
              <w:rPr>
                <w:rFonts w:hint="eastAsia" w:ascii="宋体" w:hAnsi="宋体"/>
                <w:szCs w:val="21"/>
              </w:rPr>
              <w:t>具有独立企业法人资格，持有有效的企业营业执照，具备住房和城乡建设行政主管部门颁发的工程设计综合甲级资质或公路行业甲级资质或公路行业（交通工程）专业甲级资质。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303" w:type="dxa"/>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施工资质</w:t>
            </w:r>
          </w:p>
        </w:tc>
        <w:tc>
          <w:tcPr>
            <w:tcW w:w="7865" w:type="dxa"/>
            <w:vAlign w:val="center"/>
          </w:tcPr>
          <w:p>
            <w:pPr>
              <w:adjustRightInd w:val="0"/>
              <w:snapToGrid w:val="0"/>
              <w:spacing w:line="320" w:lineRule="exact"/>
              <w:ind w:left="-2" w:leftChars="-1"/>
              <w:jc w:val="left"/>
              <w:rPr>
                <w:rFonts w:ascii="宋体" w:hAnsi="宋体"/>
                <w:szCs w:val="21"/>
              </w:rPr>
            </w:pPr>
            <w:r>
              <w:rPr>
                <w:rFonts w:hint="eastAsia" w:ascii="宋体" w:hAnsi="宋体"/>
                <w:szCs w:val="21"/>
              </w:rPr>
              <w:t>具有独立企业法人资格，持有有效的企业营业执照，具备住房和城乡建设行政主管部门颁发的公路交通工程（公路机电工程分项）专业承包一级资质；具有住房和城乡建设行政主管部门颁发的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68" w:type="dxa"/>
            <w:gridSpan w:val="2"/>
            <w:vAlign w:val="center"/>
          </w:tcPr>
          <w:p>
            <w:pPr>
              <w:adjustRightInd w:val="0"/>
              <w:snapToGrid w:val="0"/>
              <w:spacing w:line="320" w:lineRule="exact"/>
              <w:ind w:left="-2" w:leftChars="-1"/>
              <w:jc w:val="left"/>
              <w:rPr>
                <w:rFonts w:ascii="宋体" w:hAnsi="宋体"/>
                <w:szCs w:val="21"/>
              </w:rPr>
            </w:pPr>
            <w:r>
              <w:rPr>
                <w:rFonts w:hint="eastAsia" w:ascii="宋体" w:hAnsi="宋体"/>
                <w:szCs w:val="21"/>
              </w:rPr>
              <w:t>以联合体形式投标的，联合体所有成员数量不得超过3家；联合体牵头人应为“承担研发任务的联合体成员”，并满足本项“研发资质”要求。</w:t>
            </w:r>
          </w:p>
        </w:tc>
      </w:tr>
    </w:tbl>
    <w:p>
      <w:pPr>
        <w:rPr>
          <w:rFonts w:ascii="宋体" w:hAnsi="宋体"/>
          <w:szCs w:val="21"/>
        </w:rPr>
      </w:pPr>
    </w:p>
    <w:p>
      <w:pPr>
        <w:spacing w:after="120" w:afterLines="50"/>
        <w:jc w:val="center"/>
        <w:rPr>
          <w:rFonts w:ascii="宋体" w:hAnsi="宋体"/>
          <w:b/>
          <w:sz w:val="24"/>
        </w:rPr>
      </w:pPr>
      <w:r>
        <w:rPr>
          <w:rFonts w:hint="eastAsia" w:ascii="宋体" w:hAnsi="宋体"/>
          <w:b/>
          <w:sz w:val="24"/>
        </w:rPr>
        <w:t>附录2 资格审查条件(财务最低要求)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90" w:type="dxa"/>
            <w:vAlign w:val="center"/>
          </w:tcPr>
          <w:p>
            <w:pPr>
              <w:snapToGrid w:val="0"/>
              <w:spacing w:line="320" w:lineRule="exact"/>
              <w:jc w:val="center"/>
              <w:rPr>
                <w:rFonts w:ascii="宋体" w:hAnsi="宋体"/>
                <w:sz w:val="22"/>
                <w:szCs w:val="22"/>
              </w:rPr>
            </w:pPr>
            <w:r>
              <w:rPr>
                <w:rFonts w:hint="eastAsia" w:ascii="宋体" w:hAnsi="宋体"/>
                <w:sz w:val="22"/>
                <w:szCs w:val="22"/>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9090" w:type="dxa"/>
            <w:vAlign w:val="center"/>
          </w:tcPr>
          <w:p>
            <w:pPr>
              <w:spacing w:line="400" w:lineRule="exact"/>
              <w:ind w:firstLine="420" w:firstLineChars="200"/>
              <w:jc w:val="left"/>
              <w:rPr>
                <w:rFonts w:ascii="宋体" w:hAnsi="宋体" w:cs="宋体"/>
                <w:szCs w:val="21"/>
              </w:rPr>
            </w:pPr>
            <w:r>
              <w:rPr>
                <w:rFonts w:hint="eastAsia" w:ascii="宋体" w:hAnsi="宋体" w:cs="宋体"/>
                <w:szCs w:val="21"/>
              </w:rPr>
              <w:t>投标人承诺为本合同所提供的营运资金(以经会计事务所或审计机构审计的最新财务报表(2022年度)中：营运资金＝流动资产-流动负债，以年末数计算)以及为本项目而专门开具的银行信贷证明总和不得少于</w:t>
            </w:r>
            <w:r>
              <w:rPr>
                <w:rFonts w:ascii="宋体" w:hAnsi="宋体" w:cs="宋体"/>
                <w:szCs w:val="21"/>
              </w:rPr>
              <w:t>1000万元</w:t>
            </w:r>
            <w:r>
              <w:rPr>
                <w:rFonts w:hint="eastAsia" w:ascii="宋体" w:hAnsi="宋体" w:cs="宋体"/>
                <w:szCs w:val="21"/>
              </w:rPr>
              <w:t>。</w:t>
            </w:r>
          </w:p>
          <w:p>
            <w:pPr>
              <w:spacing w:line="400" w:lineRule="exact"/>
              <w:ind w:firstLine="420" w:firstLineChars="200"/>
              <w:jc w:val="left"/>
            </w:pPr>
            <w:r>
              <w:rPr>
                <w:rFonts w:hint="eastAsia" w:ascii="宋体" w:hAnsi="宋体" w:cs="宋体"/>
                <w:szCs w:val="21"/>
              </w:rPr>
              <w:t>以联合体形式投标的，联合体牵头人应满足本项规定的资格条件。</w:t>
            </w:r>
          </w:p>
        </w:tc>
      </w:tr>
    </w:tbl>
    <w:p>
      <w:pPr>
        <w:pStyle w:val="4"/>
      </w:pPr>
    </w:p>
    <w:p>
      <w:pPr>
        <w:spacing w:after="120" w:afterLines="50"/>
        <w:jc w:val="center"/>
        <w:rPr>
          <w:rFonts w:ascii="宋体" w:hAnsi="宋体"/>
          <w:b/>
          <w:sz w:val="24"/>
        </w:rPr>
      </w:pPr>
      <w:r>
        <w:rPr>
          <w:rFonts w:hint="eastAsia" w:ascii="宋体" w:hAnsi="宋体"/>
          <w:b/>
          <w:sz w:val="24"/>
        </w:rPr>
        <w:t>附录3 资格审查条件(业绩最低要求)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1" w:type="dxa"/>
            <w:vAlign w:val="center"/>
          </w:tcPr>
          <w:p>
            <w:pPr>
              <w:adjustRightInd w:val="0"/>
              <w:snapToGrid w:val="0"/>
              <w:spacing w:line="320" w:lineRule="exact"/>
              <w:ind w:left="-2" w:leftChars="-1"/>
              <w:jc w:val="center"/>
              <w:rPr>
                <w:rFonts w:ascii="宋体" w:hAnsi="宋体"/>
                <w:sz w:val="22"/>
                <w:szCs w:val="22"/>
              </w:rPr>
            </w:pPr>
            <w:bookmarkStart w:id="5" w:name="_Hlk52204292"/>
            <w:r>
              <w:rPr>
                <w:rFonts w:hint="eastAsia" w:ascii="宋体" w:hAnsi="宋体"/>
                <w:sz w:val="22"/>
                <w:szCs w:val="22"/>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9221" w:type="dxa"/>
            <w:vAlign w:val="center"/>
          </w:tcPr>
          <w:p>
            <w:pPr>
              <w:widowControl/>
              <w:snapToGrid w:val="0"/>
              <w:spacing w:line="360" w:lineRule="exact"/>
              <w:ind w:firstLine="420" w:firstLineChars="200"/>
            </w:pPr>
            <w:r>
              <w:rPr>
                <w:rFonts w:hint="eastAsia" w:ascii="宋体" w:hAnsi="宋体" w:cs="宋体"/>
              </w:rPr>
              <w:t>研发业绩：</w:t>
            </w:r>
            <w:r>
              <w:rPr>
                <w:rFonts w:hint="eastAsia" w:ascii="宋体" w:hAnsi="宋体" w:cs="宋体"/>
                <w:szCs w:val="21"/>
              </w:rPr>
              <w:t>近5年(2018年11月1日至投标截止时间，以通过成果验收或鉴定时间或登记时间为准)至少完成过1个高速公路机电类或信息化类科研项目的研发业绩。</w:t>
            </w:r>
          </w:p>
          <w:p>
            <w:pPr>
              <w:spacing w:line="360" w:lineRule="exact"/>
              <w:ind w:firstLine="420" w:firstLineChars="200"/>
              <w:jc w:val="left"/>
              <w:rPr>
                <w:rFonts w:ascii="宋体" w:hAnsi="宋体" w:cs="宋体"/>
              </w:rPr>
            </w:pPr>
            <w:r>
              <w:rPr>
                <w:rFonts w:hint="eastAsia" w:ascii="宋体" w:hAnsi="宋体" w:cs="宋体"/>
              </w:rPr>
              <w:t>设计业绩：近5年(2018年11月1日至投标截止时间，以施工图批复时间为准)，至少完成过1项单项合同额不少于</w:t>
            </w:r>
            <w:r>
              <w:rPr>
                <w:rFonts w:ascii="宋体" w:hAnsi="宋体" w:cs="宋体"/>
              </w:rPr>
              <w:t>100</w:t>
            </w:r>
            <w:r>
              <w:rPr>
                <w:rFonts w:hint="eastAsia" w:ascii="宋体" w:hAnsi="宋体" w:cs="宋体"/>
              </w:rPr>
              <w:t>万元的高速公路（新建或改扩建或养护）机电工程的设计业绩，</w:t>
            </w:r>
            <w:r>
              <w:rPr>
                <w:rFonts w:hint="eastAsia" w:ascii="宋体" w:hAnsi="宋体"/>
                <w:sz w:val="22"/>
                <w:szCs w:val="22"/>
              </w:rPr>
              <w:t>或1项包含机电工程的高速公路（新建或改扩建或养护）工程设计业绩（机电工程合同额不少于1</w:t>
            </w:r>
            <w:r>
              <w:rPr>
                <w:rFonts w:ascii="宋体" w:hAnsi="宋体"/>
                <w:sz w:val="22"/>
                <w:szCs w:val="22"/>
              </w:rPr>
              <w:t>00</w:t>
            </w:r>
            <w:r>
              <w:rPr>
                <w:rFonts w:hint="eastAsia" w:ascii="宋体" w:hAnsi="宋体"/>
                <w:sz w:val="22"/>
                <w:szCs w:val="22"/>
              </w:rPr>
              <w:t>万元）</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施工业绩：近5年（2018年11月1日至投标截止时间，以工程交工日期为准），至少完成过1项单项合同额不少于6500万元高速公路（新建或改扩建或养护）机电工程施工业绩，或1项包含机电工程的高速公路（新建或改扩建或养护）工程施工业绩（机电工程合同额不少于6500万元）。</w:t>
            </w:r>
          </w:p>
          <w:p>
            <w:pPr>
              <w:spacing w:line="400" w:lineRule="exact"/>
              <w:ind w:firstLine="420" w:firstLineChars="200"/>
              <w:jc w:val="left"/>
            </w:pPr>
            <w:r>
              <w:rPr>
                <w:rFonts w:hint="eastAsia" w:ascii="宋体" w:hAnsi="宋体" w:cs="宋体"/>
              </w:rPr>
              <w:t>以联合体形式投标的，联合体应满足本项规定的资格条件。</w:t>
            </w:r>
          </w:p>
        </w:tc>
      </w:tr>
      <w:bookmarkEnd w:id="5"/>
    </w:tbl>
    <w:p>
      <w:pPr>
        <w:pStyle w:val="4"/>
      </w:pPr>
    </w:p>
    <w:p>
      <w:pPr>
        <w:pStyle w:val="4"/>
        <w:rPr>
          <w:szCs w:val="21"/>
        </w:rPr>
      </w:pPr>
    </w:p>
    <w:p>
      <w:pPr>
        <w:snapToGrid w:val="0"/>
        <w:spacing w:after="120" w:afterLines="50"/>
        <w:jc w:val="center"/>
        <w:rPr>
          <w:rFonts w:ascii="宋体" w:hAnsi="宋体"/>
          <w:b/>
          <w:sz w:val="24"/>
        </w:rPr>
      </w:pPr>
      <w:r>
        <w:rPr>
          <w:rFonts w:hint="eastAsia" w:ascii="宋体" w:hAnsi="宋体"/>
          <w:b/>
          <w:sz w:val="24"/>
        </w:rPr>
        <w:t>附录4 资格审查条件（信誉最低要求）</w:t>
      </w:r>
    </w:p>
    <w:tbl>
      <w:tblPr>
        <w:tblStyle w:val="7"/>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68" w:type="dxa"/>
            <w:vAlign w:val="center"/>
          </w:tcPr>
          <w:p>
            <w:pPr>
              <w:snapToGrid w:val="0"/>
              <w:jc w:val="center"/>
              <w:rPr>
                <w:rFonts w:ascii="宋体" w:hAnsi="宋体"/>
                <w:sz w:val="22"/>
                <w:szCs w:val="22"/>
              </w:rPr>
            </w:pPr>
            <w:r>
              <w:rPr>
                <w:rFonts w:hint="eastAsia" w:ascii="宋体" w:hAnsi="宋体"/>
                <w:sz w:val="22"/>
                <w:szCs w:val="22"/>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9468" w:type="dxa"/>
            <w:vAlign w:val="center"/>
          </w:tcPr>
          <w:p>
            <w:pPr>
              <w:widowControl/>
              <w:snapToGrid w:val="0"/>
              <w:spacing w:line="400" w:lineRule="exact"/>
              <w:ind w:firstLine="420" w:firstLineChars="200"/>
              <w:rPr>
                <w:rFonts w:ascii="宋体" w:hAnsi="宋体" w:cs="宋体"/>
                <w:szCs w:val="21"/>
              </w:rPr>
            </w:pPr>
            <w:r>
              <w:rPr>
                <w:rFonts w:hint="eastAsia" w:ascii="宋体" w:hAnsi="宋体" w:cs="宋体"/>
                <w:szCs w:val="21"/>
              </w:rPr>
              <w:t>投标人在近1年（2022年11月1日至投标截止时间）中不曾在高速公路工程合同中违约而被驱逐或因投标人自身的原因而使高速公路工程合同被解除。</w:t>
            </w:r>
          </w:p>
          <w:p>
            <w:pPr>
              <w:widowControl/>
              <w:snapToGrid w:val="0"/>
              <w:spacing w:line="400" w:lineRule="exact"/>
              <w:ind w:firstLine="420" w:firstLineChars="200"/>
              <w:rPr>
                <w:rFonts w:ascii="宋体" w:hAnsi="宋体"/>
                <w:sz w:val="22"/>
                <w:szCs w:val="22"/>
              </w:rPr>
            </w:pPr>
            <w:r>
              <w:rPr>
                <w:rFonts w:hint="eastAsia" w:ascii="宋体" w:hAnsi="宋体" w:cs="宋体"/>
                <w:szCs w:val="21"/>
              </w:rPr>
              <w:t>以联合体形式投标的，联合体各成员均满足本项规定的资格条件。</w:t>
            </w:r>
          </w:p>
        </w:tc>
      </w:tr>
    </w:tbl>
    <w:p>
      <w:pPr>
        <w:pStyle w:val="4"/>
      </w:pPr>
    </w:p>
    <w:p>
      <w:pPr>
        <w:widowControl/>
        <w:jc w:val="center"/>
        <w:rPr>
          <w:rFonts w:ascii="宋体" w:hAnsi="宋体"/>
          <w:b/>
          <w:sz w:val="24"/>
        </w:rPr>
      </w:pPr>
    </w:p>
    <w:p>
      <w:pPr>
        <w:widowControl/>
        <w:spacing w:after="120" w:afterLines="50"/>
        <w:jc w:val="center"/>
        <w:rPr>
          <w:rFonts w:ascii="宋体" w:hAnsi="宋体"/>
          <w:b/>
          <w:sz w:val="24"/>
        </w:rPr>
      </w:pPr>
      <w:r>
        <w:rPr>
          <w:rFonts w:hint="eastAsia" w:ascii="宋体" w:hAnsi="宋体"/>
          <w:b/>
          <w:sz w:val="24"/>
        </w:rPr>
        <w:t>附录5 资格审查条件（主要人员最低要求）</w:t>
      </w:r>
    </w:p>
    <w:tbl>
      <w:tblPr>
        <w:tblStyle w:val="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676"/>
        <w:gridCol w:w="5154"/>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9" w:type="pct"/>
            <w:vAlign w:val="center"/>
          </w:tcPr>
          <w:p>
            <w:pPr>
              <w:adjustRightInd w:val="0"/>
              <w:snapToGrid w:val="0"/>
              <w:spacing w:line="340" w:lineRule="exact"/>
              <w:jc w:val="center"/>
              <w:rPr>
                <w:rFonts w:ascii="宋体" w:hAnsi="宋体" w:cs="宋体"/>
                <w:b/>
                <w:szCs w:val="21"/>
              </w:rPr>
            </w:pPr>
            <w:r>
              <w:rPr>
                <w:rFonts w:hint="eastAsia" w:ascii="宋体" w:hAnsi="宋体" w:cs="宋体"/>
                <w:b/>
                <w:szCs w:val="21"/>
              </w:rPr>
              <w:t>岗位</w:t>
            </w:r>
          </w:p>
        </w:tc>
        <w:tc>
          <w:tcPr>
            <w:tcW w:w="402" w:type="pct"/>
            <w:vAlign w:val="center"/>
          </w:tcPr>
          <w:p>
            <w:pPr>
              <w:adjustRightInd w:val="0"/>
              <w:snapToGrid w:val="0"/>
              <w:spacing w:line="340" w:lineRule="exact"/>
              <w:jc w:val="center"/>
              <w:rPr>
                <w:rFonts w:ascii="宋体" w:hAnsi="宋体" w:cs="宋体"/>
                <w:b/>
                <w:szCs w:val="21"/>
              </w:rPr>
            </w:pPr>
            <w:r>
              <w:rPr>
                <w:rFonts w:hint="eastAsia" w:ascii="宋体" w:hAnsi="宋体" w:cs="宋体"/>
                <w:b/>
                <w:szCs w:val="21"/>
              </w:rPr>
              <w:t>数量</w:t>
            </w:r>
          </w:p>
        </w:tc>
        <w:tc>
          <w:tcPr>
            <w:tcW w:w="3063" w:type="pct"/>
            <w:vAlign w:val="center"/>
          </w:tcPr>
          <w:p>
            <w:pPr>
              <w:adjustRightInd w:val="0"/>
              <w:snapToGrid w:val="0"/>
              <w:spacing w:line="340" w:lineRule="exact"/>
              <w:jc w:val="center"/>
              <w:rPr>
                <w:rFonts w:ascii="宋体" w:hAnsi="宋体" w:cs="宋体"/>
                <w:b/>
                <w:szCs w:val="21"/>
              </w:rPr>
            </w:pPr>
            <w:r>
              <w:rPr>
                <w:rFonts w:hint="eastAsia" w:ascii="宋体" w:hAnsi="宋体" w:cs="宋体"/>
                <w:b/>
                <w:szCs w:val="21"/>
              </w:rPr>
              <w:t>资格标准</w:t>
            </w:r>
          </w:p>
        </w:tc>
        <w:tc>
          <w:tcPr>
            <w:tcW w:w="836" w:type="pct"/>
            <w:vAlign w:val="center"/>
          </w:tcPr>
          <w:p>
            <w:pPr>
              <w:adjustRightInd w:val="0"/>
              <w:snapToGrid w:val="0"/>
              <w:spacing w:line="340" w:lineRule="exact"/>
              <w:jc w:val="center"/>
              <w:rPr>
                <w:rFonts w:ascii="宋体" w:hAnsi="宋体" w:cs="宋体"/>
                <w:b/>
                <w:szCs w:val="21"/>
              </w:rPr>
            </w:pPr>
            <w:r>
              <w:rPr>
                <w:rFonts w:hint="eastAsia" w:ascii="宋体" w:hAnsi="宋体" w:cs="宋体"/>
                <w:b/>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699" w:type="pct"/>
            <w:vAlign w:val="center"/>
          </w:tcPr>
          <w:p>
            <w:pPr>
              <w:adjustRightInd w:val="0"/>
              <w:snapToGrid w:val="0"/>
              <w:spacing w:line="340" w:lineRule="exact"/>
              <w:jc w:val="center"/>
              <w:rPr>
                <w:rFonts w:ascii="宋体" w:hAnsi="宋体" w:cs="宋体"/>
                <w:b/>
                <w:szCs w:val="21"/>
              </w:rPr>
            </w:pPr>
            <w:r>
              <w:rPr>
                <w:rFonts w:hint="eastAsia" w:ascii="宋体" w:hAnsi="宋体" w:cs="宋体"/>
                <w:szCs w:val="21"/>
              </w:rPr>
              <w:t>项目负责人（课题负责人）</w:t>
            </w:r>
          </w:p>
        </w:tc>
        <w:tc>
          <w:tcPr>
            <w:tcW w:w="402" w:type="pct"/>
            <w:vAlign w:val="center"/>
          </w:tcPr>
          <w:p>
            <w:pPr>
              <w:adjustRightInd w:val="0"/>
              <w:snapToGrid w:val="0"/>
              <w:spacing w:line="340" w:lineRule="exact"/>
              <w:jc w:val="center"/>
              <w:rPr>
                <w:rFonts w:ascii="宋体" w:hAnsi="宋体" w:cs="宋体"/>
                <w:b/>
                <w:szCs w:val="21"/>
              </w:rPr>
            </w:pPr>
            <w:r>
              <w:rPr>
                <w:rFonts w:hint="eastAsia" w:ascii="宋体" w:hAnsi="宋体" w:cs="宋体"/>
                <w:szCs w:val="21"/>
              </w:rPr>
              <w:t>1</w:t>
            </w:r>
          </w:p>
        </w:tc>
        <w:tc>
          <w:tcPr>
            <w:tcW w:w="3063" w:type="pct"/>
            <w:vAlign w:val="center"/>
          </w:tcPr>
          <w:p>
            <w:pPr>
              <w:adjustRightInd w:val="0"/>
              <w:snapToGrid w:val="0"/>
              <w:spacing w:line="340" w:lineRule="exact"/>
              <w:jc w:val="left"/>
              <w:rPr>
                <w:rFonts w:ascii="宋体" w:hAnsi="宋体" w:cs="宋体"/>
              </w:rPr>
            </w:pPr>
            <w:r>
              <w:rPr>
                <w:rFonts w:hint="eastAsia" w:ascii="宋体" w:hAnsi="宋体" w:cs="宋体"/>
              </w:rPr>
              <w:t>高级职称；</w:t>
            </w:r>
          </w:p>
          <w:p>
            <w:pPr>
              <w:adjustRightInd w:val="0"/>
              <w:snapToGrid w:val="0"/>
              <w:spacing w:line="340" w:lineRule="exact"/>
              <w:jc w:val="left"/>
              <w:rPr>
                <w:rFonts w:ascii="宋体" w:hAnsi="宋体" w:cs="宋体"/>
                <w:b/>
                <w:szCs w:val="21"/>
              </w:rPr>
            </w:pPr>
            <w:r>
              <w:rPr>
                <w:rFonts w:hint="eastAsia" w:ascii="宋体" w:hAnsi="宋体" w:cs="宋体"/>
              </w:rPr>
              <w:t>近5年（2018年11月1日至投标截止时间，以通过成果验收或鉴定时间或登记时间为准）担任过1项高速公路机电类或信息化类科研项目的项目负责人。</w:t>
            </w:r>
          </w:p>
        </w:tc>
        <w:tc>
          <w:tcPr>
            <w:tcW w:w="836" w:type="pct"/>
            <w:vAlign w:val="center"/>
          </w:tcPr>
          <w:p>
            <w:pPr>
              <w:adjustRightInd w:val="0"/>
              <w:snapToGrid w:val="0"/>
              <w:spacing w:line="340" w:lineRule="exact"/>
              <w:jc w:val="center"/>
              <w:rPr>
                <w:rFonts w:ascii="宋体" w:hAnsi="宋体" w:cs="宋体"/>
                <w:b/>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99"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设计负责人</w:t>
            </w:r>
          </w:p>
        </w:tc>
        <w:tc>
          <w:tcPr>
            <w:tcW w:w="402"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1</w:t>
            </w:r>
          </w:p>
        </w:tc>
        <w:tc>
          <w:tcPr>
            <w:tcW w:w="3063" w:type="pct"/>
            <w:vAlign w:val="center"/>
          </w:tcPr>
          <w:p>
            <w:pPr>
              <w:adjustRightInd w:val="0"/>
              <w:snapToGrid w:val="0"/>
              <w:spacing w:line="340" w:lineRule="exact"/>
              <w:rPr>
                <w:rFonts w:ascii="宋体" w:hAnsi="宋体" w:cs="宋体"/>
              </w:rPr>
            </w:pPr>
            <w:r>
              <w:rPr>
                <w:rFonts w:hint="eastAsia" w:ascii="宋体" w:hAnsi="宋体" w:cs="宋体"/>
              </w:rPr>
              <w:t>高级工程师；</w:t>
            </w:r>
          </w:p>
          <w:p>
            <w:pPr>
              <w:adjustRightInd w:val="0"/>
              <w:snapToGrid w:val="0"/>
              <w:spacing w:line="340" w:lineRule="exact"/>
              <w:rPr>
                <w:rFonts w:ascii="宋体" w:hAnsi="宋体" w:cs="宋体"/>
              </w:rPr>
            </w:pPr>
            <w:r>
              <w:rPr>
                <w:rFonts w:hint="eastAsia" w:ascii="宋体" w:hAnsi="宋体" w:cs="宋体"/>
                <w:szCs w:val="21"/>
              </w:rPr>
              <w:t>近</w:t>
            </w:r>
            <w:r>
              <w:rPr>
                <w:rFonts w:ascii="宋体" w:hAnsi="宋体" w:cs="宋体"/>
                <w:szCs w:val="21"/>
              </w:rPr>
              <w:t>5</w:t>
            </w:r>
            <w:r>
              <w:rPr>
                <w:rFonts w:hint="eastAsia" w:ascii="宋体" w:hAnsi="宋体" w:cs="宋体"/>
                <w:szCs w:val="21"/>
              </w:rPr>
              <w:t>年（2018年11月1日至投标截止时间，</w:t>
            </w:r>
            <w:r>
              <w:rPr>
                <w:rFonts w:hint="eastAsia" w:ascii="宋体" w:hAnsi="宋体" w:cs="宋体"/>
              </w:rPr>
              <w:t>以施工图批复时间为准</w:t>
            </w:r>
            <w:r>
              <w:rPr>
                <w:rFonts w:hint="eastAsia" w:ascii="宋体" w:hAnsi="宋体" w:cs="宋体"/>
                <w:szCs w:val="21"/>
              </w:rPr>
              <w:t>）</w:t>
            </w:r>
            <w:r>
              <w:rPr>
                <w:rFonts w:hint="eastAsia" w:ascii="宋体" w:hAnsi="宋体" w:cs="宋体"/>
              </w:rPr>
              <w:t>，担任过1项单项合同额不少于100万元的高速公路（新建或改扩建或养护）机电工程设计项目，或1项包含机电工程的高速公路（新建或改扩建或养护）工程设计（机电工程合同额不少于100万元）项目的项目负责人或设计负责人。</w:t>
            </w:r>
          </w:p>
        </w:tc>
        <w:tc>
          <w:tcPr>
            <w:tcW w:w="836"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jc w:val="center"/>
        </w:trPr>
        <w:tc>
          <w:tcPr>
            <w:tcW w:w="699"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施工负责人</w:t>
            </w:r>
          </w:p>
        </w:tc>
        <w:tc>
          <w:tcPr>
            <w:tcW w:w="402"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1</w:t>
            </w:r>
          </w:p>
        </w:tc>
        <w:tc>
          <w:tcPr>
            <w:tcW w:w="3063" w:type="pct"/>
            <w:vAlign w:val="center"/>
          </w:tcPr>
          <w:p>
            <w:pPr>
              <w:adjustRightInd w:val="0"/>
              <w:snapToGrid w:val="0"/>
              <w:spacing w:line="340" w:lineRule="exact"/>
              <w:rPr>
                <w:rFonts w:ascii="宋体" w:hAnsi="宋体" w:cs="宋体"/>
                <w:szCs w:val="21"/>
              </w:rPr>
            </w:pPr>
            <w:r>
              <w:rPr>
                <w:rFonts w:hint="eastAsia" w:ascii="宋体" w:hAnsi="宋体" w:cs="宋体"/>
                <w:szCs w:val="21"/>
              </w:rPr>
              <w:t>工程师；</w:t>
            </w:r>
          </w:p>
          <w:p>
            <w:pPr>
              <w:adjustRightInd w:val="0"/>
              <w:snapToGrid w:val="0"/>
              <w:spacing w:line="340" w:lineRule="exact"/>
              <w:rPr>
                <w:rFonts w:ascii="宋体" w:hAnsi="宋体" w:cs="宋体"/>
                <w:szCs w:val="21"/>
              </w:rPr>
            </w:pPr>
            <w:r>
              <w:rPr>
                <w:rFonts w:hint="eastAsia" w:ascii="宋体" w:hAnsi="宋体" w:cs="宋体"/>
                <w:szCs w:val="21"/>
              </w:rPr>
              <w:t>具有“公路工程或机电工程”专业的“一级建造师注册证书”，建造师注册证书的注册单位须与投标人单位名称一致；</w:t>
            </w:r>
          </w:p>
          <w:p>
            <w:pPr>
              <w:adjustRightInd w:val="0"/>
              <w:snapToGrid w:val="0"/>
              <w:spacing w:line="340" w:lineRule="exact"/>
              <w:rPr>
                <w:rFonts w:ascii="宋体" w:hAnsi="宋体" w:cs="宋体"/>
                <w:szCs w:val="21"/>
              </w:rPr>
            </w:pPr>
            <w:r>
              <w:rPr>
                <w:rFonts w:hint="eastAsia" w:ascii="宋体" w:hAnsi="宋体" w:cs="宋体"/>
                <w:szCs w:val="21"/>
              </w:rPr>
              <w:t>具有交通运输行政主管部门颁发的有效的《安全生产考核合格证书》（B 类），安全生产考核合格证书的登记单位须与投标人单位名称一致；</w:t>
            </w:r>
          </w:p>
          <w:p>
            <w:pPr>
              <w:adjustRightInd w:val="0"/>
              <w:snapToGrid w:val="0"/>
              <w:spacing w:line="340" w:lineRule="exact"/>
              <w:rPr>
                <w:rFonts w:ascii="宋体" w:hAnsi="宋体" w:cs="宋体"/>
                <w:szCs w:val="21"/>
              </w:rPr>
            </w:pPr>
            <w:r>
              <w:rPr>
                <w:rFonts w:hint="eastAsia" w:ascii="宋体" w:hAnsi="宋体" w:cs="宋体"/>
                <w:szCs w:val="21"/>
              </w:rPr>
              <w:t>近</w:t>
            </w:r>
            <w:r>
              <w:rPr>
                <w:rFonts w:ascii="宋体" w:hAnsi="宋体" w:cs="宋体"/>
                <w:szCs w:val="21"/>
              </w:rPr>
              <w:t>5</w:t>
            </w:r>
            <w:r>
              <w:rPr>
                <w:rFonts w:hint="eastAsia" w:ascii="宋体" w:hAnsi="宋体" w:cs="宋体"/>
                <w:szCs w:val="21"/>
              </w:rPr>
              <w:t>年（2018年11月1日至投标截止时间，以工程交工日期为准）担任过</w:t>
            </w:r>
            <w:r>
              <w:rPr>
                <w:rFonts w:hint="eastAsia" w:ascii="宋体" w:hAnsi="宋体"/>
                <w:sz w:val="22"/>
                <w:szCs w:val="22"/>
              </w:rPr>
              <w:t>1项单项合同额不少于6500万元高速公路（新建或改扩建或养护）机电工程施工项目，或1项包含机电工程的高速公路（新建或改扩建或养护）工程施工（机电工程合同额不少于6500万元）项目</w:t>
            </w:r>
            <w:r>
              <w:rPr>
                <w:rFonts w:hint="eastAsia" w:ascii="宋体" w:hAnsi="宋体" w:cs="宋体"/>
                <w:szCs w:val="21"/>
              </w:rPr>
              <w:t>的项目经理（或项目副经理或项目总工）。</w:t>
            </w:r>
          </w:p>
        </w:tc>
        <w:tc>
          <w:tcPr>
            <w:tcW w:w="836" w:type="pct"/>
            <w:vAlign w:val="center"/>
          </w:tcPr>
          <w:p>
            <w:pPr>
              <w:adjustRightInd w:val="0"/>
              <w:snapToGrid w:val="0"/>
              <w:spacing w:line="340" w:lineRule="exact"/>
              <w:jc w:val="center"/>
              <w:rPr>
                <w:rFonts w:ascii="宋体" w:hAnsi="宋体" w:cs="宋体"/>
                <w:szCs w:val="21"/>
              </w:rPr>
            </w:pPr>
            <w:r>
              <w:rPr>
                <w:rFonts w:hint="eastAsia" w:ascii="宋体" w:hAnsi="宋体" w:cs="宋体"/>
                <w:kern w:val="0"/>
                <w:szCs w:val="21"/>
              </w:rPr>
              <w:t>目前未在其他项目上任职，或虽在其他项目上任职但本项目中标后能够从其他项目撤离，并能在本项目履约。</w:t>
            </w:r>
          </w:p>
        </w:tc>
      </w:tr>
    </w:tbl>
    <w:p>
      <w:pPr>
        <w:pStyle w:val="4"/>
      </w:pPr>
      <w:r>
        <w:br w:type="page"/>
      </w:r>
    </w:p>
    <w:bookmarkEnd w:id="4"/>
    <w:p>
      <w:pPr>
        <w:pStyle w:val="3"/>
        <w:spacing w:before="0" w:after="0" w:line="312" w:lineRule="auto"/>
        <w:rPr>
          <w:rFonts w:ascii="黑体" w:hAnsi="黑体"/>
          <w:b w:val="0"/>
          <w:bCs w:val="0"/>
          <w:sz w:val="26"/>
          <w:szCs w:val="26"/>
        </w:rPr>
      </w:pPr>
      <w:bookmarkStart w:id="6" w:name="_Toc145454015"/>
      <w:bookmarkStart w:id="7" w:name="_Toc140494087"/>
      <w:r>
        <w:rPr>
          <w:rFonts w:hint="eastAsia" w:ascii="黑体" w:hAnsi="黑体"/>
          <w:b w:val="0"/>
          <w:bCs w:val="0"/>
          <w:sz w:val="26"/>
          <w:szCs w:val="26"/>
        </w:rPr>
        <w:t>附件</w:t>
      </w:r>
      <w:r>
        <w:rPr>
          <w:rFonts w:ascii="黑体" w:hAnsi="黑体"/>
          <w:b w:val="0"/>
          <w:bCs w:val="0"/>
          <w:sz w:val="26"/>
          <w:szCs w:val="26"/>
        </w:rPr>
        <w:t>2</w:t>
      </w:r>
      <w:r>
        <w:rPr>
          <w:rFonts w:hint="eastAsia" w:ascii="黑体" w:hAnsi="黑体"/>
          <w:b w:val="0"/>
          <w:bCs w:val="0"/>
          <w:sz w:val="26"/>
          <w:szCs w:val="26"/>
        </w:rPr>
        <w:t>：评标办法</w:t>
      </w:r>
      <w:bookmarkEnd w:id="6"/>
      <w:bookmarkEnd w:id="7"/>
    </w:p>
    <w:p>
      <w:pPr>
        <w:pStyle w:val="4"/>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评标办法（综合评估法）</w:t>
      </w:r>
    </w:p>
    <w:bookmarkEnd w:id="2"/>
    <w:bookmarkEnd w:id="3"/>
    <w:p>
      <w:pPr>
        <w:pStyle w:val="4"/>
        <w:snapToGrid w:val="0"/>
        <w:spacing w:after="0"/>
        <w:rPr>
          <w:rFonts w:asciiTheme="minorEastAsia" w:hAnsiTheme="minorEastAsia" w:eastAsiaTheme="minorEastAsia"/>
          <w:b/>
          <w:sz w:val="24"/>
        </w:rPr>
      </w:pPr>
      <w:r>
        <w:rPr>
          <w:rFonts w:asciiTheme="minorEastAsia" w:hAnsiTheme="minorEastAsia" w:eastAsiaTheme="minorEastAsia"/>
          <w:b/>
          <w:sz w:val="24"/>
        </w:rPr>
        <w:t>评标办法前附表</w:t>
      </w:r>
    </w:p>
    <w:tbl>
      <w:tblPr>
        <w:tblStyle w:val="7"/>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条款号</w:t>
            </w:r>
          </w:p>
        </w:tc>
        <w:tc>
          <w:tcPr>
            <w:tcW w:w="1246"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条款名称</w:t>
            </w:r>
          </w:p>
        </w:tc>
        <w:tc>
          <w:tcPr>
            <w:tcW w:w="7106"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24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评标办法</w:t>
            </w:r>
          </w:p>
        </w:tc>
        <w:tc>
          <w:tcPr>
            <w:tcW w:w="7106" w:type="dxa"/>
            <w:vAlign w:val="center"/>
          </w:tcPr>
          <w:p>
            <w:pPr>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本次评标采用综合评估法。评标委员会对满足招标文件实质性要求的投标文件，按照本章第 2.2 款规定的评分标准进行打分，并按综合得分由高到低顺序推荐1～3名中标候选人。</w:t>
            </w:r>
            <w:r>
              <w:rPr>
                <w:rFonts w:hint="eastAsia" w:asciiTheme="minorEastAsia" w:hAnsiTheme="minorEastAsia" w:eastAsiaTheme="minorEastAsia"/>
                <w:szCs w:val="21"/>
              </w:rPr>
              <w:t>综合评分相等时，评标委员会依次按照以下优先顺序推荐中标候选人：</w:t>
            </w:r>
          </w:p>
          <w:p>
            <w:pPr>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（1）评标价低的投标人优先；</w:t>
            </w:r>
          </w:p>
          <w:p>
            <w:pPr>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（2）承包人建议书和承包人实施方案合计得分较高的投标人优先；</w:t>
            </w:r>
          </w:p>
          <w:p>
            <w:pPr>
              <w:spacing w:line="288" w:lineRule="auto"/>
              <w:ind w:firstLine="420" w:firstLineChars="200"/>
              <w:rPr>
                <w:rFonts w:asciiTheme="minorEastAsia" w:hAnsiTheme="minorEastAsia" w:eastAsiaTheme="minorEastAsia"/>
              </w:rPr>
            </w:pPr>
            <w:r>
              <w:rPr>
                <w:rFonts w:hint="eastAsia" w:asciiTheme="minorEastAsia" w:hAnsiTheme="minorEastAsia" w:eastAsiaTheme="minorEastAsia"/>
                <w:szCs w:val="21"/>
              </w:rPr>
              <w:t>（3）满足资格审查条件(业绩最低要求)要求的研发业绩单项合同金额高的优先。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2.1.1</w:t>
            </w:r>
          </w:p>
          <w:p>
            <w:pPr>
              <w:jc w:val="center"/>
              <w:rPr>
                <w:rFonts w:cs="宋体" w:asciiTheme="minorEastAsia" w:hAnsiTheme="minorEastAsia" w:eastAsiaTheme="minorEastAsia"/>
                <w:szCs w:val="21"/>
              </w:rPr>
            </w:pPr>
            <w:r>
              <w:rPr>
                <w:rFonts w:cs="宋体" w:asciiTheme="minorEastAsia" w:hAnsiTheme="minorEastAsia" w:eastAsiaTheme="minorEastAsia"/>
                <w:szCs w:val="21"/>
              </w:rPr>
              <w:t>2.1.3</w:t>
            </w:r>
          </w:p>
        </w:tc>
        <w:tc>
          <w:tcPr>
            <w:tcW w:w="124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形式评审与响应性评审标准</w:t>
            </w:r>
          </w:p>
        </w:tc>
        <w:tc>
          <w:tcPr>
            <w:tcW w:w="7106" w:type="dxa"/>
          </w:tcPr>
          <w:p>
            <w:pPr>
              <w:tabs>
                <w:tab w:val="left" w:pos="3060"/>
              </w:tabs>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第一个信封（商务及技术文件）评审标准:</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（1）投标文件按照招标文件规定的格式、内容填写，字迹清晰可辨：</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a.投标函按招标文件规定填报了项目名称、补遗书编号（如有）、质量标准、安全目标、服务期限、项目负责人（课题负责人）、设计负责人、施工负责人信息；</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b.投标函附录的所有数据均符合招标文件规定；</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c.投标文件组成齐全完整，内容均按规定填写。</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（2）投标文件上法定代表人或其授权代理人的签名章、投标人的单位章盖章齐全，符合招标文件规定。</w:t>
            </w:r>
          </w:p>
          <w:p>
            <w:pPr>
              <w:snapToGrid w:val="0"/>
              <w:spacing w:line="280" w:lineRule="exact"/>
              <w:ind w:firstLine="384" w:firstLineChars="183"/>
              <w:textAlignment w:val="baseline"/>
              <w:rPr>
                <w:rFonts w:ascii="宋体" w:hAnsi="宋体"/>
                <w:szCs w:val="21"/>
              </w:rPr>
            </w:pPr>
            <w:r>
              <w:rPr>
                <w:rFonts w:hint="eastAsia" w:ascii="宋体" w:hAnsi="宋体" w:cs="宋体"/>
                <w:szCs w:val="21"/>
              </w:rPr>
              <w:t>（3）</w:t>
            </w:r>
            <w:r>
              <w:rPr>
                <w:rFonts w:hint="eastAsia" w:ascii="宋体" w:hAnsi="宋体" w:cs="宋体"/>
                <w:kern w:val="0"/>
                <w:szCs w:val="21"/>
              </w:rPr>
              <w:t>投标人按照招标文件的规定提供了投标保证金。</w:t>
            </w:r>
          </w:p>
          <w:p>
            <w:pPr>
              <w:snapToGrid w:val="0"/>
              <w:spacing w:line="280" w:lineRule="exact"/>
              <w:ind w:firstLine="384" w:firstLineChars="183"/>
              <w:jc w:val="left"/>
              <w:rPr>
                <w:rFonts w:ascii="宋体" w:hAnsi="宋体" w:cs="宋体"/>
                <w:szCs w:val="21"/>
              </w:rPr>
            </w:pPr>
            <w:r>
              <w:rPr>
                <w:rFonts w:hint="eastAsia" w:ascii="宋体" w:hAnsi="宋体" w:cs="宋体"/>
                <w:szCs w:val="21"/>
              </w:rPr>
              <w:t>a．投标保证金金额符合招标文件规定的金额，且投标保证金有效期不少于投标有效期；</w:t>
            </w:r>
          </w:p>
          <w:p>
            <w:pPr>
              <w:snapToGrid w:val="0"/>
              <w:spacing w:line="280" w:lineRule="exact"/>
              <w:ind w:firstLine="384" w:firstLineChars="183"/>
              <w:jc w:val="left"/>
              <w:rPr>
                <w:rFonts w:ascii="宋体" w:hAnsi="宋体" w:cs="宋体"/>
                <w:szCs w:val="21"/>
              </w:rPr>
            </w:pPr>
            <w:r>
              <w:rPr>
                <w:rFonts w:hint="eastAsia" w:ascii="宋体" w:hAnsi="宋体" w:cs="宋体"/>
                <w:szCs w:val="21"/>
              </w:rPr>
              <w:t>b.若投标保证金采电汇或转账形式提交，投标人应在递交投标文件截止时间之前，将投标保证金由投标人的基本账户转入招标人指定账户；</w:t>
            </w:r>
          </w:p>
          <w:p>
            <w:pPr>
              <w:snapToGrid w:val="0"/>
              <w:spacing w:line="280" w:lineRule="exact"/>
              <w:ind w:firstLine="384" w:firstLineChars="183"/>
              <w:jc w:val="left"/>
              <w:rPr>
                <w:rFonts w:ascii="宋体" w:hAnsi="宋体" w:cs="宋体"/>
                <w:szCs w:val="21"/>
              </w:rPr>
            </w:pPr>
            <w:r>
              <w:rPr>
                <w:rFonts w:hint="eastAsia" w:ascii="宋体" w:hAnsi="宋体" w:cs="宋体"/>
                <w:szCs w:val="21"/>
              </w:rPr>
              <w:t>c.若投标保证金采用保函形式提交，开具的保函满足招标文件要求。</w:t>
            </w:r>
          </w:p>
          <w:p>
            <w:pPr>
              <w:tabs>
                <w:tab w:val="left" w:pos="3060"/>
              </w:tabs>
              <w:snapToGrid w:val="0"/>
              <w:spacing w:line="320" w:lineRule="exact"/>
              <w:ind w:firstLine="420" w:firstLineChars="200"/>
              <w:rPr>
                <w:rFonts w:ascii="宋体" w:hAnsi="宋体" w:cs="宋体"/>
                <w:kern w:val="0"/>
                <w:szCs w:val="21"/>
              </w:rPr>
            </w:pPr>
            <w:r>
              <w:rPr>
                <w:rFonts w:hint="eastAsia" w:ascii="宋体" w:hAnsi="宋体" w:cs="宋体"/>
                <w:szCs w:val="21"/>
              </w:rPr>
              <w:t>d</w:t>
            </w:r>
            <w:r>
              <w:rPr>
                <w:rFonts w:ascii="宋体" w:hAnsi="宋体" w:cs="宋体"/>
                <w:szCs w:val="21"/>
              </w:rPr>
              <w:t>.</w:t>
            </w:r>
            <w:r>
              <w:rPr>
                <w:rFonts w:hint="eastAsia" w:ascii="宋体" w:hAnsi="宋体" w:cs="宋体"/>
                <w:szCs w:val="21"/>
              </w:rPr>
              <w:t>若投标保证金采用保证保险形式提交，开具的保证保险满足招标文件要求。</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szCs w:val="21"/>
              </w:rPr>
              <w:t>投标人法定代表人授权委托代理人签署投标文件的，</w:t>
            </w:r>
            <w:r>
              <w:rPr>
                <w:rFonts w:asciiTheme="minorEastAsia" w:hAnsiTheme="minorEastAsia" w:eastAsiaTheme="minorEastAsia"/>
                <w:szCs w:val="21"/>
              </w:rPr>
              <w:t>须提交授权</w:t>
            </w:r>
            <w:r>
              <w:rPr>
                <w:rFonts w:hint="eastAsia" w:asciiTheme="minorEastAsia" w:hAnsiTheme="minorEastAsia" w:eastAsiaTheme="minorEastAsia"/>
                <w:szCs w:val="21"/>
              </w:rPr>
              <w:t>委托书，授权委托书符合招标文件规定</w:t>
            </w:r>
            <w:r>
              <w:rPr>
                <w:rFonts w:hint="eastAsia" w:cs="宋体" w:asciiTheme="minorEastAsia" w:hAnsiTheme="minorEastAsia" w:eastAsiaTheme="minorEastAsia"/>
                <w:szCs w:val="21"/>
              </w:rPr>
              <w:t>。</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（5）</w:t>
            </w:r>
            <w:r>
              <w:rPr>
                <w:rFonts w:asciiTheme="minorEastAsia" w:hAnsiTheme="minorEastAsia" w:eastAsiaTheme="minorEastAsia"/>
                <w:szCs w:val="21"/>
              </w:rPr>
              <w:t>投标人法定代表人亲自签署投标文件的，提供了法定代表人身份证明，法定代表人身份证明符合招标文件规定</w:t>
            </w:r>
            <w:r>
              <w:rPr>
                <w:rFonts w:hint="eastAsia" w:cs="宋体" w:asciiTheme="minorEastAsia" w:hAnsiTheme="minorEastAsia" w:eastAsiaTheme="minorEastAsia"/>
                <w:szCs w:val="21"/>
              </w:rPr>
              <w:t>。</w:t>
            </w:r>
          </w:p>
          <w:p>
            <w:pPr>
              <w:snapToGrid w:val="0"/>
              <w:spacing w:line="280" w:lineRule="exact"/>
              <w:ind w:firstLine="384" w:firstLineChars="183"/>
              <w:rPr>
                <w:rFonts w:ascii="宋体" w:hAnsi="宋体"/>
                <w:szCs w:val="21"/>
              </w:rPr>
            </w:pPr>
            <w:r>
              <w:rPr>
                <w:rFonts w:hint="eastAsia" w:ascii="宋体" w:hAnsi="宋体"/>
                <w:szCs w:val="21"/>
              </w:rPr>
              <w:t>（6）投标人以联合体形式投标时，联合体满足招标文件的要求：</w:t>
            </w:r>
          </w:p>
          <w:p>
            <w:pPr>
              <w:snapToGrid w:val="0"/>
              <w:spacing w:line="320" w:lineRule="exact"/>
              <w:ind w:firstLine="420" w:firstLineChars="200"/>
              <w:rPr>
                <w:rFonts w:asciiTheme="minorEastAsia" w:hAnsiTheme="minorEastAsia" w:eastAsiaTheme="minorEastAsia"/>
                <w:szCs w:val="21"/>
              </w:rPr>
            </w:pPr>
            <w:r>
              <w:rPr>
                <w:rFonts w:hint="eastAsia" w:ascii="宋体" w:hAnsi="宋体"/>
                <w:szCs w:val="21"/>
              </w:rPr>
              <w:t>投标人按照招标文件提供的格式和要求签订了联合体协议书，明确各方承担连带责任，并明确了联合体牵头人。</w:t>
            </w:r>
          </w:p>
          <w:p>
            <w:pPr>
              <w:snapToGrid w:val="0"/>
              <w:spacing w:line="320" w:lineRule="exact"/>
              <w:ind w:right="113"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7</w:t>
            </w:r>
            <w:r>
              <w:rPr>
                <w:rFonts w:hint="eastAsia" w:cs="宋体" w:asciiTheme="minorEastAsia" w:hAnsiTheme="minorEastAsia" w:eastAsiaTheme="minorEastAsia"/>
                <w:szCs w:val="21"/>
              </w:rPr>
              <w:t>）</w:t>
            </w:r>
            <w:r>
              <w:rPr>
                <w:rFonts w:ascii="宋体" w:hAnsi="宋体"/>
                <w:szCs w:val="21"/>
              </w:rPr>
              <w:t>投标人未对本项目提出分包计划</w:t>
            </w:r>
            <w:r>
              <w:rPr>
                <w:rFonts w:hint="eastAsia" w:ascii="宋体" w:hAnsi="宋体"/>
                <w:szCs w:val="21"/>
              </w:rPr>
              <w:t>。</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（8）同一投标人未提交两个以上不同的投标文件或备选投标方案。</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（9）投标文件第一个信封（商务文件）中未出现有关投标报价的内容。</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（10）投标文件载明的招标项目完成期限符合招标文件规定。</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（11）投标文件对招标文件的实质性要求和条件作出响应。</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（12）权利义务符合招标文件规定：</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a.投标人应接受招标文件规定的风险划分原则，未提出新的风险划分办法；</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b.投标人未增加发包人的责任范围，或减少投标人义务；</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c.投标人未提出不同的支付办法；</w:t>
            </w:r>
          </w:p>
          <w:p>
            <w:pPr>
              <w:snapToGrid w:val="0"/>
              <w:spacing w:line="320" w:lineRule="exact"/>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d.投标人对合同纠纷、事故处理办法未提出异议；</w:t>
            </w:r>
          </w:p>
          <w:p>
            <w:pPr>
              <w:snapToGrid w:val="0"/>
              <w:spacing w:line="320" w:lineRule="exact"/>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e.投标人在投标活动中无欺诈行为；</w:t>
            </w:r>
          </w:p>
          <w:p>
            <w:pPr>
              <w:snapToGrid w:val="0"/>
              <w:spacing w:line="320" w:lineRule="exact"/>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f.投标人未对合同条款有重要保留。</w:t>
            </w:r>
          </w:p>
          <w:p>
            <w:pPr>
              <w:pStyle w:val="5"/>
            </w:pPr>
          </w:p>
          <w:p>
            <w:pPr>
              <w:tabs>
                <w:tab w:val="left" w:pos="3060"/>
              </w:tabs>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第二个信封（报价文件）评审标准：</w:t>
            </w:r>
          </w:p>
          <w:p>
            <w:pPr>
              <w:spacing w:line="288" w:lineRule="auto"/>
              <w:ind w:firstLine="386" w:firstLineChars="184"/>
              <w:jc w:val="left"/>
              <w:rPr>
                <w:rFonts w:asciiTheme="minorEastAsia" w:hAnsiTheme="minorEastAsia" w:eastAsiaTheme="minorEastAsia"/>
                <w:bCs/>
                <w:szCs w:val="21"/>
              </w:rPr>
            </w:pPr>
            <w:r>
              <w:rPr>
                <w:rFonts w:hint="eastAsia" w:cs="宋体" w:asciiTheme="minorEastAsia" w:hAnsiTheme="minorEastAsia" w:eastAsiaTheme="minorEastAsia"/>
                <w:szCs w:val="21"/>
              </w:rPr>
              <w:t>（1）投标文件按照招标文件规定的格式、内容填写，字迹清晰可辨：</w:t>
            </w:r>
          </w:p>
          <w:p>
            <w:pPr>
              <w:spacing w:line="288" w:lineRule="auto"/>
              <w:ind w:firstLine="386" w:firstLineChars="184"/>
              <w:jc w:val="left"/>
              <w:rPr>
                <w:rFonts w:ascii="宋体" w:hAnsi="宋体"/>
                <w:bCs/>
                <w:szCs w:val="21"/>
              </w:rPr>
            </w:pPr>
            <w:r>
              <w:rPr>
                <w:rFonts w:hint="eastAsia" w:ascii="宋体" w:hAnsi="宋体"/>
                <w:bCs/>
              </w:rPr>
              <w:t>a.投标函按招标文件规定填报了项目名称、补遗书编号（如有）、投标价（包括大写金额和小写金额）；</w:t>
            </w:r>
          </w:p>
          <w:p>
            <w:pPr>
              <w:spacing w:line="288" w:lineRule="auto"/>
              <w:ind w:firstLine="386" w:firstLineChars="184"/>
              <w:jc w:val="left"/>
              <w:rPr>
                <w:rFonts w:ascii="宋体" w:hAnsi="宋体"/>
                <w:bCs/>
              </w:rPr>
            </w:pPr>
            <w:r>
              <w:rPr>
                <w:rFonts w:hint="eastAsia" w:ascii="宋体" w:hAnsi="宋体"/>
                <w:bCs/>
              </w:rPr>
              <w:t>b.已标价工作量清单说明（如有）文字与招标文件规定一致，未进行实质性修改和删减；</w:t>
            </w:r>
          </w:p>
          <w:p>
            <w:pPr>
              <w:spacing w:line="288" w:lineRule="auto"/>
              <w:ind w:firstLine="386" w:firstLineChars="184"/>
              <w:jc w:val="left"/>
              <w:rPr>
                <w:rFonts w:ascii="宋体" w:hAnsi="宋体"/>
                <w:bCs/>
              </w:rPr>
            </w:pPr>
            <w:r>
              <w:rPr>
                <w:rFonts w:hint="eastAsia" w:ascii="宋体" w:hAnsi="宋体"/>
                <w:bCs/>
              </w:rPr>
              <w:t>c</w:t>
            </w:r>
            <w:r>
              <w:rPr>
                <w:rFonts w:ascii="宋体" w:hAnsi="宋体"/>
                <w:bCs/>
              </w:rPr>
              <w:t>.</w:t>
            </w:r>
            <w:r>
              <w:rPr>
                <w:rFonts w:hint="eastAsia" w:ascii="宋体" w:hAnsi="宋体"/>
                <w:bCs/>
              </w:rPr>
              <w:t>投标</w:t>
            </w:r>
            <w:r>
              <w:rPr>
                <w:rFonts w:hint="eastAsia" w:ascii="宋体" w:hAnsi="宋体"/>
              </w:rPr>
              <w:t>文件</w:t>
            </w:r>
            <w:r>
              <w:rPr>
                <w:rFonts w:hint="eastAsia" w:ascii="宋体" w:hAnsi="宋体"/>
                <w:bCs/>
              </w:rPr>
              <w:t>组成齐全完整，内容均按规定填写。</w:t>
            </w:r>
          </w:p>
          <w:p>
            <w:pPr>
              <w:spacing w:line="288" w:lineRule="auto"/>
              <w:ind w:firstLine="386" w:firstLineChars="184"/>
              <w:jc w:val="left"/>
              <w:rPr>
                <w:rFonts w:ascii="宋体" w:hAnsi="宋体"/>
                <w:bCs/>
              </w:rPr>
            </w:pPr>
            <w:r>
              <w:rPr>
                <w:rFonts w:hint="eastAsia" w:ascii="宋体" w:hAnsi="宋体"/>
                <w:bCs/>
              </w:rPr>
              <w:t>（2）</w:t>
            </w:r>
            <w:r>
              <w:rPr>
                <w:rFonts w:hint="eastAsia" w:ascii="宋体" w:hAnsi="宋体"/>
              </w:rPr>
              <w:t>投标文件上法定代表人或其授权代理人的签名章、投标人的单位章盖章齐全，符合招标文件规定</w:t>
            </w:r>
            <w:r>
              <w:rPr>
                <w:rFonts w:hint="eastAsia" w:ascii="宋体" w:hAnsi="宋体"/>
                <w:bCs/>
              </w:rPr>
              <w:t>。</w:t>
            </w:r>
          </w:p>
          <w:p>
            <w:pPr>
              <w:spacing w:line="288" w:lineRule="auto"/>
              <w:ind w:firstLine="386" w:firstLineChars="184"/>
              <w:jc w:val="left"/>
              <w:rPr>
                <w:rFonts w:ascii="宋体" w:hAnsi="宋体"/>
                <w:bCs/>
              </w:rPr>
            </w:pPr>
            <w:r>
              <w:rPr>
                <w:rFonts w:hint="eastAsia" w:ascii="宋体" w:hAnsi="宋体"/>
                <w:bCs/>
              </w:rPr>
              <w:t>（3）投标函中的投标报价未超过招标文件设定的最高投标限价，</w:t>
            </w:r>
            <w:r>
              <w:rPr>
                <w:rFonts w:hint="eastAsia" w:asciiTheme="minorEastAsia" w:hAnsiTheme="minorEastAsia" w:eastAsiaTheme="minorEastAsia"/>
                <w:szCs w:val="21"/>
              </w:rPr>
              <w:t>价格清单中</w:t>
            </w:r>
            <w:r>
              <w:rPr>
                <w:rFonts w:hint="eastAsia" w:ascii="宋体" w:hAnsi="宋体"/>
                <w:bCs/>
              </w:rPr>
              <w:t>各分项报价均未超过招标文件设定的最高投标限价。</w:t>
            </w:r>
          </w:p>
          <w:p>
            <w:pPr>
              <w:spacing w:line="288" w:lineRule="auto"/>
              <w:ind w:firstLine="386" w:firstLineChars="184"/>
              <w:jc w:val="left"/>
              <w:rPr>
                <w:rFonts w:ascii="宋体" w:hAnsi="宋体"/>
                <w:bCs/>
              </w:rPr>
            </w:pPr>
            <w:r>
              <w:rPr>
                <w:rFonts w:hint="eastAsia" w:ascii="宋体" w:hAnsi="宋体"/>
                <w:bCs/>
              </w:rPr>
              <w:t>（4）投标</w:t>
            </w:r>
            <w:r>
              <w:rPr>
                <w:rFonts w:hint="eastAsia" w:ascii="宋体" w:hAnsi="宋体"/>
              </w:rPr>
              <w:t>函中的投标报价</w:t>
            </w:r>
            <w:r>
              <w:rPr>
                <w:rFonts w:hint="eastAsia" w:ascii="宋体" w:hAnsi="宋体"/>
                <w:bCs/>
              </w:rPr>
              <w:t>大写金额能够确定具体数值。</w:t>
            </w:r>
          </w:p>
          <w:p>
            <w:pPr>
              <w:spacing w:line="288" w:lineRule="auto"/>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（5）同一</w:t>
            </w:r>
            <w:r>
              <w:rPr>
                <w:rFonts w:hint="eastAsia" w:asciiTheme="minorEastAsia" w:hAnsiTheme="minorEastAsia" w:eastAsiaTheme="minorEastAsia"/>
                <w:szCs w:val="21"/>
              </w:rPr>
              <w:t>投标人</w:t>
            </w:r>
            <w:r>
              <w:rPr>
                <w:rFonts w:hint="eastAsia" w:asciiTheme="minorEastAsia" w:hAnsiTheme="minorEastAsia" w:eastAsiaTheme="minorEastAsia"/>
                <w:bCs/>
                <w:szCs w:val="21"/>
              </w:rPr>
              <w:t>未提交两个以上不同的投标报价。</w:t>
            </w:r>
          </w:p>
          <w:p>
            <w:pPr>
              <w:spacing w:line="288" w:lineRule="auto"/>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（6）投标人未提交调价函。</w:t>
            </w:r>
          </w:p>
          <w:p>
            <w:pPr>
              <w:spacing w:line="288" w:lineRule="auto"/>
              <w:ind w:firstLine="386" w:firstLineChars="184"/>
              <w:jc w:val="left"/>
            </w:pPr>
            <w:r>
              <w:rPr>
                <w:rFonts w:hint="eastAsia"/>
              </w:rPr>
              <w:t>（7）已标价工作量清单中的投标报价和投标函大写金额报价一致。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2.1.2</w:t>
            </w:r>
          </w:p>
        </w:tc>
        <w:tc>
          <w:tcPr>
            <w:tcW w:w="124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资格评审标准</w:t>
            </w:r>
          </w:p>
        </w:tc>
        <w:tc>
          <w:tcPr>
            <w:tcW w:w="7106" w:type="dxa"/>
            <w:vAlign w:val="center"/>
          </w:tcPr>
          <w:p>
            <w:pPr>
              <w:spacing w:line="288" w:lineRule="auto"/>
              <w:ind w:firstLine="386" w:firstLineChars="184"/>
              <w:jc w:val="left"/>
              <w:rPr>
                <w:rFonts w:ascii="宋体" w:hAnsi="宋体"/>
                <w:bCs/>
              </w:rPr>
            </w:pPr>
            <w:r>
              <w:rPr>
                <w:rFonts w:hint="eastAsia" w:ascii="宋体" w:hAnsi="宋体"/>
                <w:bCs/>
              </w:rPr>
              <w:t>（1）投标人具备有效的营业执照（或事业单位法人证书）、资质证书、安全生产许可证和基本账户开户许可证（或基本存款账户信息）。</w:t>
            </w:r>
          </w:p>
          <w:p>
            <w:pPr>
              <w:spacing w:line="288" w:lineRule="auto"/>
              <w:ind w:firstLine="386" w:firstLineChars="184"/>
              <w:jc w:val="left"/>
              <w:rPr>
                <w:rFonts w:ascii="宋体" w:hAnsi="宋体"/>
                <w:bCs/>
              </w:rPr>
            </w:pPr>
            <w:r>
              <w:rPr>
                <w:rFonts w:hint="eastAsia" w:ascii="宋体" w:hAnsi="宋体"/>
                <w:bCs/>
              </w:rPr>
              <w:t>（2）投标人的资质等级符合招标文件规定。</w:t>
            </w:r>
          </w:p>
          <w:p>
            <w:pPr>
              <w:spacing w:line="288" w:lineRule="auto"/>
              <w:ind w:firstLine="386" w:firstLineChars="184"/>
              <w:jc w:val="left"/>
              <w:rPr>
                <w:rFonts w:ascii="宋体" w:hAnsi="宋体"/>
                <w:bCs/>
              </w:rPr>
            </w:pPr>
            <w:r>
              <w:rPr>
                <w:rFonts w:hint="eastAsia" w:ascii="宋体" w:hAnsi="宋体"/>
                <w:bCs/>
              </w:rPr>
              <w:t>（3）投标人的财务状况符合招标文件规定。</w:t>
            </w:r>
          </w:p>
          <w:p>
            <w:pPr>
              <w:spacing w:line="288" w:lineRule="auto"/>
              <w:ind w:firstLine="386" w:firstLineChars="184"/>
              <w:jc w:val="left"/>
              <w:rPr>
                <w:rFonts w:ascii="宋体" w:hAnsi="宋体"/>
                <w:bCs/>
              </w:rPr>
            </w:pPr>
            <w:r>
              <w:rPr>
                <w:rFonts w:hint="eastAsia" w:ascii="宋体" w:hAnsi="宋体"/>
                <w:bCs/>
              </w:rPr>
              <w:t>（4）投标人的业绩符合招标文件规定。</w:t>
            </w:r>
          </w:p>
          <w:p>
            <w:pPr>
              <w:spacing w:line="288" w:lineRule="auto"/>
              <w:ind w:firstLine="386" w:firstLineChars="184"/>
              <w:jc w:val="left"/>
              <w:rPr>
                <w:rFonts w:ascii="宋体" w:hAnsi="宋体"/>
                <w:bCs/>
              </w:rPr>
            </w:pPr>
            <w:r>
              <w:rPr>
                <w:rFonts w:hint="eastAsia" w:ascii="宋体" w:hAnsi="宋体"/>
                <w:bCs/>
              </w:rPr>
              <w:t>（5）投标人的信誉符合招标文件规定。</w:t>
            </w:r>
          </w:p>
          <w:p>
            <w:pPr>
              <w:spacing w:line="288" w:lineRule="auto"/>
              <w:ind w:firstLine="386" w:firstLineChars="184"/>
              <w:jc w:val="left"/>
              <w:rPr>
                <w:rFonts w:ascii="宋体" w:hAnsi="宋体"/>
                <w:bCs/>
              </w:rPr>
            </w:pPr>
            <w:r>
              <w:rPr>
                <w:rFonts w:hint="eastAsia" w:ascii="宋体" w:hAnsi="宋体"/>
                <w:bCs/>
              </w:rPr>
              <w:t>（6）投标人的主要人员符合招标文件规定。</w:t>
            </w:r>
          </w:p>
          <w:p>
            <w:pPr>
              <w:spacing w:line="288" w:lineRule="auto"/>
              <w:ind w:firstLine="386" w:firstLineChars="184"/>
              <w:jc w:val="left"/>
              <w:rPr>
                <w:rFonts w:ascii="宋体" w:hAnsi="宋体"/>
                <w:bCs/>
              </w:rPr>
            </w:pPr>
            <w:r>
              <w:rPr>
                <w:rFonts w:hint="eastAsia" w:ascii="宋体" w:hAnsi="宋体"/>
                <w:bCs/>
              </w:rPr>
              <w:t>（7）投标人不存在第二章“投标人须知”第 1.4.3 项、第 1.4.4项、第 1.4.5 项规定的任何一种情形。</w:t>
            </w:r>
          </w:p>
          <w:p>
            <w:pPr>
              <w:spacing w:line="288" w:lineRule="auto"/>
              <w:ind w:firstLine="386" w:firstLineChars="184"/>
              <w:jc w:val="left"/>
              <w:rPr>
                <w:rFonts w:ascii="宋体" w:hAnsi="宋体"/>
                <w:bCs/>
              </w:rPr>
            </w:pPr>
            <w:r>
              <w:rPr>
                <w:rFonts w:hint="eastAsia" w:ascii="宋体" w:hAnsi="宋体"/>
                <w:bCs/>
              </w:rPr>
              <w:t>（8）投标人符合第二章“投标人须知”第1.4.</w:t>
            </w:r>
            <w:r>
              <w:rPr>
                <w:rFonts w:ascii="宋体" w:hAnsi="宋体"/>
                <w:bCs/>
              </w:rPr>
              <w:t>6</w:t>
            </w:r>
            <w:r>
              <w:rPr>
                <w:rFonts w:hint="eastAsia" w:ascii="宋体" w:hAnsi="宋体"/>
                <w:bCs/>
              </w:rPr>
              <w:t>项规定。</w:t>
            </w:r>
          </w:p>
          <w:p>
            <w:pPr>
              <w:spacing w:line="288" w:lineRule="auto"/>
              <w:ind w:firstLine="386" w:firstLineChars="184"/>
              <w:jc w:val="left"/>
              <w:rPr>
                <w:rFonts w:ascii="宋体" w:hAnsi="宋体"/>
                <w:bCs/>
              </w:rPr>
            </w:pPr>
            <w:r>
              <w:rPr>
                <w:rFonts w:hint="eastAsia" w:ascii="宋体" w:hAnsi="宋体"/>
                <w:bCs/>
              </w:rPr>
              <w:t>（9）以联合体形式参与投标的，联合体各方均未再以自己名义单独或参加其他联合体的投标。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2.2.1</w:t>
            </w:r>
          </w:p>
        </w:tc>
        <w:tc>
          <w:tcPr>
            <w:tcW w:w="1246"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rPr>
              <w:t>分值构成（总分值100分）</w:t>
            </w:r>
          </w:p>
        </w:tc>
        <w:tc>
          <w:tcPr>
            <w:tcW w:w="7106" w:type="dxa"/>
            <w:vAlign w:val="center"/>
          </w:tcPr>
          <w:p>
            <w:pPr>
              <w:spacing w:line="400" w:lineRule="exact"/>
              <w:rPr>
                <w:rFonts w:ascii="宋体" w:hAnsi="宋体" w:cs="宋体"/>
                <w:b/>
                <w:szCs w:val="21"/>
              </w:rPr>
            </w:pPr>
            <w:r>
              <w:rPr>
                <w:rFonts w:hint="eastAsia" w:ascii="宋体" w:hAnsi="宋体" w:cs="宋体"/>
                <w:b/>
                <w:szCs w:val="21"/>
              </w:rPr>
              <w:t>本条修改为：</w:t>
            </w:r>
          </w:p>
          <w:p>
            <w:pPr>
              <w:spacing w:line="400" w:lineRule="exact"/>
              <w:rPr>
                <w:rFonts w:ascii="宋体" w:hAnsi="宋体" w:cs="宋体"/>
                <w:b/>
                <w:szCs w:val="21"/>
              </w:rPr>
            </w:pPr>
            <w:r>
              <w:rPr>
                <w:rFonts w:hint="eastAsia" w:ascii="宋体" w:hAnsi="宋体" w:cs="宋体"/>
                <w:b/>
                <w:szCs w:val="21"/>
              </w:rPr>
              <w:t>第一个信封（商务及技术文件）评分分值构成：</w:t>
            </w:r>
          </w:p>
          <w:p>
            <w:pPr>
              <w:spacing w:line="400" w:lineRule="exact"/>
              <w:ind w:firstLine="386" w:firstLineChars="184"/>
              <w:jc w:val="left"/>
              <w:rPr>
                <w:rFonts w:ascii="宋体" w:hAnsi="宋体" w:cs="宋体"/>
                <w:szCs w:val="21"/>
              </w:rPr>
            </w:pPr>
            <w:r>
              <w:rPr>
                <w:rFonts w:hint="eastAsia" w:ascii="宋体" w:hAnsi="宋体" w:cs="宋体"/>
                <w:szCs w:val="21"/>
              </w:rPr>
              <w:t>（1）承包人建议书：</w:t>
            </w:r>
            <w:r>
              <w:rPr>
                <w:rFonts w:ascii="宋体" w:hAnsi="宋体" w:cs="宋体"/>
                <w:szCs w:val="21"/>
              </w:rPr>
              <w:t>20</w:t>
            </w:r>
            <w:r>
              <w:rPr>
                <w:rFonts w:hint="eastAsia" w:ascii="宋体" w:hAnsi="宋体" w:cs="宋体"/>
                <w:szCs w:val="21"/>
              </w:rPr>
              <w:t>分</w:t>
            </w:r>
          </w:p>
          <w:p>
            <w:pPr>
              <w:spacing w:line="400" w:lineRule="exact"/>
              <w:ind w:firstLine="386" w:firstLineChars="184"/>
              <w:jc w:val="left"/>
              <w:rPr>
                <w:rFonts w:ascii="宋体" w:hAnsi="宋体" w:cs="宋体"/>
                <w:szCs w:val="21"/>
              </w:rPr>
            </w:pPr>
            <w:r>
              <w:rPr>
                <w:rFonts w:hint="eastAsia" w:ascii="宋体" w:hAnsi="宋体" w:cs="宋体"/>
                <w:szCs w:val="21"/>
              </w:rPr>
              <w:t>（2）资信业绩部分：</w:t>
            </w:r>
            <w:r>
              <w:rPr>
                <w:rFonts w:ascii="宋体" w:hAnsi="宋体" w:cs="宋体"/>
                <w:szCs w:val="21"/>
              </w:rPr>
              <w:t>10</w:t>
            </w:r>
            <w:r>
              <w:rPr>
                <w:rFonts w:hint="eastAsia" w:ascii="宋体" w:hAnsi="宋体" w:cs="宋体"/>
                <w:szCs w:val="21"/>
              </w:rPr>
              <w:t>分</w:t>
            </w:r>
          </w:p>
          <w:p>
            <w:pPr>
              <w:spacing w:line="400" w:lineRule="exact"/>
              <w:ind w:firstLine="386" w:firstLineChars="184"/>
              <w:jc w:val="left"/>
              <w:rPr>
                <w:rFonts w:ascii="宋体" w:hAnsi="宋体" w:cs="宋体"/>
                <w:szCs w:val="21"/>
              </w:rPr>
            </w:pPr>
            <w:r>
              <w:rPr>
                <w:rFonts w:hint="eastAsia" w:ascii="宋体" w:hAnsi="宋体" w:cs="宋体"/>
                <w:szCs w:val="21"/>
              </w:rPr>
              <w:t>（3）承包人实施方案：</w:t>
            </w:r>
            <w:r>
              <w:rPr>
                <w:rFonts w:ascii="宋体" w:hAnsi="宋体" w:cs="宋体"/>
                <w:szCs w:val="21"/>
              </w:rPr>
              <w:t>20</w:t>
            </w:r>
            <w:r>
              <w:rPr>
                <w:rFonts w:hint="eastAsia" w:ascii="宋体" w:hAnsi="宋体" w:cs="宋体"/>
                <w:szCs w:val="21"/>
              </w:rPr>
              <w:t>分</w:t>
            </w:r>
          </w:p>
          <w:p>
            <w:pPr>
              <w:spacing w:line="400" w:lineRule="exact"/>
              <w:rPr>
                <w:rFonts w:ascii="宋体" w:hAnsi="宋体" w:cs="宋体"/>
                <w:b/>
                <w:szCs w:val="21"/>
              </w:rPr>
            </w:pPr>
            <w:r>
              <w:rPr>
                <w:rFonts w:hint="eastAsia" w:ascii="宋体" w:hAnsi="宋体" w:cs="宋体"/>
                <w:b/>
                <w:szCs w:val="21"/>
              </w:rPr>
              <w:t>第二个信封（报价文件）评分分值构成：</w:t>
            </w:r>
          </w:p>
          <w:p>
            <w:pPr>
              <w:spacing w:line="288" w:lineRule="auto"/>
              <w:ind w:firstLine="386" w:firstLineChars="184"/>
              <w:jc w:val="left"/>
              <w:rPr>
                <w:rFonts w:asciiTheme="minorEastAsia" w:hAnsiTheme="minorEastAsia" w:eastAsiaTheme="minorEastAsia"/>
              </w:rPr>
            </w:pPr>
            <w:r>
              <w:rPr>
                <w:rFonts w:hint="eastAsia" w:ascii="宋体" w:hAnsi="宋体" w:cs="宋体"/>
                <w:szCs w:val="21"/>
              </w:rPr>
              <w:t>（4）评标价：50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.2.2</w:t>
            </w:r>
          </w:p>
        </w:tc>
        <w:tc>
          <w:tcPr>
            <w:tcW w:w="1246" w:type="dxa"/>
            <w:vAlign w:val="center"/>
          </w:tcPr>
          <w:p>
            <w:pPr>
              <w:adjustRightInd w:val="0"/>
              <w:snapToGrid w:val="0"/>
              <w:spacing w:line="276" w:lineRule="auto"/>
              <w:jc w:val="center"/>
              <w:rPr>
                <w:rFonts w:asciiTheme="minorEastAsia" w:hAnsiTheme="minorEastAsia" w:eastAsiaTheme="minorEastAsia"/>
              </w:rPr>
            </w:pPr>
            <w:r>
              <w:rPr>
                <w:rFonts w:hint="eastAsia" w:asciiTheme="minorEastAsia" w:hAnsiTheme="minorEastAsia" w:eastAsiaTheme="minorEastAsia"/>
              </w:rPr>
              <w:t>评标基准价计算方法</w:t>
            </w:r>
          </w:p>
        </w:tc>
        <w:tc>
          <w:tcPr>
            <w:tcW w:w="7106" w:type="dxa"/>
            <w:vAlign w:val="center"/>
          </w:tcPr>
          <w:p>
            <w:pPr>
              <w:adjustRightInd w:val="0"/>
              <w:snapToGrid w:val="0"/>
              <w:spacing w:line="320" w:lineRule="exact"/>
              <w:rPr>
                <w:rFonts w:ascii="宋体" w:hAnsi="宋体"/>
              </w:rPr>
            </w:pPr>
            <w:r>
              <w:rPr>
                <w:rFonts w:hint="eastAsia" w:ascii="宋体" w:hAnsi="宋体"/>
              </w:rPr>
              <w:t>评标基准价的计算：</w:t>
            </w:r>
          </w:p>
          <w:p>
            <w:pPr>
              <w:snapToGrid w:val="0"/>
              <w:spacing w:line="320" w:lineRule="exact"/>
              <w:ind w:firstLine="420" w:firstLineChars="200"/>
              <w:rPr>
                <w:rFonts w:ascii="宋体" w:hAnsi="宋体"/>
              </w:rPr>
            </w:pPr>
            <w:r>
              <w:rPr>
                <w:rFonts w:hint="eastAsia" w:ascii="宋体" w:hAnsi="宋体"/>
              </w:rPr>
              <w:t>（1）评标价的确定：评标价=投标函文字报价</w:t>
            </w:r>
          </w:p>
          <w:p>
            <w:pPr>
              <w:snapToGrid w:val="0"/>
              <w:spacing w:line="320" w:lineRule="exact"/>
              <w:ind w:firstLine="420" w:firstLineChars="200"/>
              <w:rPr>
                <w:rFonts w:ascii="宋体" w:hAnsi="宋体"/>
              </w:rPr>
            </w:pPr>
            <w:r>
              <w:rPr>
                <w:rFonts w:hint="eastAsia" w:ascii="宋体" w:hAnsi="宋体"/>
              </w:rPr>
              <w:t>（2）评标价平均值的计算：</w:t>
            </w:r>
          </w:p>
          <w:p>
            <w:pPr>
              <w:snapToGrid w:val="0"/>
              <w:spacing w:line="360" w:lineRule="exact"/>
              <w:ind w:firstLine="420" w:firstLineChars="200"/>
              <w:rPr>
                <w:rStyle w:val="9"/>
                <w:szCs w:val="21"/>
              </w:rPr>
            </w:pPr>
            <w:r>
              <w:rPr>
                <w:rStyle w:val="9"/>
                <w:rFonts w:hint="eastAsia" w:ascii="宋体" w:hAnsi="宋体"/>
                <w:szCs w:val="21"/>
              </w:rPr>
              <w:t>除按第二章“投标人须知”第5.2.4项规定开标现场被宣布为不进入评标基准价计算的投标报价之外的投标人评标价，所有投标人的评标价去掉n1个最高评标价和n2个最低评标价后的算术平均值即为评标价平均值：</w:t>
            </w:r>
          </w:p>
          <w:p>
            <w:pPr>
              <w:snapToGrid w:val="0"/>
              <w:spacing w:line="320" w:lineRule="exact"/>
              <w:ind w:firstLine="420" w:firstLineChars="200"/>
              <w:rPr>
                <w:rFonts w:ascii="宋体" w:hAnsi="宋体"/>
              </w:rPr>
            </w:pPr>
            <w:r>
              <w:rPr>
                <w:rStyle w:val="9"/>
                <w:rFonts w:hint="eastAsia" w:ascii="宋体" w:hAnsi="宋体"/>
                <w:szCs w:val="21"/>
              </w:rPr>
              <w:t>注：N为评标价的个数；n1、n2 的取值：当 N﹤6 时，n1、n2 均取0；当6≤N＜10时，n1、n2均取1；当10≤N＜20时，n1、n2均取2；当20≤N＜30，n1、n2均取3；当30≤N≤40，n1、n2均取4；当40≤N≤50，n1、n2均取5；当N≥50, n1、n2均取6。</w:t>
            </w:r>
          </w:p>
          <w:p>
            <w:pPr>
              <w:snapToGrid w:val="0"/>
              <w:spacing w:line="320" w:lineRule="exact"/>
              <w:ind w:firstLine="420" w:firstLineChars="200"/>
            </w:pPr>
            <w:r>
              <w:t>（</w:t>
            </w:r>
            <w:r>
              <w:rPr>
                <w:rFonts w:hint="eastAsia"/>
              </w:rPr>
              <w:t>3</w:t>
            </w:r>
            <w:r>
              <w:t>）</w:t>
            </w:r>
            <w:r>
              <w:rPr>
                <w:rFonts w:hint="eastAsia"/>
              </w:rPr>
              <w:t>评标基准价的确定</w:t>
            </w:r>
          </w:p>
          <w:p>
            <w:pPr>
              <w:snapToGrid w:val="0"/>
              <w:spacing w:line="320" w:lineRule="exact"/>
              <w:ind w:firstLine="420" w:firstLineChars="200"/>
            </w:pPr>
            <w:r>
              <w:rPr>
                <w:rFonts w:hint="eastAsia"/>
              </w:rPr>
              <w:t>将评标价平均值直接作为评标基准价。</w:t>
            </w:r>
          </w:p>
          <w:p>
            <w:pPr>
              <w:snapToGrid w:val="0"/>
              <w:spacing w:line="320" w:lineRule="exact"/>
              <w:ind w:firstLine="420" w:firstLineChars="200"/>
            </w:pPr>
            <w:r>
              <w:rPr>
                <w:rFonts w:hint="eastAsia"/>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firstLine="420" w:firstLineChars="200"/>
              <w:rPr>
                <w:rFonts w:asciiTheme="minorEastAsia" w:hAnsiTheme="minorEastAsia" w:eastAsiaTheme="minorEastAsia"/>
                <w:szCs w:val="21"/>
              </w:rPr>
            </w:pPr>
            <w:r>
              <w:rPr>
                <w:rFonts w:hint="eastAsia"/>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2.2.3</w:t>
            </w:r>
          </w:p>
        </w:tc>
        <w:tc>
          <w:tcPr>
            <w:tcW w:w="1246" w:type="dxa"/>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评标价</w:t>
            </w:r>
            <w:r>
              <w:rPr>
                <w:rFonts w:asciiTheme="minorEastAsia" w:hAnsiTheme="minorEastAsia" w:eastAsiaTheme="minorEastAsia"/>
                <w:szCs w:val="21"/>
              </w:rPr>
              <w:t>的偏差率</w:t>
            </w:r>
            <w:r>
              <w:rPr>
                <w:rFonts w:hint="eastAsia" w:asciiTheme="minorEastAsia" w:hAnsiTheme="minorEastAsia" w:eastAsiaTheme="minorEastAsia"/>
                <w:szCs w:val="21"/>
              </w:rPr>
              <w:t>计算公式</w:t>
            </w:r>
          </w:p>
        </w:tc>
        <w:tc>
          <w:tcPr>
            <w:tcW w:w="7106" w:type="dxa"/>
            <w:vAlign w:val="center"/>
          </w:tcPr>
          <w:p>
            <w:pPr>
              <w:spacing w:line="320" w:lineRule="exact"/>
              <w:rPr>
                <w:rFonts w:asciiTheme="minorEastAsia" w:hAnsiTheme="minorEastAsia" w:eastAsiaTheme="minorEastAsia"/>
              </w:rPr>
            </w:pPr>
            <w:r>
              <w:rPr>
                <w:rFonts w:hint="eastAsia" w:asciiTheme="minorEastAsia" w:hAnsiTheme="minorEastAsia" w:eastAsiaTheme="minorEastAsia"/>
                <w:szCs w:val="21"/>
              </w:rPr>
              <w:t>偏差率</w:t>
            </w:r>
            <w:r>
              <w:rPr>
                <w:rFonts w:asciiTheme="minorEastAsia" w:hAnsiTheme="minorEastAsia" w:eastAsiaTheme="minorEastAsia"/>
                <w:szCs w:val="21"/>
              </w:rPr>
              <w:t>=100%×（</w:t>
            </w:r>
            <w:r>
              <w:rPr>
                <w:rFonts w:hint="eastAsia" w:asciiTheme="minorEastAsia" w:hAnsiTheme="minorEastAsia" w:eastAsiaTheme="minorEastAsia"/>
                <w:szCs w:val="21"/>
              </w:rPr>
              <w:t>评标价－</w:t>
            </w:r>
            <w:r>
              <w:rPr>
                <w:rFonts w:asciiTheme="minorEastAsia" w:hAnsiTheme="minorEastAsia" w:eastAsiaTheme="minorEastAsia"/>
                <w:szCs w:val="21"/>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.2.4</w:t>
            </w:r>
          </w:p>
        </w:tc>
        <w:tc>
          <w:tcPr>
            <w:tcW w:w="1246"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评分标准</w:t>
            </w:r>
          </w:p>
        </w:tc>
        <w:tc>
          <w:tcPr>
            <w:tcW w:w="7106" w:type="dxa"/>
            <w:vAlign w:val="center"/>
          </w:tcPr>
          <w:p>
            <w:pPr>
              <w:snapToGrid w:val="0"/>
              <w:spacing w:line="320" w:lineRule="exact"/>
              <w:ind w:firstLine="2"/>
            </w:pPr>
            <w:r>
              <w:rPr>
                <w:rFonts w:hint="eastAsia"/>
              </w:rPr>
              <w:t>（1）承包人建议书标准：见本表后具体评分标准；</w:t>
            </w:r>
          </w:p>
          <w:p>
            <w:pPr>
              <w:snapToGrid w:val="0"/>
              <w:spacing w:line="320" w:lineRule="exact"/>
              <w:ind w:firstLine="2"/>
            </w:pPr>
            <w:r>
              <w:rPr>
                <w:rFonts w:hint="eastAsia"/>
              </w:rPr>
              <w:t>（2）承包人实施方案标准：见本表后具体评分标准；</w:t>
            </w:r>
          </w:p>
          <w:p>
            <w:pPr>
              <w:snapToGrid w:val="0"/>
              <w:spacing w:line="320" w:lineRule="exact"/>
              <w:ind w:firstLine="2"/>
            </w:pPr>
            <w:r>
              <w:rPr>
                <w:rFonts w:hint="eastAsia"/>
              </w:rPr>
              <w:t>（3）资信业绩部分标准：见本表后具体评分标准；</w:t>
            </w:r>
          </w:p>
          <w:p>
            <w:pPr>
              <w:snapToGrid w:val="0"/>
              <w:spacing w:line="320" w:lineRule="exact"/>
              <w:ind w:firstLine="2"/>
            </w:pPr>
            <w:r>
              <w:rPr>
                <w:rFonts w:hint="eastAsia"/>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48"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1246" w:type="dxa"/>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评标程序</w:t>
            </w:r>
          </w:p>
        </w:tc>
        <w:tc>
          <w:tcPr>
            <w:tcW w:w="7106" w:type="dxa"/>
            <w:vAlign w:val="center"/>
          </w:tcPr>
          <w:p>
            <w:pPr>
              <w:tabs>
                <w:tab w:val="left" w:pos="3060"/>
              </w:tabs>
              <w:snapToGrid w:val="0"/>
              <w:spacing w:line="288" w:lineRule="auto"/>
              <w:rPr>
                <w:rFonts w:asciiTheme="minorEastAsia" w:hAnsiTheme="minorEastAsia" w:eastAsiaTheme="minorEastAsia"/>
                <w:szCs w:val="21"/>
              </w:rPr>
            </w:pPr>
            <w:r>
              <w:rPr>
                <w:rFonts w:hint="eastAsia" w:asciiTheme="minorEastAsia" w:hAnsiTheme="minorEastAsia" w:eastAsiaTheme="minorEastAsia"/>
                <w:szCs w:val="21"/>
              </w:rPr>
              <w:t>本项修改为：</w:t>
            </w:r>
          </w:p>
          <w:p>
            <w:pPr>
              <w:snapToGrid w:val="0"/>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3. 评标程序</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3.1 第一个信封初步评审</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3.1.1 评标委员会可以要求投标人提交第二章“投标人须知”第 3.5.1 项至第 3.5.6 项规定的有关证明和证件的原件，以便核验。评标委员会依据本章第2.1 款规定的标准对投标文件第一个信封（商务文件）进行初步评审。有一项不符合评审标准的，评标委员会应否决其投标。</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3.2 第一个信封详细评审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3.2.1 评标委员会按本章第 2.2 款规定的量化因素和分值进行打分，并计算出各投标人的商务和技术得分。</w:t>
            </w:r>
          </w:p>
          <w:p>
            <w:pPr>
              <w:snapToGrid w:val="0"/>
              <w:spacing w:line="288"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商务部分详细评审：</w:t>
            </w:r>
            <w:r>
              <w:rPr>
                <w:rFonts w:hint="eastAsia" w:asciiTheme="minorEastAsia" w:hAnsiTheme="minorEastAsia" w:eastAsiaTheme="minorEastAsia"/>
                <w:szCs w:val="21"/>
              </w:rPr>
              <w:t>按本章第2.2.4（</w:t>
            </w:r>
            <w:r>
              <w:rPr>
                <w:rFonts w:asciiTheme="minorEastAsia" w:hAnsiTheme="minorEastAsia" w:eastAsiaTheme="minorEastAsia"/>
                <w:szCs w:val="21"/>
              </w:rPr>
              <w:t>2</w:t>
            </w:r>
            <w:r>
              <w:rPr>
                <w:rFonts w:hint="eastAsia" w:asciiTheme="minorEastAsia" w:hAnsiTheme="minorEastAsia" w:eastAsiaTheme="minorEastAsia"/>
                <w:szCs w:val="21"/>
              </w:rPr>
              <w:t>）目规定的评审因素和分值对资信业绩部分计算出得分</w:t>
            </w:r>
            <w:r>
              <w:rPr>
                <w:rFonts w:asciiTheme="minorEastAsia" w:hAnsiTheme="minorEastAsia" w:eastAsiaTheme="minorEastAsia"/>
                <w:szCs w:val="21"/>
              </w:rPr>
              <w:t>A</w:t>
            </w:r>
            <w:r>
              <w:rPr>
                <w:rFonts w:hint="eastAsia" w:asciiTheme="minorEastAsia" w:hAnsiTheme="minorEastAsia" w:eastAsiaTheme="minorEastAsia"/>
                <w:szCs w:val="21"/>
              </w:rPr>
              <w:t>；</w:t>
            </w:r>
          </w:p>
          <w:p>
            <w:pPr>
              <w:snapToGrid w:val="0"/>
              <w:spacing w:line="288" w:lineRule="auto"/>
              <w:ind w:firstLine="422" w:firstLineChars="200"/>
              <w:rPr>
                <w:rFonts w:asciiTheme="minorEastAsia" w:hAnsiTheme="minorEastAsia" w:eastAsiaTheme="minorEastAsia"/>
                <w:szCs w:val="21"/>
              </w:rPr>
            </w:pPr>
            <w:r>
              <w:rPr>
                <w:rFonts w:hint="eastAsia"/>
                <w:b/>
                <w:bCs/>
              </w:rPr>
              <w:t>技术部分（暗标）详细评审：</w:t>
            </w:r>
            <w:r>
              <w:rPr>
                <w:rFonts w:hint="eastAsia" w:asciiTheme="minorEastAsia" w:hAnsiTheme="minorEastAsia" w:eastAsiaTheme="minorEastAsia"/>
                <w:szCs w:val="21"/>
              </w:rPr>
              <w:t>按本章第2.2.4（</w:t>
            </w:r>
            <w:r>
              <w:rPr>
                <w:rFonts w:asciiTheme="minorEastAsia" w:hAnsiTheme="minorEastAsia" w:eastAsiaTheme="minorEastAsia"/>
                <w:szCs w:val="21"/>
              </w:rPr>
              <w:t>1</w:t>
            </w:r>
            <w:r>
              <w:rPr>
                <w:rFonts w:hint="eastAsia" w:asciiTheme="minorEastAsia" w:hAnsiTheme="minorEastAsia" w:eastAsiaTheme="minorEastAsia"/>
                <w:szCs w:val="21"/>
              </w:rPr>
              <w:t>）目规定的评审因素和分值对承包人建议书和承包人实施方案（暗标）计算出得分</w:t>
            </w:r>
            <w:r>
              <w:rPr>
                <w:rFonts w:asciiTheme="minorEastAsia" w:hAnsiTheme="minorEastAsia" w:eastAsiaTheme="minorEastAsia"/>
                <w:szCs w:val="21"/>
              </w:rPr>
              <w:t>B</w:t>
            </w:r>
            <w:r>
              <w:rPr>
                <w:rFonts w:hint="eastAsia" w:asciiTheme="minorEastAsia" w:hAnsiTheme="minorEastAsia" w:eastAsiaTheme="minorEastAsia"/>
                <w:szCs w:val="21"/>
              </w:rPr>
              <w:t>；承包人建议书和承包人实施方案（暗标）不符合招标文件第二章“投标人须知”第</w:t>
            </w:r>
            <w:r>
              <w:rPr>
                <w:rFonts w:asciiTheme="minorEastAsia" w:hAnsiTheme="minorEastAsia" w:eastAsiaTheme="minorEastAsia"/>
                <w:szCs w:val="21"/>
              </w:rPr>
              <w:t>9</w:t>
            </w:r>
            <w:r>
              <w:rPr>
                <w:rFonts w:hint="eastAsia" w:asciiTheme="minorEastAsia" w:hAnsiTheme="minorEastAsia" w:eastAsiaTheme="minorEastAsia"/>
                <w:szCs w:val="21"/>
              </w:rPr>
              <w:t>.2款的规定的，评标委员会应否决其投标。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3.2.2 投标人的商务和技术得分分值计算保留小数点后两位，小数点后第三位 “四舍五入”。</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3.2.3 投标人的商务和技术得分=</w:t>
            </w:r>
            <w:r>
              <w:rPr>
                <w:rFonts w:hint="eastAsia"/>
              </w:rPr>
              <w:t xml:space="preserve"> A+B</w:t>
            </w:r>
            <w:r>
              <w:rPr>
                <w:rFonts w:hint="eastAsia" w:asciiTheme="minorEastAsia" w:hAnsiTheme="minorEastAsia" w:eastAsiaTheme="minorEastAsia"/>
                <w:szCs w:val="21"/>
              </w:rPr>
              <w:t>。</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3.3 第二个信封开标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3.4 第二个信封初步评审</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(1)投标文件中的大写金额与小写金额不一致的，以大写金额为准；</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(2)总价金额与依据单价计算出的结果不一致的，以单价金额为准修正总价，但单价金额小数点有明显错误的除外；</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(3)当单价与数量相乘不等于合价时，以单价计算为准，如果单价有明显的小数点位置差错，应以标出的合价为准，同时对单价予以修正；</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(4)当各子目的合价累计不等于总价时，应以各子目合价累计数为准，修正总价。</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3.4.3修正后的最终投标报价若超过最高投标限价，评标委员会应否决其投标。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3.4.4修正后的最终投标报价仅作为签订合同的一个依据，不参与评标价得分的计算。</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3.5 第二个信封详细评审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3.5.1 评标委员会按本章第 2.2.4（</w:t>
            </w:r>
            <w:r>
              <w:rPr>
                <w:rFonts w:asciiTheme="minorEastAsia" w:hAnsiTheme="minorEastAsia" w:eastAsiaTheme="minorEastAsia"/>
                <w:szCs w:val="21"/>
              </w:rPr>
              <w:t>3</w:t>
            </w:r>
            <w:r>
              <w:rPr>
                <w:rFonts w:hint="eastAsia" w:asciiTheme="minorEastAsia" w:hAnsiTheme="minorEastAsia" w:eastAsiaTheme="minorEastAsia"/>
                <w:szCs w:val="21"/>
              </w:rPr>
              <w:t xml:space="preserve">）目规定的评审因素和分值对评标价计算出得分C。评标价得分分值计算保留小数点后两位，小数点后第三位“四舍五入”。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3.5.2 投标人综合得分=A+B+C。</w:t>
            </w:r>
          </w:p>
          <w:p>
            <w:pPr>
              <w:snapToGrid w:val="0"/>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32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6</w:t>
            </w:r>
            <w:r>
              <w:rPr>
                <w:rFonts w:hint="eastAsia" w:asciiTheme="minorEastAsia" w:hAnsiTheme="minorEastAsia" w:eastAsiaTheme="minorEastAsia"/>
                <w:b/>
                <w:szCs w:val="21"/>
              </w:rPr>
              <w:t xml:space="preserve"> 投标文件相关信息的核查</w:t>
            </w:r>
          </w:p>
          <w:p>
            <w:pPr>
              <w:autoSpaceDE w:val="0"/>
              <w:autoSpaceDN w:val="0"/>
              <w:snapToGrid w:val="0"/>
              <w:spacing w:line="320" w:lineRule="exact"/>
              <w:ind w:firstLine="420" w:firstLineChars="200"/>
              <w:rPr>
                <w:rFonts w:ascii="宋体" w:hAnsi="宋体"/>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.1</w:t>
            </w:r>
            <w:r>
              <w:rPr>
                <w:rFonts w:hint="eastAsia" w:ascii="宋体" w:hAnsi="宋体"/>
                <w:b/>
              </w:rPr>
              <w:t>在评标过程中，评标委员会应对投标人以下信息进行查询：</w:t>
            </w:r>
          </w:p>
          <w:p>
            <w:pPr>
              <w:autoSpaceDE w:val="0"/>
              <w:autoSpaceDN w:val="0"/>
              <w:snapToGrid w:val="0"/>
              <w:spacing w:line="320" w:lineRule="exact"/>
              <w:ind w:firstLine="420" w:firstLineChars="200"/>
              <w:rPr>
                <w:rFonts w:ascii="宋体" w:hAnsi="宋体"/>
              </w:rPr>
            </w:pPr>
            <w:r>
              <w:rPr>
                <w:rFonts w:hint="eastAsia" w:ascii="宋体" w:hAnsi="宋体"/>
              </w:rPr>
              <w:t>（1）投标人名称和资质与“全国公路建设市场信用信息管理系统（http://glxy.mot.gov.cn/）”的复核结果一致（以联合体形式投标的，承担设计、施工任务的联合体成员，工程设计综合甲级资质不适用）；</w:t>
            </w:r>
          </w:p>
          <w:p>
            <w:pPr>
              <w:autoSpaceDE w:val="0"/>
              <w:autoSpaceDN w:val="0"/>
              <w:snapToGrid w:val="0"/>
              <w:spacing w:line="320" w:lineRule="exact"/>
              <w:ind w:firstLine="420" w:firstLineChars="200"/>
              <w:rPr>
                <w:rFonts w:ascii="宋体" w:hAnsi="宋体"/>
              </w:rPr>
            </w:pPr>
            <w:r>
              <w:rPr>
                <w:rFonts w:hint="eastAsia" w:ascii="宋体" w:hAnsi="宋体"/>
              </w:rPr>
              <w:t>（2）投标人信用情况网页截图内容与在“国家企业信用信息公示系统”中严重违法失信企业名单（不含分公司，事业单位投标人不适用）或在“信用中国”网站中失信被执行人名单、经营异常名录、重大税收违法失信主体名单、政府采购严重违法失信名单（均不含分公司）的复核结果一致。</w:t>
            </w:r>
          </w:p>
          <w:p>
            <w:pPr>
              <w:autoSpaceDE w:val="0"/>
              <w:autoSpaceDN w:val="0"/>
              <w:snapToGrid w:val="0"/>
              <w:spacing w:line="320" w:lineRule="exact"/>
              <w:ind w:firstLine="420" w:firstLineChars="200"/>
              <w:rPr>
                <w:rFonts w:ascii="宋体" w:hAnsi="宋体"/>
              </w:rPr>
            </w:pPr>
            <w:r>
              <w:rPr>
                <w:rFonts w:hint="eastAsia" w:ascii="宋体" w:hAnsi="宋体"/>
              </w:rPr>
              <w:t>（3）投标人所附“近年完成的类似项目”业绩（</w:t>
            </w:r>
            <w:r>
              <w:rPr>
                <w:rFonts w:hint="eastAsia" w:ascii="宋体" w:hAnsi="宋体" w:cs="宋体"/>
              </w:rPr>
              <w:t>研发业绩除外</w:t>
            </w:r>
            <w:r>
              <w:rPr>
                <w:rFonts w:hint="eastAsia" w:ascii="宋体" w:hAnsi="宋体"/>
              </w:rPr>
              <w:t>）详细信息网页截图复印件与“全国公路建设市场信用信息管理系统（http://glxy.mot.gov.cn/）”的复核结果一致；投标人所附设计负责人、施工负责人业绩的网页截图复印件与全国公路建设市场信用信息管理系统（http://glxy.mot.gov.cn/）的复核结果一致；</w:t>
            </w:r>
          </w:p>
          <w:p>
            <w:pPr>
              <w:autoSpaceDE w:val="0"/>
              <w:autoSpaceDN w:val="0"/>
              <w:snapToGrid w:val="0"/>
              <w:spacing w:line="320" w:lineRule="exact"/>
              <w:ind w:firstLine="420" w:firstLineChars="200"/>
              <w:rPr>
                <w:rFonts w:ascii="宋体" w:hAnsi="宋体"/>
              </w:rPr>
            </w:pPr>
            <w:r>
              <w:rPr>
                <w:rFonts w:hint="eastAsia" w:ascii="宋体" w:hAnsi="宋体"/>
              </w:rPr>
              <w:t>（4）投标人所附施工负责人一级注册建造师信息的网页截图复印件与“全国建筑市场监管公共服务平台（http://jzsc.mohurd.gov.cn/）”核查的结果一致。所附施工负责人的安全生产考核合格证的网页截图复印件与“交通运输部公路水运工程企业负责人和安全生产管理人员信息公共平台查询网站（http://219.143.235.78:8080/khglui/）”核查的结果一致。</w:t>
            </w:r>
          </w:p>
          <w:p>
            <w:pPr>
              <w:autoSpaceDE w:val="0"/>
              <w:autoSpaceDN w:val="0"/>
              <w:spacing w:line="273" w:lineRule="auto"/>
              <w:ind w:firstLine="420" w:firstLineChars="200"/>
              <w:rPr>
                <w:rFonts w:ascii="宋体" w:hAnsi="宋体"/>
              </w:rPr>
            </w:pPr>
            <w:r>
              <w:rPr>
                <w:rFonts w:hint="eastAsia" w:ascii="宋体" w:hAnsi="宋体"/>
              </w:rPr>
              <w:t>前述（1）、（2）、（3）、（4）项如投标人未提供相关网页截图或所附截图与复核结果不一致导致不能满足资格评审要求的，评标委员会应否决其投标。</w:t>
            </w:r>
          </w:p>
          <w:p>
            <w:pPr>
              <w:autoSpaceDE w:val="0"/>
              <w:autoSpaceDN w:val="0"/>
              <w:snapToGrid w:val="0"/>
              <w:spacing w:line="320" w:lineRule="exact"/>
              <w:ind w:firstLine="420" w:firstLineChars="200"/>
              <w:rPr>
                <w:rFonts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snapToGrid w:val="0"/>
              <w:spacing w:line="320" w:lineRule="exact"/>
              <w:ind w:firstLine="420" w:firstLineChars="200"/>
              <w:rPr>
                <w:rFonts w:ascii="宋体" w:hAnsi="宋体"/>
              </w:rPr>
            </w:pPr>
            <w:r>
              <w:rPr>
                <w:rFonts w:hint="eastAsia" w:ascii="宋体" w:hAnsi="宋体"/>
              </w:rPr>
              <w:t>（5）</w:t>
            </w:r>
            <w:r>
              <w:rPr>
                <w:rFonts w:hint="eastAsia"/>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（1）有下列情形之一的，属于投标人相互串通投标：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a.投标人之间协商投标报价等投标文件的实质性内容；</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b.投标人之间约定中标人；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c.投标人之间约定部分投标人放弃投标或中标；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d.属于同一集团、协会、商会等组织成员的投标人按照该组织要求协同投标；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e.投标人之间为谋取中标或排斥特定投标人而采取的其他联合行动。</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（2）有下列情形之一的，视为投标人相互串通投标：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a.不同投标人的投标文件由同一单位或个人编制；</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b.不同投标人委托同一单位或个人办理投标事宜；</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c.不同投标人的投标文件载明的项目管理成员为同一人；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d.不同投标人的投标文件异常一致或投标报价呈规律性差异；</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e.不同投标人的投标文件相互混装；</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f.不同投标人的投标保证金从同一单位或个人的账户转出；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（3）有下列情形之一的，属于招标人与投标人串通投标：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a.招标人在开标前开启投标文件并将有关信息泄露给其他投标人;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b.招标人直接或间接向投标人泄露标底、评标委员会成员等信息；</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c.招标人明示或暗示投标人压低或抬高投标报价；</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d.招标人授意投标人撤换、修改投标文件；</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e.招标人明示或暗示投标人为特定投标人中标提供方便；</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f.招标人与投标人为谋求特定投标人中标而采取的其他串通行为。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（4）投标人有下列情形之一的，属于弄虚作假的行为：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a.使用通过受让或租借等方式获取的资格、资质证书投标；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b.使用伪造、变造的许可证件；</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c.提供虚假的财务状况或业绩；</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d.提供虚假的项目负责人或主要技术人员简历、劳动关系证明；</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e.提供虚假的信用状况；</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f.其他弄虚作假的行为。</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7</w:t>
            </w:r>
            <w:r>
              <w:rPr>
                <w:rFonts w:hint="eastAsia" w:asciiTheme="minorEastAsia" w:hAnsiTheme="minorEastAsia" w:eastAsiaTheme="minorEastAsia"/>
                <w:b/>
                <w:szCs w:val="21"/>
              </w:rPr>
              <w:t xml:space="preserve"> 投标文件的澄清和说明</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3.7.2 澄清和说明不得超出投标文件的范围或改变投标文件的实质性内容。投标人的书面澄清、说明属于投标文件的组成部分。</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 凡超出招标文件规定的或给发包人带来未曾要求的利益的变化、偏差或其他因素在评标时不予考虑。</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8</w:t>
            </w:r>
            <w:r>
              <w:rPr>
                <w:rFonts w:hint="eastAsia" w:asciiTheme="minorEastAsia" w:hAnsiTheme="minorEastAsia" w:eastAsiaTheme="minorEastAsia"/>
                <w:b/>
                <w:szCs w:val="21"/>
              </w:rPr>
              <w:t>不得否决投标的情形</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9</w:t>
            </w:r>
            <w:r>
              <w:rPr>
                <w:rFonts w:hint="eastAsia" w:asciiTheme="minorEastAsia" w:hAnsiTheme="minorEastAsia" w:eastAsiaTheme="minorEastAsia"/>
                <w:b/>
                <w:szCs w:val="21"/>
              </w:rPr>
              <w:t xml:space="preserve"> 评标结果</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3.9.1 除第二章“投标人须知”前附表授权直接确定中标人外，评标委员会按照综合得分由高到低的顺序推荐中标候选人，并标明排序。</w:t>
            </w:r>
          </w:p>
          <w:p>
            <w:pPr>
              <w:snapToGrid w:val="0"/>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3.9.2 评标委员会完成评标后，应向招标人提交书面评标报告。</w:t>
            </w:r>
          </w:p>
        </w:tc>
      </w:tr>
    </w:tbl>
    <w:p>
      <w:pPr>
        <w:spacing w:line="320" w:lineRule="exact"/>
        <w:jc w:val="left"/>
        <w:rPr>
          <w:rFonts w:asciiTheme="minorEastAsia" w:hAnsiTheme="minorEastAsia" w:eastAsiaTheme="minorEastAsia"/>
          <w:sz w:val="24"/>
        </w:rPr>
      </w:pP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widowControl/>
        <w:spacing w:after="120" w:afterLines="50"/>
        <w:jc w:val="left"/>
        <w:rPr>
          <w:rFonts w:asciiTheme="minorEastAsia" w:hAnsiTheme="minorEastAsia" w:eastAsiaTheme="minorEastAsia"/>
        </w:rPr>
      </w:pPr>
      <w:r>
        <w:rPr>
          <w:rFonts w:hint="eastAsia" w:asciiTheme="minorEastAsia" w:hAnsiTheme="minorEastAsia" w:eastAsiaTheme="minorEastAsia"/>
          <w:szCs w:val="21"/>
        </w:rPr>
        <w:t>具体评分标准如下：</w:t>
      </w:r>
    </w:p>
    <w:tbl>
      <w:tblPr>
        <w:tblStyle w:val="7"/>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876"/>
        <w:gridCol w:w="779"/>
        <w:gridCol w:w="1152"/>
        <w:gridCol w:w="670"/>
        <w:gridCol w:w="4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2437" w:type="pct"/>
            <w:gridSpan w:val="5"/>
            <w:vAlign w:val="center"/>
          </w:tcPr>
          <w:p>
            <w:pPr>
              <w:snapToGrid w:val="0"/>
              <w:jc w:val="center"/>
              <w:rPr>
                <w:rFonts w:ascii="宋体" w:hAnsi="宋体" w:cs="宋体"/>
                <w:szCs w:val="21"/>
              </w:rPr>
            </w:pPr>
            <w:r>
              <w:rPr>
                <w:rFonts w:hint="eastAsia" w:ascii="宋体" w:hAnsi="宋体" w:cs="宋体"/>
                <w:szCs w:val="21"/>
              </w:rPr>
              <w:t>评分因素与权重分值</w:t>
            </w:r>
          </w:p>
        </w:tc>
        <w:tc>
          <w:tcPr>
            <w:tcW w:w="2563" w:type="pct"/>
            <w:vMerge w:val="restart"/>
            <w:vAlign w:val="center"/>
          </w:tcPr>
          <w:p>
            <w:pPr>
              <w:snapToGrid w:val="0"/>
              <w:jc w:val="center"/>
              <w:rPr>
                <w:rFonts w:ascii="宋体" w:hAnsi="宋体" w:cs="宋体"/>
                <w:szCs w:val="21"/>
              </w:rPr>
            </w:pPr>
            <w:r>
              <w:rPr>
                <w:rFonts w:hint="eastAsia" w:ascii="宋体" w:hAnsi="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blHeader/>
          <w:jc w:val="center"/>
        </w:trPr>
        <w:tc>
          <w:tcPr>
            <w:tcW w:w="400" w:type="pct"/>
            <w:vAlign w:val="center"/>
          </w:tcPr>
          <w:p>
            <w:pPr>
              <w:snapToGrid w:val="0"/>
              <w:jc w:val="center"/>
              <w:rPr>
                <w:rFonts w:ascii="宋体" w:hAnsi="宋体" w:cs="宋体"/>
                <w:szCs w:val="21"/>
              </w:rPr>
            </w:pPr>
            <w:r>
              <w:rPr>
                <w:rFonts w:hint="eastAsia" w:ascii="宋体" w:hAnsi="宋体" w:cs="宋体"/>
                <w:szCs w:val="21"/>
              </w:rPr>
              <w:t>条款号</w:t>
            </w:r>
          </w:p>
        </w:tc>
        <w:tc>
          <w:tcPr>
            <w:tcW w:w="513" w:type="pct"/>
            <w:vAlign w:val="center"/>
          </w:tcPr>
          <w:p>
            <w:pPr>
              <w:snapToGrid w:val="0"/>
              <w:jc w:val="center"/>
              <w:rPr>
                <w:rFonts w:ascii="宋体" w:hAnsi="宋体" w:cs="宋体"/>
                <w:szCs w:val="21"/>
              </w:rPr>
            </w:pPr>
            <w:r>
              <w:rPr>
                <w:rFonts w:hint="eastAsia" w:ascii="宋体" w:hAnsi="宋体" w:cs="宋体"/>
                <w:szCs w:val="21"/>
              </w:rPr>
              <w:t>评分因素</w:t>
            </w:r>
          </w:p>
        </w:tc>
        <w:tc>
          <w:tcPr>
            <w:tcW w:w="457" w:type="pct"/>
            <w:vAlign w:val="center"/>
          </w:tcPr>
          <w:p>
            <w:pPr>
              <w:snapToGrid w:val="0"/>
              <w:jc w:val="center"/>
              <w:rPr>
                <w:rFonts w:ascii="宋体" w:hAnsi="宋体" w:cs="宋体"/>
                <w:szCs w:val="21"/>
              </w:rPr>
            </w:pPr>
            <w:r>
              <w:rPr>
                <w:rFonts w:hint="eastAsia" w:ascii="宋体" w:hAnsi="宋体" w:cs="宋体"/>
                <w:szCs w:val="21"/>
              </w:rPr>
              <w:t>评分因素权重分值</w:t>
            </w:r>
          </w:p>
        </w:tc>
        <w:tc>
          <w:tcPr>
            <w:tcW w:w="673" w:type="pct"/>
            <w:vAlign w:val="center"/>
          </w:tcPr>
          <w:p>
            <w:pPr>
              <w:snapToGrid w:val="0"/>
              <w:jc w:val="center"/>
              <w:rPr>
                <w:rFonts w:ascii="宋体" w:hAnsi="宋体" w:cs="宋体"/>
                <w:szCs w:val="21"/>
              </w:rPr>
            </w:pPr>
            <w:r>
              <w:rPr>
                <w:rFonts w:hint="eastAsia" w:ascii="宋体" w:hAnsi="宋体" w:cs="宋体"/>
                <w:smallCaps/>
                <w:szCs w:val="21"/>
              </w:rPr>
              <w:t>各评分因素细分项</w:t>
            </w:r>
          </w:p>
        </w:tc>
        <w:tc>
          <w:tcPr>
            <w:tcW w:w="394" w:type="pct"/>
            <w:vAlign w:val="center"/>
          </w:tcPr>
          <w:p>
            <w:pPr>
              <w:snapToGrid w:val="0"/>
              <w:jc w:val="center"/>
              <w:rPr>
                <w:rFonts w:ascii="宋体" w:hAnsi="宋体" w:cs="宋体"/>
                <w:szCs w:val="21"/>
              </w:rPr>
            </w:pPr>
            <w:r>
              <w:rPr>
                <w:rFonts w:hint="eastAsia" w:ascii="宋体" w:hAnsi="宋体" w:cs="宋体"/>
                <w:szCs w:val="21"/>
              </w:rPr>
              <w:t>分值</w:t>
            </w:r>
          </w:p>
        </w:tc>
        <w:tc>
          <w:tcPr>
            <w:tcW w:w="2563" w:type="pct"/>
            <w:vMerge w:val="continue"/>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00" w:type="pct"/>
            <w:vMerge w:val="restart"/>
            <w:vAlign w:val="center"/>
          </w:tcPr>
          <w:p>
            <w:pPr>
              <w:snapToGrid w:val="0"/>
              <w:jc w:val="center"/>
              <w:rPr>
                <w:rFonts w:ascii="宋体" w:hAnsi="宋体" w:cs="宋体"/>
                <w:szCs w:val="21"/>
              </w:rPr>
            </w:pPr>
            <w:r>
              <w:rPr>
                <w:rFonts w:hint="eastAsia" w:ascii="宋体" w:hAnsi="宋体" w:cs="宋体"/>
                <w:szCs w:val="21"/>
              </w:rPr>
              <w:t>2.2.4（1）</w:t>
            </w:r>
          </w:p>
        </w:tc>
        <w:tc>
          <w:tcPr>
            <w:tcW w:w="513" w:type="pct"/>
            <w:vMerge w:val="restart"/>
            <w:vAlign w:val="center"/>
          </w:tcPr>
          <w:p>
            <w:pPr>
              <w:snapToGrid w:val="0"/>
              <w:jc w:val="center"/>
              <w:rPr>
                <w:rFonts w:ascii="宋体" w:hAnsi="宋体" w:cs="宋体"/>
                <w:b/>
                <w:bCs/>
                <w:szCs w:val="21"/>
              </w:rPr>
            </w:pPr>
            <w:r>
              <w:rPr>
                <w:rFonts w:hint="eastAsia" w:ascii="宋体" w:hAnsi="宋体" w:cs="宋体"/>
                <w:szCs w:val="21"/>
              </w:rPr>
              <w:t>承包人建议书</w:t>
            </w:r>
            <w:r>
              <w:rPr>
                <w:rFonts w:hint="eastAsia" w:ascii="宋体" w:hAnsi="宋体" w:cs="宋体"/>
                <w:b/>
                <w:bCs/>
                <w:szCs w:val="21"/>
              </w:rPr>
              <w:t>（暗标）</w:t>
            </w:r>
          </w:p>
        </w:tc>
        <w:tc>
          <w:tcPr>
            <w:tcW w:w="457" w:type="pct"/>
            <w:vMerge w:val="restart"/>
            <w:vAlign w:val="center"/>
          </w:tcPr>
          <w:p>
            <w:pPr>
              <w:snapToGrid w:val="0"/>
              <w:ind w:left="-103" w:leftChars="-49"/>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673" w:type="pct"/>
            <w:vAlign w:val="center"/>
          </w:tcPr>
          <w:p>
            <w:pPr>
              <w:snapToGrid w:val="0"/>
              <w:jc w:val="center"/>
              <w:rPr>
                <w:rFonts w:ascii="宋体" w:hAnsi="宋体" w:cs="宋体"/>
                <w:szCs w:val="21"/>
              </w:rPr>
            </w:pPr>
            <w:r>
              <w:rPr>
                <w:rFonts w:hint="eastAsia" w:ascii="宋体" w:hAnsi="宋体" w:cs="宋体"/>
                <w:szCs w:val="21"/>
              </w:rPr>
              <w:t>项目研发方案</w:t>
            </w:r>
          </w:p>
        </w:tc>
        <w:tc>
          <w:tcPr>
            <w:tcW w:w="394" w:type="pct"/>
            <w:vAlign w:val="center"/>
          </w:tcPr>
          <w:p>
            <w:pPr>
              <w:snapToGrid w:val="0"/>
              <w:jc w:val="center"/>
              <w:rPr>
                <w:rFonts w:ascii="宋体" w:hAnsi="宋体" w:cs="宋体"/>
                <w:szCs w:val="21"/>
              </w:rPr>
            </w:pPr>
            <w:r>
              <w:rPr>
                <w:rFonts w:ascii="宋体" w:hAnsi="宋体" w:cs="宋体"/>
                <w:szCs w:val="21"/>
              </w:rPr>
              <w:t>10</w:t>
            </w:r>
            <w:r>
              <w:rPr>
                <w:rFonts w:hint="eastAsia" w:ascii="宋体" w:hAnsi="宋体" w:cs="宋体"/>
                <w:szCs w:val="21"/>
              </w:rPr>
              <w:t>分</w:t>
            </w:r>
          </w:p>
        </w:tc>
        <w:tc>
          <w:tcPr>
            <w:tcW w:w="2563" w:type="pct"/>
            <w:vAlign w:val="center"/>
          </w:tcPr>
          <w:p>
            <w:pPr>
              <w:snapToGrid w:val="0"/>
              <w:ind w:right="-166" w:rightChars="-79"/>
              <w:rPr>
                <w:rFonts w:ascii="宋体" w:hAnsi="宋体" w:cs="宋体"/>
                <w:szCs w:val="21"/>
              </w:rPr>
            </w:pPr>
            <w:r>
              <w:rPr>
                <w:rFonts w:hint="eastAsia" w:ascii="宋体" w:hAnsi="宋体" w:cs="宋体"/>
                <w:szCs w:val="21"/>
              </w:rPr>
              <w:t>方案合理、突出、详细，得</w:t>
            </w:r>
            <w:r>
              <w:rPr>
                <w:rFonts w:ascii="宋体" w:hAnsi="宋体" w:cs="宋体"/>
                <w:szCs w:val="21"/>
              </w:rPr>
              <w:t>8.0</w:t>
            </w:r>
            <w:r>
              <w:rPr>
                <w:rFonts w:hint="eastAsia" w:ascii="宋体" w:hAnsi="宋体" w:cs="宋体"/>
                <w:szCs w:val="21"/>
              </w:rPr>
              <w:t>（不含）-</w:t>
            </w:r>
            <w:r>
              <w:rPr>
                <w:rFonts w:ascii="宋体" w:hAnsi="宋体" w:cs="宋体"/>
                <w:szCs w:val="21"/>
              </w:rPr>
              <w:t>10</w:t>
            </w:r>
            <w:r>
              <w:rPr>
                <w:rFonts w:hint="eastAsia" w:ascii="宋体" w:hAnsi="宋体" w:cs="宋体"/>
                <w:szCs w:val="21"/>
              </w:rPr>
              <w:t>.0分；</w:t>
            </w:r>
          </w:p>
          <w:p>
            <w:pPr>
              <w:snapToGrid w:val="0"/>
              <w:ind w:right="-166" w:rightChars="-79"/>
              <w:rPr>
                <w:rFonts w:ascii="宋体" w:hAnsi="宋体" w:cs="宋体"/>
                <w:szCs w:val="21"/>
              </w:rPr>
            </w:pPr>
            <w:r>
              <w:rPr>
                <w:rFonts w:hint="eastAsia" w:ascii="宋体" w:hAnsi="宋体" w:cs="宋体"/>
                <w:szCs w:val="21"/>
              </w:rPr>
              <w:t>方案合理、实施性强，得</w:t>
            </w:r>
            <w:r>
              <w:rPr>
                <w:rFonts w:ascii="宋体" w:hAnsi="宋体" w:cs="宋体"/>
                <w:szCs w:val="21"/>
              </w:rPr>
              <w:t>6.0</w:t>
            </w:r>
            <w:r>
              <w:rPr>
                <w:rFonts w:hint="eastAsia" w:ascii="宋体" w:hAnsi="宋体" w:cs="宋体"/>
                <w:szCs w:val="21"/>
              </w:rPr>
              <w:t>（不含）-</w:t>
            </w:r>
            <w:r>
              <w:rPr>
                <w:rFonts w:ascii="宋体" w:hAnsi="宋体" w:cs="宋体"/>
                <w:szCs w:val="21"/>
              </w:rPr>
              <w:t>8.0</w:t>
            </w:r>
            <w:r>
              <w:rPr>
                <w:rFonts w:hint="eastAsia" w:ascii="宋体" w:hAnsi="宋体" w:cs="宋体"/>
                <w:szCs w:val="21"/>
              </w:rPr>
              <w:t>（含）分。</w:t>
            </w:r>
          </w:p>
          <w:p>
            <w:pPr>
              <w:snapToGrid w:val="0"/>
              <w:ind w:right="-166" w:rightChars="-79"/>
              <w:rPr>
                <w:rFonts w:ascii="宋体" w:hAnsi="宋体" w:cs="宋体"/>
                <w:szCs w:val="21"/>
              </w:rPr>
            </w:pPr>
            <w:r>
              <w:rPr>
                <w:rFonts w:hint="eastAsia" w:ascii="宋体" w:hAnsi="宋体" w:cs="宋体"/>
                <w:szCs w:val="21"/>
              </w:rPr>
              <w:t>方案基本合理、实施性一般，得</w:t>
            </w:r>
            <w:r>
              <w:rPr>
                <w:rFonts w:ascii="宋体" w:hAnsi="宋体" w:cs="宋体"/>
                <w:szCs w:val="21"/>
              </w:rPr>
              <w:t>6.0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00" w:type="pct"/>
            <w:vMerge w:val="continue"/>
            <w:vAlign w:val="center"/>
          </w:tcPr>
          <w:p>
            <w:pPr>
              <w:snapToGrid w:val="0"/>
              <w:jc w:val="center"/>
              <w:rPr>
                <w:rFonts w:ascii="宋体" w:hAnsi="宋体" w:cs="宋体"/>
                <w:szCs w:val="21"/>
              </w:rPr>
            </w:pPr>
          </w:p>
        </w:tc>
        <w:tc>
          <w:tcPr>
            <w:tcW w:w="513" w:type="pct"/>
            <w:vMerge w:val="continue"/>
            <w:vAlign w:val="center"/>
          </w:tcPr>
          <w:p>
            <w:pPr>
              <w:snapToGrid w:val="0"/>
              <w:jc w:val="center"/>
              <w:rPr>
                <w:rFonts w:ascii="宋体" w:hAnsi="宋体" w:cs="宋体"/>
                <w:szCs w:val="21"/>
              </w:rPr>
            </w:pPr>
          </w:p>
        </w:tc>
        <w:tc>
          <w:tcPr>
            <w:tcW w:w="457" w:type="pct"/>
            <w:vMerge w:val="continue"/>
            <w:vAlign w:val="center"/>
          </w:tcPr>
          <w:p>
            <w:pPr>
              <w:snapToGrid w:val="0"/>
              <w:jc w:val="center"/>
              <w:rPr>
                <w:rFonts w:ascii="宋体" w:hAnsi="宋体" w:cs="宋体"/>
                <w:szCs w:val="21"/>
              </w:rPr>
            </w:pPr>
          </w:p>
        </w:tc>
        <w:tc>
          <w:tcPr>
            <w:tcW w:w="673" w:type="pct"/>
            <w:vAlign w:val="center"/>
          </w:tcPr>
          <w:p>
            <w:pPr>
              <w:snapToGrid w:val="0"/>
              <w:jc w:val="center"/>
              <w:rPr>
                <w:rFonts w:ascii="宋体" w:hAnsi="宋体" w:cs="宋体"/>
                <w:szCs w:val="21"/>
              </w:rPr>
            </w:pPr>
            <w:r>
              <w:rPr>
                <w:rFonts w:hint="eastAsia" w:ascii="宋体" w:hAnsi="宋体" w:cs="宋体"/>
                <w:szCs w:val="21"/>
              </w:rPr>
              <w:t>设计管理方案</w:t>
            </w:r>
          </w:p>
        </w:tc>
        <w:tc>
          <w:tcPr>
            <w:tcW w:w="394" w:type="pct"/>
            <w:vAlign w:val="center"/>
          </w:tcPr>
          <w:p>
            <w:pPr>
              <w:snapToGrid w:val="0"/>
              <w:jc w:val="center"/>
              <w:rPr>
                <w:rFonts w:ascii="宋体" w:hAnsi="宋体" w:cs="宋体"/>
                <w:szCs w:val="21"/>
              </w:rPr>
            </w:pPr>
            <w:r>
              <w:rPr>
                <w:rFonts w:ascii="宋体" w:hAnsi="宋体" w:cs="宋体"/>
                <w:szCs w:val="21"/>
              </w:rPr>
              <w:t>4</w:t>
            </w:r>
            <w:r>
              <w:rPr>
                <w:rFonts w:hint="eastAsia" w:ascii="宋体" w:hAnsi="宋体" w:cs="宋体"/>
                <w:szCs w:val="21"/>
              </w:rPr>
              <w:t>分</w:t>
            </w:r>
          </w:p>
        </w:tc>
        <w:tc>
          <w:tcPr>
            <w:tcW w:w="2563" w:type="pct"/>
            <w:vAlign w:val="center"/>
          </w:tcPr>
          <w:p>
            <w:pPr>
              <w:snapToGrid w:val="0"/>
              <w:ind w:right="-166" w:rightChars="-79"/>
              <w:rPr>
                <w:rFonts w:ascii="宋体" w:hAnsi="宋体" w:cs="宋体"/>
                <w:szCs w:val="21"/>
              </w:rPr>
            </w:pPr>
            <w:r>
              <w:rPr>
                <w:rFonts w:hint="eastAsia" w:ascii="宋体" w:hAnsi="宋体" w:cs="宋体"/>
                <w:szCs w:val="21"/>
              </w:rPr>
              <w:t>方案合理、突出、详细，得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snapToGrid w:val="0"/>
              <w:ind w:right="-166" w:rightChars="-79"/>
              <w:rPr>
                <w:rFonts w:ascii="宋体" w:hAnsi="宋体" w:cs="宋体"/>
                <w:szCs w:val="21"/>
              </w:rPr>
            </w:pPr>
            <w:r>
              <w:rPr>
                <w:rFonts w:hint="eastAsia" w:ascii="宋体" w:hAnsi="宋体" w:cs="宋体"/>
                <w:szCs w:val="21"/>
              </w:rPr>
              <w:t>方案较合理、实施性较强，得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snapToGrid w:val="0"/>
              <w:ind w:right="-166" w:rightChars="-79"/>
              <w:rPr>
                <w:rFonts w:ascii="宋体" w:hAnsi="宋体" w:cs="宋体"/>
                <w:szCs w:val="21"/>
              </w:rPr>
            </w:pPr>
            <w:r>
              <w:rPr>
                <w:rFonts w:hint="eastAsia" w:ascii="宋体" w:hAnsi="宋体" w:cs="宋体"/>
                <w:szCs w:val="21"/>
              </w:rPr>
              <w:t>方案基本合理、实施性一般，得</w:t>
            </w:r>
            <w:r>
              <w:rPr>
                <w:rFonts w:ascii="宋体" w:hAnsi="宋体" w:cs="宋体"/>
                <w:szCs w:val="21"/>
              </w:rPr>
              <w:t>2.4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00" w:type="pct"/>
            <w:vMerge w:val="continue"/>
            <w:vAlign w:val="center"/>
          </w:tcPr>
          <w:p>
            <w:pPr>
              <w:shd w:val="clear" w:color="auto" w:fill="000080"/>
              <w:snapToGrid w:val="0"/>
              <w:jc w:val="center"/>
              <w:rPr>
                <w:rFonts w:ascii="宋体" w:hAnsi="宋体" w:cs="宋体"/>
              </w:rPr>
            </w:pPr>
          </w:p>
        </w:tc>
        <w:tc>
          <w:tcPr>
            <w:tcW w:w="513" w:type="pct"/>
            <w:vMerge w:val="continue"/>
            <w:vAlign w:val="center"/>
          </w:tcPr>
          <w:p>
            <w:pPr>
              <w:shd w:val="clear" w:color="auto" w:fill="000080"/>
              <w:snapToGrid w:val="0"/>
              <w:jc w:val="center"/>
              <w:rPr>
                <w:rFonts w:ascii="宋体" w:hAnsi="宋体" w:cs="宋体"/>
              </w:rPr>
            </w:pPr>
          </w:p>
        </w:tc>
        <w:tc>
          <w:tcPr>
            <w:tcW w:w="457" w:type="pct"/>
            <w:vMerge w:val="continue"/>
            <w:vAlign w:val="center"/>
          </w:tcPr>
          <w:p>
            <w:pPr>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szCs w:val="21"/>
              </w:rPr>
              <w:t>施工管理方案</w:t>
            </w:r>
          </w:p>
        </w:tc>
        <w:tc>
          <w:tcPr>
            <w:tcW w:w="394" w:type="pct"/>
            <w:vAlign w:val="center"/>
          </w:tcPr>
          <w:p>
            <w:pPr>
              <w:snapToGrid w:val="0"/>
              <w:jc w:val="center"/>
              <w:rPr>
                <w:rFonts w:ascii="宋体" w:hAnsi="宋体" w:cs="宋体"/>
                <w:szCs w:val="21"/>
              </w:rPr>
            </w:pPr>
            <w:r>
              <w:rPr>
                <w:rFonts w:ascii="宋体" w:hAnsi="宋体" w:cs="宋体"/>
                <w:szCs w:val="21"/>
              </w:rPr>
              <w:t>6</w:t>
            </w:r>
            <w:r>
              <w:rPr>
                <w:rFonts w:hint="eastAsia" w:ascii="宋体" w:hAnsi="宋体" w:cs="宋体"/>
                <w:szCs w:val="21"/>
              </w:rPr>
              <w:t>分</w:t>
            </w:r>
          </w:p>
        </w:tc>
        <w:tc>
          <w:tcPr>
            <w:tcW w:w="2563" w:type="pct"/>
            <w:vAlign w:val="center"/>
          </w:tcPr>
          <w:p>
            <w:pPr>
              <w:snapToGrid w:val="0"/>
              <w:ind w:right="-166" w:rightChars="-79"/>
              <w:rPr>
                <w:rFonts w:ascii="宋体" w:hAnsi="宋体" w:cs="宋体"/>
                <w:szCs w:val="21"/>
              </w:rPr>
            </w:pPr>
            <w:r>
              <w:rPr>
                <w:rFonts w:hint="eastAsia" w:ascii="宋体" w:hAnsi="宋体" w:cs="宋体"/>
                <w:szCs w:val="21"/>
              </w:rPr>
              <w:t>方案合理、突出、详细，得</w:t>
            </w:r>
            <w:r>
              <w:rPr>
                <w:rFonts w:ascii="宋体" w:hAnsi="宋体" w:cs="宋体"/>
                <w:szCs w:val="21"/>
              </w:rPr>
              <w:t>4.8</w:t>
            </w:r>
            <w:r>
              <w:rPr>
                <w:rFonts w:hint="eastAsia" w:ascii="宋体" w:hAnsi="宋体" w:cs="宋体"/>
                <w:szCs w:val="21"/>
              </w:rPr>
              <w:t>（不含）-</w:t>
            </w:r>
            <w:r>
              <w:rPr>
                <w:rFonts w:ascii="宋体" w:hAnsi="宋体" w:cs="宋体"/>
                <w:szCs w:val="21"/>
              </w:rPr>
              <w:t>6</w:t>
            </w:r>
            <w:r>
              <w:rPr>
                <w:rFonts w:hint="eastAsia" w:ascii="宋体" w:hAnsi="宋体" w:cs="宋体"/>
                <w:szCs w:val="21"/>
              </w:rPr>
              <w:t>.0分；</w:t>
            </w:r>
          </w:p>
          <w:p>
            <w:pPr>
              <w:snapToGrid w:val="0"/>
              <w:ind w:right="-166" w:rightChars="-79"/>
              <w:rPr>
                <w:rFonts w:ascii="宋体" w:hAnsi="宋体" w:cs="宋体"/>
                <w:szCs w:val="21"/>
              </w:rPr>
            </w:pPr>
            <w:r>
              <w:rPr>
                <w:rFonts w:hint="eastAsia" w:ascii="宋体" w:hAnsi="宋体" w:cs="宋体"/>
                <w:szCs w:val="21"/>
              </w:rPr>
              <w:t>方案较合理、实施性较强，得</w:t>
            </w:r>
            <w:r>
              <w:rPr>
                <w:rFonts w:ascii="宋体" w:hAnsi="宋体" w:cs="宋体"/>
                <w:szCs w:val="21"/>
              </w:rPr>
              <w:t>3.6</w:t>
            </w:r>
            <w:r>
              <w:rPr>
                <w:rFonts w:hint="eastAsia" w:ascii="宋体" w:hAnsi="宋体" w:cs="宋体"/>
                <w:szCs w:val="21"/>
              </w:rPr>
              <w:t>（不含）-</w:t>
            </w:r>
            <w:r>
              <w:rPr>
                <w:rFonts w:ascii="宋体" w:hAnsi="宋体" w:cs="宋体"/>
                <w:szCs w:val="21"/>
              </w:rPr>
              <w:t>4.8</w:t>
            </w:r>
            <w:r>
              <w:rPr>
                <w:rFonts w:hint="eastAsia" w:ascii="宋体" w:hAnsi="宋体" w:cs="宋体"/>
                <w:szCs w:val="21"/>
              </w:rPr>
              <w:t>（含）分。</w:t>
            </w:r>
          </w:p>
          <w:p>
            <w:pPr>
              <w:snapToGrid w:val="0"/>
              <w:ind w:right="-166" w:rightChars="-79"/>
              <w:rPr>
                <w:rFonts w:ascii="宋体" w:hAnsi="宋体" w:cs="宋体"/>
                <w:szCs w:val="21"/>
              </w:rPr>
            </w:pPr>
            <w:r>
              <w:rPr>
                <w:rFonts w:hint="eastAsia" w:ascii="宋体" w:hAnsi="宋体" w:cs="宋体"/>
                <w:szCs w:val="21"/>
              </w:rPr>
              <w:t>方案基本合理、实施性一般，得</w:t>
            </w:r>
            <w:r>
              <w:rPr>
                <w:rFonts w:ascii="宋体" w:hAnsi="宋体" w:cs="宋体"/>
                <w:szCs w:val="21"/>
              </w:rPr>
              <w:t>3.6</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0" w:type="pct"/>
            <w:vMerge w:val="continue"/>
            <w:vAlign w:val="center"/>
          </w:tcPr>
          <w:p>
            <w:pPr>
              <w:snapToGrid w:val="0"/>
              <w:jc w:val="center"/>
              <w:rPr>
                <w:rFonts w:ascii="宋体" w:hAnsi="宋体" w:cs="宋体"/>
                <w:szCs w:val="21"/>
              </w:rPr>
            </w:pPr>
          </w:p>
        </w:tc>
        <w:tc>
          <w:tcPr>
            <w:tcW w:w="513" w:type="pct"/>
            <w:vMerge w:val="restart"/>
            <w:shd w:val="clear" w:color="auto" w:fill="auto"/>
            <w:vAlign w:val="center"/>
          </w:tcPr>
          <w:p>
            <w:pPr>
              <w:snapToGrid w:val="0"/>
              <w:jc w:val="center"/>
              <w:rPr>
                <w:rFonts w:ascii="宋体" w:hAnsi="宋体" w:cs="宋体"/>
                <w:szCs w:val="21"/>
              </w:rPr>
            </w:pPr>
            <w:r>
              <w:rPr>
                <w:rFonts w:hint="eastAsia" w:ascii="宋体" w:hAnsi="宋体" w:cs="宋体"/>
                <w:szCs w:val="21"/>
              </w:rPr>
              <w:t>承包人实施方案</w:t>
            </w:r>
            <w:r>
              <w:rPr>
                <w:rFonts w:hint="eastAsia" w:ascii="宋体" w:hAnsi="宋体" w:cs="宋体"/>
                <w:b/>
                <w:bCs/>
                <w:szCs w:val="21"/>
              </w:rPr>
              <w:t>（暗标）</w:t>
            </w:r>
          </w:p>
        </w:tc>
        <w:tc>
          <w:tcPr>
            <w:tcW w:w="457" w:type="pct"/>
            <w:vMerge w:val="restart"/>
            <w:shd w:val="clear" w:color="auto" w:fill="auto"/>
            <w:vAlign w:val="center"/>
          </w:tcPr>
          <w:p>
            <w:pPr>
              <w:snapToGrid w:val="0"/>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673" w:type="pct"/>
            <w:vAlign w:val="center"/>
          </w:tcPr>
          <w:p>
            <w:pPr>
              <w:snapToGrid w:val="0"/>
              <w:jc w:val="center"/>
              <w:rPr>
                <w:rFonts w:ascii="宋体" w:hAnsi="宋体" w:cs="宋体"/>
                <w:szCs w:val="21"/>
              </w:rPr>
            </w:pPr>
            <w:r>
              <w:rPr>
                <w:rFonts w:hint="eastAsia" w:ascii="宋体" w:hAnsi="宋体" w:cs="宋体"/>
                <w:szCs w:val="21"/>
              </w:rPr>
              <w:t>课题研发实施方案</w:t>
            </w:r>
          </w:p>
        </w:tc>
        <w:tc>
          <w:tcPr>
            <w:tcW w:w="394" w:type="pct"/>
            <w:vAlign w:val="center"/>
          </w:tcPr>
          <w:p>
            <w:pPr>
              <w:snapToGrid w:val="0"/>
              <w:jc w:val="center"/>
              <w:rPr>
                <w:rFonts w:ascii="宋体" w:hAnsi="宋体" w:cs="宋体"/>
              </w:rPr>
            </w:pPr>
            <w:r>
              <w:rPr>
                <w:rFonts w:hint="eastAsia" w:ascii="宋体" w:hAnsi="宋体" w:cs="宋体"/>
              </w:rPr>
              <w:t>4分</w:t>
            </w:r>
          </w:p>
        </w:tc>
        <w:tc>
          <w:tcPr>
            <w:tcW w:w="2563" w:type="pct"/>
            <w:vAlign w:val="center"/>
          </w:tcPr>
          <w:p>
            <w:pPr>
              <w:snapToGrid w:val="0"/>
              <w:rPr>
                <w:rFonts w:ascii="宋体" w:hAnsi="宋体" w:cs="宋体"/>
                <w:szCs w:val="21"/>
              </w:rPr>
            </w:pPr>
            <w:r>
              <w:rPr>
                <w:rFonts w:hint="eastAsia" w:ascii="宋体" w:hAnsi="宋体" w:cs="宋体"/>
                <w:szCs w:val="21"/>
              </w:rPr>
              <w:t>内容完整，编制科学合理，指导性强，得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内容较完整，编制合理，指导性较强，得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内容基本完整，编制较合理，指导性一般，得</w:t>
            </w:r>
            <w:r>
              <w:rPr>
                <w:rFonts w:ascii="宋体" w:hAnsi="宋体" w:cs="宋体"/>
                <w:szCs w:val="21"/>
              </w:rPr>
              <w:t>2.4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400" w:type="pct"/>
            <w:vMerge w:val="continue"/>
            <w:vAlign w:val="center"/>
          </w:tcPr>
          <w:p>
            <w:pPr>
              <w:snapToGrid w:val="0"/>
              <w:jc w:val="center"/>
              <w:rPr>
                <w:rFonts w:ascii="宋体" w:hAnsi="宋体" w:cs="宋体"/>
                <w:szCs w:val="21"/>
              </w:rPr>
            </w:pPr>
          </w:p>
        </w:tc>
        <w:tc>
          <w:tcPr>
            <w:tcW w:w="513" w:type="pct"/>
            <w:vMerge w:val="continue"/>
            <w:shd w:val="clear" w:color="auto" w:fill="auto"/>
            <w:vAlign w:val="center"/>
          </w:tcPr>
          <w:p>
            <w:pPr>
              <w:snapToGrid w:val="0"/>
              <w:jc w:val="center"/>
              <w:rPr>
                <w:rFonts w:ascii="宋体" w:hAnsi="宋体" w:cs="宋体"/>
                <w:szCs w:val="21"/>
              </w:rPr>
            </w:pPr>
          </w:p>
        </w:tc>
        <w:tc>
          <w:tcPr>
            <w:tcW w:w="457" w:type="pct"/>
            <w:vMerge w:val="continue"/>
            <w:shd w:val="clear" w:color="auto" w:fill="auto"/>
            <w:vAlign w:val="center"/>
          </w:tcPr>
          <w:p>
            <w:pPr>
              <w:snapToGrid w:val="0"/>
              <w:jc w:val="center"/>
              <w:rPr>
                <w:rFonts w:ascii="宋体" w:hAnsi="宋体" w:cs="宋体"/>
                <w:szCs w:val="21"/>
              </w:rPr>
            </w:pPr>
          </w:p>
        </w:tc>
        <w:tc>
          <w:tcPr>
            <w:tcW w:w="673" w:type="pct"/>
            <w:vAlign w:val="center"/>
          </w:tcPr>
          <w:p>
            <w:pPr>
              <w:snapToGrid w:val="0"/>
              <w:jc w:val="center"/>
              <w:rPr>
                <w:rFonts w:ascii="宋体" w:hAnsi="宋体" w:cs="宋体"/>
                <w:szCs w:val="21"/>
              </w:rPr>
            </w:pPr>
            <w:r>
              <w:rPr>
                <w:rFonts w:hint="eastAsia" w:ascii="宋体" w:hAnsi="宋体" w:cs="宋体"/>
                <w:shd w:val="clear" w:color="auto" w:fill="FFFFFF"/>
              </w:rPr>
              <w:t>施工图设计方案</w:t>
            </w:r>
          </w:p>
        </w:tc>
        <w:tc>
          <w:tcPr>
            <w:tcW w:w="394" w:type="pct"/>
            <w:vAlign w:val="center"/>
          </w:tcPr>
          <w:p>
            <w:pPr>
              <w:snapToGrid w:val="0"/>
              <w:jc w:val="center"/>
              <w:rPr>
                <w:rFonts w:ascii="宋体" w:hAnsi="宋体" w:cs="宋体"/>
              </w:rPr>
            </w:pPr>
            <w:r>
              <w:rPr>
                <w:rFonts w:hint="eastAsia" w:ascii="宋体" w:hAnsi="宋体" w:cs="宋体"/>
                <w:szCs w:val="21"/>
              </w:rPr>
              <w:t>3分</w:t>
            </w:r>
          </w:p>
        </w:tc>
        <w:tc>
          <w:tcPr>
            <w:tcW w:w="2563" w:type="pct"/>
            <w:vAlign w:val="center"/>
          </w:tcPr>
          <w:p>
            <w:pPr>
              <w:snapToGrid w:val="0"/>
              <w:jc w:val="left"/>
              <w:rPr>
                <w:rFonts w:ascii="宋体" w:hAnsi="宋体" w:cs="宋体"/>
                <w:szCs w:val="21"/>
              </w:rPr>
            </w:pPr>
            <w:r>
              <w:rPr>
                <w:rFonts w:hint="eastAsia" w:ascii="宋体" w:hAnsi="宋体" w:cs="宋体"/>
                <w:szCs w:val="21"/>
              </w:rPr>
              <w:t>设计方案详细具体、科学合理</w:t>
            </w:r>
            <w:r>
              <w:rPr>
                <w:rFonts w:ascii="宋体" w:hAnsi="宋体" w:cs="宋体"/>
                <w:szCs w:val="21"/>
              </w:rPr>
              <w:t>2.4</w:t>
            </w:r>
            <w:r>
              <w:rPr>
                <w:rFonts w:hint="eastAsia" w:ascii="宋体" w:hAnsi="宋体" w:cs="宋体"/>
                <w:szCs w:val="21"/>
              </w:rPr>
              <w:t>（不含）-</w:t>
            </w:r>
            <w:r>
              <w:rPr>
                <w:rFonts w:ascii="宋体" w:hAnsi="宋体" w:cs="宋体"/>
                <w:szCs w:val="21"/>
              </w:rPr>
              <w:t>3.0</w:t>
            </w:r>
            <w:r>
              <w:rPr>
                <w:rFonts w:hint="eastAsia" w:ascii="宋体" w:hAnsi="宋体" w:cs="宋体"/>
                <w:szCs w:val="21"/>
              </w:rPr>
              <w:t>分；</w:t>
            </w:r>
          </w:p>
          <w:p>
            <w:pPr>
              <w:snapToGrid w:val="0"/>
              <w:jc w:val="left"/>
              <w:rPr>
                <w:rFonts w:ascii="宋体" w:hAnsi="宋体" w:cs="宋体"/>
                <w:szCs w:val="21"/>
              </w:rPr>
            </w:pPr>
            <w:r>
              <w:rPr>
                <w:rFonts w:hint="eastAsia" w:ascii="宋体" w:hAnsi="宋体" w:cs="宋体"/>
                <w:szCs w:val="21"/>
              </w:rPr>
              <w:t>设计方案较</w:t>
            </w:r>
            <w:r>
              <w:rPr>
                <w:rFonts w:ascii="宋体" w:hAnsi="宋体" w:cs="宋体"/>
                <w:szCs w:val="21"/>
              </w:rPr>
              <w:t>1.8</w:t>
            </w:r>
            <w:r>
              <w:rPr>
                <w:rFonts w:hint="eastAsia" w:ascii="宋体" w:hAnsi="宋体" w:cs="宋体"/>
                <w:szCs w:val="21"/>
              </w:rPr>
              <w:t>（不含）-</w:t>
            </w:r>
            <w:r>
              <w:rPr>
                <w:rFonts w:ascii="宋体" w:hAnsi="宋体" w:cs="宋体"/>
                <w:szCs w:val="21"/>
              </w:rPr>
              <w:t>2.4</w:t>
            </w:r>
            <w:r>
              <w:rPr>
                <w:rFonts w:hint="eastAsia" w:ascii="宋体" w:hAnsi="宋体" w:cs="宋体"/>
                <w:szCs w:val="21"/>
              </w:rPr>
              <w:t>（含）分；</w:t>
            </w:r>
          </w:p>
          <w:p>
            <w:pPr>
              <w:snapToGrid w:val="0"/>
              <w:rPr>
                <w:rFonts w:ascii="宋体" w:hAnsi="宋体" w:cs="宋体"/>
                <w:szCs w:val="21"/>
              </w:rPr>
            </w:pPr>
            <w:r>
              <w:rPr>
                <w:rFonts w:hint="eastAsia" w:ascii="宋体" w:hAnsi="宋体" w:cs="宋体"/>
              </w:rPr>
              <w:t>设计方案一</w:t>
            </w:r>
            <w:r>
              <w:rPr>
                <w:rFonts w:hint="eastAsia" w:ascii="宋体" w:hAnsi="宋体" w:cs="宋体"/>
                <w:szCs w:val="21"/>
              </w:rPr>
              <w:t>般1</w:t>
            </w:r>
            <w:r>
              <w:rPr>
                <w:rFonts w:ascii="宋体" w:hAnsi="宋体" w:cs="宋体"/>
                <w:szCs w:val="21"/>
              </w:rPr>
              <w:t>.8</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400" w:type="pct"/>
            <w:vMerge w:val="continue"/>
            <w:shd w:val="clear" w:color="auto" w:fill="auto"/>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hd w:val="clear" w:color="auto" w:fill="000080"/>
              <w:snapToGrid w:val="0"/>
              <w:jc w:val="center"/>
              <w:rPr>
                <w:rFonts w:ascii="宋体" w:hAnsi="宋体" w:cs="宋体"/>
              </w:rPr>
            </w:pPr>
          </w:p>
        </w:tc>
        <w:tc>
          <w:tcPr>
            <w:tcW w:w="457" w:type="pct"/>
            <w:vMerge w:val="continue"/>
            <w:shd w:val="clear" w:color="auto" w:fill="auto"/>
            <w:vAlign w:val="center"/>
          </w:tcPr>
          <w:p>
            <w:pPr>
              <w:shd w:val="clear" w:color="auto" w:fill="000080"/>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szCs w:val="21"/>
              </w:rPr>
              <w:t>施工实施方案</w:t>
            </w:r>
          </w:p>
        </w:tc>
        <w:tc>
          <w:tcPr>
            <w:tcW w:w="394" w:type="pct"/>
            <w:vAlign w:val="center"/>
          </w:tcPr>
          <w:p>
            <w:pPr>
              <w:snapToGrid w:val="0"/>
              <w:jc w:val="center"/>
              <w:rPr>
                <w:rFonts w:ascii="宋体" w:hAnsi="宋体" w:cs="宋体"/>
              </w:rPr>
            </w:pPr>
            <w:r>
              <w:rPr>
                <w:rFonts w:hint="eastAsia" w:ascii="宋体" w:hAnsi="宋体" w:cs="宋体"/>
              </w:rPr>
              <w:t>4分</w:t>
            </w:r>
          </w:p>
        </w:tc>
        <w:tc>
          <w:tcPr>
            <w:tcW w:w="2563" w:type="pct"/>
            <w:vAlign w:val="center"/>
          </w:tcPr>
          <w:p>
            <w:pPr>
              <w:snapToGrid w:val="0"/>
              <w:rPr>
                <w:rFonts w:ascii="宋体" w:hAnsi="宋体" w:cs="宋体"/>
                <w:szCs w:val="21"/>
              </w:rPr>
            </w:pPr>
            <w:r>
              <w:rPr>
                <w:rFonts w:hint="eastAsia" w:ascii="宋体" w:hAnsi="宋体" w:cs="宋体"/>
                <w:szCs w:val="21"/>
              </w:rPr>
              <w:t>内容完整，编制科学合理，指导性强，得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内容较完整，编制合理，指导性较强，得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内容基本完整，编制较合理，指导性一般，得</w:t>
            </w:r>
            <w:r>
              <w:rPr>
                <w:rFonts w:ascii="宋体" w:hAnsi="宋体" w:cs="宋体"/>
                <w:szCs w:val="21"/>
              </w:rPr>
              <w:t>2.4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400" w:type="pct"/>
            <w:vMerge w:val="continue"/>
            <w:shd w:val="clear" w:color="auto" w:fill="auto"/>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hd w:val="clear" w:color="auto" w:fill="000080"/>
              <w:snapToGrid w:val="0"/>
              <w:jc w:val="center"/>
              <w:rPr>
                <w:rFonts w:ascii="宋体" w:hAnsi="宋体" w:cs="宋体"/>
              </w:rPr>
            </w:pPr>
          </w:p>
        </w:tc>
        <w:tc>
          <w:tcPr>
            <w:tcW w:w="457" w:type="pct"/>
            <w:vMerge w:val="continue"/>
            <w:shd w:val="clear" w:color="auto" w:fill="auto"/>
            <w:vAlign w:val="center"/>
          </w:tcPr>
          <w:p>
            <w:pPr>
              <w:shd w:val="clear" w:color="auto" w:fill="000080"/>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szCs w:val="21"/>
              </w:rPr>
              <w:t>工期保证体系及保证措施</w:t>
            </w:r>
          </w:p>
        </w:tc>
        <w:tc>
          <w:tcPr>
            <w:tcW w:w="394" w:type="pct"/>
            <w:vAlign w:val="center"/>
          </w:tcPr>
          <w:p>
            <w:pPr>
              <w:snapToGrid w:val="0"/>
              <w:jc w:val="center"/>
              <w:rPr>
                <w:rFonts w:ascii="宋体" w:hAnsi="宋体" w:cs="宋体"/>
              </w:rPr>
            </w:pPr>
            <w:r>
              <w:rPr>
                <w:rFonts w:ascii="宋体" w:hAnsi="宋体" w:cs="宋体"/>
              </w:rPr>
              <w:t>2</w:t>
            </w:r>
            <w:r>
              <w:rPr>
                <w:rFonts w:hint="eastAsia" w:ascii="宋体" w:hAnsi="宋体" w:cs="宋体"/>
              </w:rPr>
              <w:t>分</w:t>
            </w:r>
          </w:p>
        </w:tc>
        <w:tc>
          <w:tcPr>
            <w:tcW w:w="2563" w:type="pct"/>
            <w:vAlign w:val="center"/>
          </w:tcPr>
          <w:p>
            <w:pPr>
              <w:snapToGrid w:val="0"/>
              <w:rPr>
                <w:rFonts w:ascii="宋体" w:hAnsi="宋体" w:cs="宋体"/>
                <w:szCs w:val="21"/>
              </w:rPr>
            </w:pPr>
            <w:r>
              <w:rPr>
                <w:rFonts w:hint="eastAsia" w:ascii="宋体" w:hAnsi="宋体" w:cs="宋体"/>
                <w:szCs w:val="21"/>
              </w:rPr>
              <w:t>措施完善，科学合理，实施性强，得</w:t>
            </w:r>
            <w:r>
              <w:rPr>
                <w:rFonts w:ascii="宋体" w:hAnsi="宋体" w:cs="宋体"/>
                <w:szCs w:val="21"/>
              </w:rPr>
              <w:t>1.6</w:t>
            </w:r>
            <w:r>
              <w:rPr>
                <w:rFonts w:hint="eastAsia" w:ascii="宋体" w:hAnsi="宋体" w:cs="宋体"/>
                <w:szCs w:val="21"/>
              </w:rPr>
              <w:t>（不含）-</w:t>
            </w:r>
            <w:r>
              <w:rPr>
                <w:rFonts w:ascii="宋体" w:hAnsi="宋体" w:cs="宋体"/>
                <w:szCs w:val="21"/>
              </w:rPr>
              <w:t>2</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措施较完善，较合理，实施性较强，得1.</w:t>
            </w:r>
            <w:r>
              <w:rPr>
                <w:rFonts w:ascii="宋体" w:hAnsi="宋体" w:cs="宋体"/>
                <w:szCs w:val="21"/>
              </w:rPr>
              <w:t>2</w:t>
            </w:r>
            <w:r>
              <w:rPr>
                <w:rFonts w:hint="eastAsia" w:ascii="宋体" w:hAnsi="宋体" w:cs="宋体"/>
                <w:szCs w:val="21"/>
              </w:rPr>
              <w:t>（不含）-</w:t>
            </w:r>
            <w:r>
              <w:rPr>
                <w:rFonts w:ascii="宋体" w:hAnsi="宋体" w:cs="宋体"/>
                <w:szCs w:val="21"/>
              </w:rPr>
              <w:t>1.6</w:t>
            </w:r>
            <w:r>
              <w:rPr>
                <w:rFonts w:hint="eastAsia" w:ascii="宋体" w:hAnsi="宋体" w:cs="宋体"/>
                <w:szCs w:val="21"/>
              </w:rPr>
              <w:t>（含）分；</w:t>
            </w:r>
          </w:p>
          <w:p>
            <w:pPr>
              <w:snapToGrid w:val="0"/>
              <w:rPr>
                <w:rFonts w:ascii="宋体" w:hAnsi="宋体" w:cs="宋体"/>
                <w:szCs w:val="21"/>
              </w:rPr>
            </w:pPr>
            <w:r>
              <w:rPr>
                <w:rFonts w:hint="eastAsia" w:ascii="宋体" w:hAnsi="宋体" w:cs="宋体"/>
                <w:szCs w:val="21"/>
              </w:rPr>
              <w:t>措施基本完善，基本合理，实施性一般，得1.</w:t>
            </w:r>
            <w:r>
              <w:rPr>
                <w:rFonts w:ascii="宋体" w:hAnsi="宋体" w:cs="宋体"/>
                <w:szCs w:val="21"/>
              </w:rPr>
              <w:t>2</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400" w:type="pct"/>
            <w:vMerge w:val="continue"/>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hd w:val="clear" w:color="auto" w:fill="000080"/>
              <w:snapToGrid w:val="0"/>
              <w:jc w:val="center"/>
              <w:rPr>
                <w:rFonts w:ascii="宋体" w:hAnsi="宋体" w:cs="宋体"/>
              </w:rPr>
            </w:pPr>
          </w:p>
        </w:tc>
        <w:tc>
          <w:tcPr>
            <w:tcW w:w="457" w:type="pct"/>
            <w:vMerge w:val="continue"/>
            <w:shd w:val="clear" w:color="auto" w:fill="auto"/>
            <w:vAlign w:val="center"/>
          </w:tcPr>
          <w:p>
            <w:pPr>
              <w:shd w:val="clear" w:color="auto" w:fill="000080"/>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kern w:val="0"/>
                <w:szCs w:val="21"/>
                <w:lang w:val="zh-CN"/>
              </w:rPr>
              <w:t>质量标准、安全生产、文明施工、环境保护管理体系及保证措施</w:t>
            </w:r>
          </w:p>
        </w:tc>
        <w:tc>
          <w:tcPr>
            <w:tcW w:w="394" w:type="pct"/>
            <w:vAlign w:val="center"/>
          </w:tcPr>
          <w:p>
            <w:pPr>
              <w:snapToGrid w:val="0"/>
              <w:jc w:val="center"/>
              <w:rPr>
                <w:rFonts w:ascii="宋体" w:hAnsi="宋体" w:cs="宋体"/>
              </w:rPr>
            </w:pPr>
            <w:r>
              <w:rPr>
                <w:rFonts w:ascii="宋体" w:hAnsi="宋体" w:cs="宋体"/>
              </w:rPr>
              <w:t>3</w:t>
            </w:r>
            <w:r>
              <w:rPr>
                <w:rFonts w:hint="eastAsia" w:ascii="宋体" w:hAnsi="宋体" w:cs="宋体"/>
              </w:rPr>
              <w:t>分</w:t>
            </w:r>
          </w:p>
        </w:tc>
        <w:tc>
          <w:tcPr>
            <w:tcW w:w="2563" w:type="pct"/>
            <w:vAlign w:val="center"/>
          </w:tcPr>
          <w:p>
            <w:pPr>
              <w:snapToGrid w:val="0"/>
              <w:rPr>
                <w:rFonts w:ascii="宋体" w:hAnsi="宋体" w:cs="宋体"/>
                <w:szCs w:val="21"/>
              </w:rPr>
            </w:pPr>
            <w:r>
              <w:rPr>
                <w:rFonts w:hint="eastAsia" w:ascii="宋体" w:hAnsi="宋体" w:cs="宋体"/>
                <w:szCs w:val="21"/>
              </w:rPr>
              <w:t>措施完善，科学合理，实施性强，得</w:t>
            </w:r>
            <w:r>
              <w:rPr>
                <w:rFonts w:ascii="宋体" w:hAnsi="宋体" w:cs="宋体"/>
                <w:szCs w:val="21"/>
              </w:rPr>
              <w:t>2.4</w:t>
            </w:r>
            <w:r>
              <w:rPr>
                <w:rFonts w:hint="eastAsia" w:ascii="宋体" w:hAnsi="宋体" w:cs="宋体"/>
                <w:szCs w:val="21"/>
              </w:rPr>
              <w:t>（不含）-</w:t>
            </w:r>
            <w:r>
              <w:rPr>
                <w:rFonts w:ascii="宋体" w:hAnsi="宋体" w:cs="宋体"/>
                <w:szCs w:val="21"/>
              </w:rPr>
              <w:t>3</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措施较完善，较合理，实施性较强，得</w:t>
            </w:r>
            <w:r>
              <w:rPr>
                <w:rFonts w:ascii="宋体" w:hAnsi="宋体" w:cs="宋体"/>
                <w:szCs w:val="21"/>
              </w:rPr>
              <w:t>1.8</w:t>
            </w:r>
            <w:r>
              <w:rPr>
                <w:rFonts w:hint="eastAsia" w:ascii="宋体" w:hAnsi="宋体" w:cs="宋体"/>
                <w:szCs w:val="21"/>
              </w:rPr>
              <w:t>（不含）-</w:t>
            </w:r>
            <w:r>
              <w:rPr>
                <w:rFonts w:ascii="宋体" w:hAnsi="宋体" w:cs="宋体"/>
                <w:szCs w:val="21"/>
              </w:rPr>
              <w:t>2.4</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措施基本完善，基本合理，实施性一般，得</w:t>
            </w:r>
            <w:r>
              <w:rPr>
                <w:rFonts w:ascii="宋体" w:hAnsi="宋体" w:cs="宋体"/>
                <w:szCs w:val="21"/>
              </w:rPr>
              <w:t>1.8</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400" w:type="pct"/>
            <w:vMerge w:val="continue"/>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hd w:val="clear" w:color="auto" w:fill="000080"/>
              <w:snapToGrid w:val="0"/>
              <w:jc w:val="center"/>
              <w:rPr>
                <w:rFonts w:ascii="宋体" w:hAnsi="宋体" w:cs="宋体"/>
              </w:rPr>
            </w:pPr>
          </w:p>
        </w:tc>
        <w:tc>
          <w:tcPr>
            <w:tcW w:w="457" w:type="pct"/>
            <w:vMerge w:val="continue"/>
            <w:shd w:val="clear" w:color="auto" w:fill="auto"/>
            <w:vAlign w:val="center"/>
          </w:tcPr>
          <w:p>
            <w:pPr>
              <w:shd w:val="clear" w:color="auto" w:fill="000080"/>
              <w:snapToGrid w:val="0"/>
              <w:jc w:val="center"/>
              <w:rPr>
                <w:rFonts w:ascii="宋体" w:hAnsi="宋体" w:cs="宋体"/>
              </w:rPr>
            </w:pPr>
          </w:p>
        </w:tc>
        <w:tc>
          <w:tcPr>
            <w:tcW w:w="673" w:type="pct"/>
            <w:vAlign w:val="center"/>
          </w:tcPr>
          <w:p>
            <w:pPr>
              <w:snapToGrid w:val="0"/>
              <w:ind w:firstLine="31" w:firstLineChars="15"/>
              <w:jc w:val="center"/>
              <w:rPr>
                <w:rFonts w:ascii="宋体" w:hAnsi="宋体" w:cs="宋体"/>
                <w:szCs w:val="21"/>
              </w:rPr>
            </w:pPr>
            <w:r>
              <w:rPr>
                <w:rFonts w:hint="eastAsia" w:ascii="宋体" w:hAnsi="宋体" w:cs="宋体"/>
                <w:kern w:val="0"/>
                <w:szCs w:val="21"/>
                <w:lang w:val="zh-CN"/>
              </w:rPr>
              <w:t>项目风险预测与防范，事故应急预案</w:t>
            </w:r>
          </w:p>
        </w:tc>
        <w:tc>
          <w:tcPr>
            <w:tcW w:w="394" w:type="pct"/>
            <w:vAlign w:val="center"/>
          </w:tcPr>
          <w:p>
            <w:pPr>
              <w:snapToGrid w:val="0"/>
              <w:jc w:val="center"/>
              <w:rPr>
                <w:rFonts w:ascii="宋体" w:hAnsi="宋体" w:cs="宋体"/>
              </w:rPr>
            </w:pPr>
            <w:r>
              <w:rPr>
                <w:rFonts w:ascii="宋体" w:hAnsi="宋体" w:cs="宋体"/>
              </w:rPr>
              <w:t>2</w:t>
            </w:r>
            <w:r>
              <w:rPr>
                <w:rFonts w:hint="eastAsia" w:ascii="宋体" w:hAnsi="宋体" w:cs="宋体"/>
              </w:rPr>
              <w:t>分</w:t>
            </w:r>
          </w:p>
        </w:tc>
        <w:tc>
          <w:tcPr>
            <w:tcW w:w="2563" w:type="pct"/>
            <w:vAlign w:val="center"/>
          </w:tcPr>
          <w:p>
            <w:pPr>
              <w:snapToGrid w:val="0"/>
              <w:rPr>
                <w:rFonts w:ascii="宋体" w:hAnsi="宋体" w:cs="宋体"/>
                <w:szCs w:val="21"/>
              </w:rPr>
            </w:pPr>
            <w:r>
              <w:rPr>
                <w:rFonts w:hint="eastAsia" w:ascii="宋体" w:hAnsi="宋体" w:cs="宋体"/>
                <w:szCs w:val="21"/>
              </w:rPr>
              <w:t>措施完善，科学合理，实施性强，得</w:t>
            </w:r>
            <w:r>
              <w:rPr>
                <w:rFonts w:ascii="宋体" w:hAnsi="宋体" w:cs="宋体"/>
                <w:szCs w:val="21"/>
              </w:rPr>
              <w:t>1.6</w:t>
            </w:r>
            <w:r>
              <w:rPr>
                <w:rFonts w:hint="eastAsia" w:ascii="宋体" w:hAnsi="宋体" w:cs="宋体"/>
                <w:szCs w:val="21"/>
              </w:rPr>
              <w:t>（不含）-</w:t>
            </w:r>
            <w:r>
              <w:rPr>
                <w:rFonts w:ascii="宋体" w:hAnsi="宋体" w:cs="宋体"/>
                <w:szCs w:val="21"/>
              </w:rPr>
              <w:t>2</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措施较完善，较合理，实施性较强，得1.</w:t>
            </w:r>
            <w:r>
              <w:rPr>
                <w:rFonts w:ascii="宋体" w:hAnsi="宋体" w:cs="宋体"/>
                <w:szCs w:val="21"/>
              </w:rPr>
              <w:t>2</w:t>
            </w:r>
            <w:r>
              <w:rPr>
                <w:rFonts w:hint="eastAsia" w:ascii="宋体" w:hAnsi="宋体" w:cs="宋体"/>
                <w:szCs w:val="21"/>
              </w:rPr>
              <w:t>（不含）-</w:t>
            </w:r>
            <w:r>
              <w:rPr>
                <w:rFonts w:ascii="宋体" w:hAnsi="宋体" w:cs="宋体"/>
                <w:szCs w:val="21"/>
              </w:rPr>
              <w:t>1.6</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措施基本完善，基本合理，实施性一般，得1.</w:t>
            </w:r>
            <w:r>
              <w:rPr>
                <w:rFonts w:ascii="宋体" w:hAnsi="宋体" w:cs="宋体"/>
                <w:szCs w:val="21"/>
              </w:rPr>
              <w:t>2</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00" w:type="pct"/>
            <w:vMerge w:val="continue"/>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napToGrid w:val="0"/>
              <w:ind w:left="105" w:right="-88" w:rightChars="-42" w:hanging="105" w:hangingChars="50"/>
              <w:jc w:val="center"/>
              <w:rPr>
                <w:rFonts w:ascii="宋体" w:hAnsi="宋体" w:cs="宋体"/>
                <w:szCs w:val="21"/>
              </w:rPr>
            </w:pPr>
          </w:p>
        </w:tc>
        <w:tc>
          <w:tcPr>
            <w:tcW w:w="457" w:type="pct"/>
            <w:vMerge w:val="continue"/>
            <w:shd w:val="clear" w:color="auto" w:fill="auto"/>
            <w:vAlign w:val="center"/>
          </w:tcPr>
          <w:p>
            <w:pPr>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szCs w:val="21"/>
              </w:rPr>
              <w:t>项目方案</w:t>
            </w:r>
            <w:r>
              <w:rPr>
                <w:rFonts w:hint="eastAsia" w:ascii="宋体" w:hAnsi="宋体" w:cs="宋体"/>
                <w:shd w:val="clear" w:color="auto" w:fill="FFFFFF"/>
              </w:rPr>
              <w:t>的优化建议</w:t>
            </w:r>
          </w:p>
        </w:tc>
        <w:tc>
          <w:tcPr>
            <w:tcW w:w="394" w:type="pct"/>
            <w:vAlign w:val="center"/>
          </w:tcPr>
          <w:p>
            <w:pPr>
              <w:snapToGrid w:val="0"/>
              <w:jc w:val="center"/>
              <w:rPr>
                <w:rFonts w:ascii="宋体" w:hAnsi="宋体" w:cs="宋体"/>
              </w:rPr>
            </w:pPr>
            <w:r>
              <w:rPr>
                <w:rFonts w:ascii="宋体" w:hAnsi="宋体" w:cs="宋体"/>
                <w:szCs w:val="21"/>
              </w:rPr>
              <w:t>2</w:t>
            </w:r>
            <w:r>
              <w:rPr>
                <w:rFonts w:hint="eastAsia" w:ascii="宋体" w:hAnsi="宋体" w:cs="宋体"/>
                <w:szCs w:val="21"/>
              </w:rPr>
              <w:t>分</w:t>
            </w:r>
          </w:p>
        </w:tc>
        <w:tc>
          <w:tcPr>
            <w:tcW w:w="2563" w:type="pct"/>
            <w:vAlign w:val="center"/>
          </w:tcPr>
          <w:p>
            <w:pPr>
              <w:snapToGrid w:val="0"/>
              <w:jc w:val="left"/>
              <w:rPr>
                <w:rFonts w:ascii="宋体" w:hAnsi="宋体" w:cs="宋体"/>
                <w:szCs w:val="21"/>
              </w:rPr>
            </w:pPr>
            <w:r>
              <w:rPr>
                <w:rFonts w:hint="eastAsia" w:ascii="宋体" w:hAnsi="宋体" w:cs="宋体"/>
                <w:szCs w:val="21"/>
              </w:rPr>
              <w:t>优化建议科学合理，得</w:t>
            </w:r>
            <w:r>
              <w:rPr>
                <w:rFonts w:ascii="宋体" w:hAnsi="宋体" w:cs="宋体"/>
                <w:szCs w:val="21"/>
              </w:rPr>
              <w:t>1.6</w:t>
            </w:r>
            <w:r>
              <w:rPr>
                <w:rFonts w:hint="eastAsia" w:ascii="宋体" w:hAnsi="宋体" w:cs="宋体"/>
                <w:szCs w:val="21"/>
              </w:rPr>
              <w:t>（不含）-</w:t>
            </w:r>
            <w:r>
              <w:rPr>
                <w:rFonts w:ascii="宋体" w:hAnsi="宋体" w:cs="宋体"/>
                <w:szCs w:val="21"/>
              </w:rPr>
              <w:t>2</w:t>
            </w:r>
            <w:r>
              <w:rPr>
                <w:rFonts w:hint="eastAsia" w:ascii="宋体" w:hAnsi="宋体" w:cs="宋体"/>
                <w:szCs w:val="21"/>
              </w:rPr>
              <w:t>.0分；</w:t>
            </w:r>
          </w:p>
          <w:p>
            <w:pPr>
              <w:snapToGrid w:val="0"/>
              <w:jc w:val="left"/>
              <w:rPr>
                <w:rFonts w:ascii="宋体" w:hAnsi="宋体" w:cs="宋体"/>
                <w:szCs w:val="21"/>
              </w:rPr>
            </w:pPr>
            <w:r>
              <w:rPr>
                <w:rFonts w:hint="eastAsia" w:ascii="宋体" w:hAnsi="宋体" w:cs="宋体"/>
                <w:szCs w:val="21"/>
              </w:rPr>
              <w:t>优化建议较合理，得</w:t>
            </w:r>
            <w:r>
              <w:rPr>
                <w:rFonts w:ascii="宋体" w:hAnsi="宋体" w:cs="宋体"/>
                <w:szCs w:val="21"/>
              </w:rPr>
              <w:t>1.2</w:t>
            </w:r>
            <w:r>
              <w:rPr>
                <w:rFonts w:hint="eastAsia" w:ascii="宋体" w:hAnsi="宋体" w:cs="宋体"/>
                <w:szCs w:val="21"/>
              </w:rPr>
              <w:t>（不含）-</w:t>
            </w:r>
            <w:r>
              <w:rPr>
                <w:rFonts w:ascii="宋体" w:hAnsi="宋体" w:cs="宋体"/>
                <w:szCs w:val="21"/>
              </w:rPr>
              <w:t>1.6</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优化建议一般，得</w:t>
            </w:r>
            <w:r>
              <w:rPr>
                <w:rFonts w:ascii="宋体" w:hAnsi="宋体" w:cs="宋体"/>
                <w:szCs w:val="21"/>
              </w:rPr>
              <w:t>1.2</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00" w:type="pct"/>
            <w:vAlign w:val="center"/>
          </w:tcPr>
          <w:p>
            <w:pPr>
              <w:snapToGrid w:val="0"/>
              <w:ind w:left="-107" w:leftChars="-101" w:right="-88" w:rightChars="-42" w:hanging="105" w:hangingChars="50"/>
              <w:jc w:val="center"/>
              <w:rPr>
                <w:rFonts w:ascii="宋体" w:hAnsi="宋体" w:cs="宋体"/>
              </w:rPr>
            </w:pPr>
            <w:r>
              <w:rPr>
                <w:rFonts w:hint="eastAsia" w:ascii="宋体" w:hAnsi="宋体" w:cs="宋体"/>
                <w:szCs w:val="21"/>
              </w:rPr>
              <w:t>2.2.4（2）</w:t>
            </w:r>
          </w:p>
        </w:tc>
        <w:tc>
          <w:tcPr>
            <w:tcW w:w="513" w:type="pct"/>
            <w:shd w:val="clear" w:color="auto" w:fill="auto"/>
            <w:vAlign w:val="center"/>
          </w:tcPr>
          <w:p>
            <w:pPr>
              <w:snapToGrid w:val="0"/>
              <w:ind w:left="-145" w:leftChars="-69" w:right="-88" w:rightChars="-42" w:firstLine="1"/>
              <w:jc w:val="center"/>
              <w:rPr>
                <w:rFonts w:ascii="宋体" w:hAnsi="宋体" w:cs="宋体"/>
                <w:szCs w:val="21"/>
              </w:rPr>
            </w:pPr>
            <w:r>
              <w:rPr>
                <w:rFonts w:hint="eastAsia" w:ascii="宋体" w:hAnsi="宋体" w:cs="宋体"/>
                <w:szCs w:val="21"/>
              </w:rPr>
              <w:t>资信业绩</w:t>
            </w:r>
          </w:p>
        </w:tc>
        <w:tc>
          <w:tcPr>
            <w:tcW w:w="457" w:type="pct"/>
            <w:shd w:val="clear" w:color="auto" w:fill="auto"/>
            <w:vAlign w:val="center"/>
          </w:tcPr>
          <w:p>
            <w:pPr>
              <w:snapToGrid w:val="0"/>
              <w:jc w:val="center"/>
              <w:rPr>
                <w:rFonts w:ascii="宋体" w:hAnsi="宋体" w:cs="宋体"/>
              </w:rPr>
            </w:pPr>
            <w:r>
              <w:rPr>
                <w:rFonts w:hint="eastAsia" w:ascii="宋体" w:hAnsi="宋体" w:cs="宋体"/>
                <w:szCs w:val="21"/>
              </w:rPr>
              <w:t>1</w:t>
            </w:r>
            <w:r>
              <w:rPr>
                <w:rFonts w:ascii="宋体" w:hAnsi="宋体" w:cs="宋体"/>
                <w:szCs w:val="21"/>
              </w:rPr>
              <w:t>0</w:t>
            </w:r>
            <w:r>
              <w:rPr>
                <w:rFonts w:hint="eastAsia" w:ascii="宋体" w:hAnsi="宋体" w:cs="宋体"/>
                <w:szCs w:val="21"/>
              </w:rPr>
              <w:t>分</w:t>
            </w:r>
          </w:p>
        </w:tc>
        <w:tc>
          <w:tcPr>
            <w:tcW w:w="673" w:type="pct"/>
            <w:vAlign w:val="center"/>
          </w:tcPr>
          <w:p>
            <w:pPr>
              <w:snapToGrid w:val="0"/>
              <w:jc w:val="center"/>
              <w:rPr>
                <w:rFonts w:ascii="宋体" w:hAnsi="宋体" w:cs="宋体"/>
                <w:szCs w:val="21"/>
              </w:rPr>
            </w:pPr>
            <w:r>
              <w:rPr>
                <w:rFonts w:hint="eastAsia" w:ascii="宋体" w:hAnsi="宋体" w:cs="宋体"/>
                <w:szCs w:val="21"/>
              </w:rPr>
              <w:t>类似项目业绩</w:t>
            </w:r>
          </w:p>
        </w:tc>
        <w:tc>
          <w:tcPr>
            <w:tcW w:w="2957" w:type="pct"/>
            <w:gridSpan w:val="2"/>
            <w:vAlign w:val="center"/>
          </w:tcPr>
          <w:p>
            <w:pPr>
              <w:snapToGrid w:val="0"/>
              <w:jc w:val="left"/>
              <w:rPr>
                <w:rFonts w:ascii="宋体" w:hAnsi="宋体" w:cs="宋体"/>
                <w:szCs w:val="21"/>
              </w:rPr>
            </w:pPr>
            <w:r>
              <w:rPr>
                <w:rFonts w:hint="eastAsia" w:ascii="宋体" w:hAnsi="宋体" w:cs="宋体"/>
                <w:szCs w:val="21"/>
              </w:rPr>
              <w:t>满足资格审查条件（业绩最低要求）得</w:t>
            </w:r>
            <w:r>
              <w:rPr>
                <w:rFonts w:ascii="宋体" w:hAnsi="宋体" w:cs="宋体"/>
                <w:szCs w:val="21"/>
              </w:rPr>
              <w:t>6</w:t>
            </w:r>
            <w:r>
              <w:rPr>
                <w:rFonts w:hint="eastAsia" w:ascii="宋体" w:hAnsi="宋体" w:cs="宋体"/>
                <w:szCs w:val="21"/>
              </w:rPr>
              <w:t>分；</w:t>
            </w:r>
          </w:p>
          <w:p>
            <w:pPr>
              <w:snapToGrid w:val="0"/>
              <w:jc w:val="left"/>
              <w:rPr>
                <w:rFonts w:ascii="宋体" w:hAnsi="宋体" w:cs="宋体"/>
                <w:szCs w:val="21"/>
              </w:rPr>
            </w:pPr>
            <w:r>
              <w:rPr>
                <w:rFonts w:hint="eastAsia" w:ascii="宋体" w:hAnsi="宋体" w:cs="宋体"/>
                <w:szCs w:val="21"/>
              </w:rPr>
              <w:t>投标人每增加一项满足资格审查条件（业绩最低要求）的业绩（“一项”指一项研发业绩、一项设计业绩和一项施工业绩）加</w:t>
            </w:r>
            <w:r>
              <w:rPr>
                <w:rFonts w:ascii="宋体" w:hAnsi="宋体" w:cs="宋体"/>
                <w:szCs w:val="21"/>
              </w:rPr>
              <w:t>2</w:t>
            </w:r>
            <w:r>
              <w:rPr>
                <w:rFonts w:hint="eastAsia" w:ascii="宋体" w:hAnsi="宋体" w:cs="宋体"/>
                <w:szCs w:val="21"/>
              </w:rPr>
              <w:t>分，最多加</w:t>
            </w:r>
            <w:r>
              <w:rPr>
                <w:rFonts w:ascii="宋体" w:hAnsi="宋体" w:cs="宋体"/>
                <w:szCs w:val="21"/>
              </w:rPr>
              <w:t>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400" w:type="pct"/>
            <w:vAlign w:val="center"/>
          </w:tcPr>
          <w:p>
            <w:pPr>
              <w:snapToGrid w:val="0"/>
              <w:jc w:val="center"/>
              <w:rPr>
                <w:rFonts w:ascii="宋体" w:hAnsi="宋体" w:cs="宋体"/>
                <w:kern w:val="0"/>
                <w:szCs w:val="21"/>
                <w:lang w:val="zh-CN"/>
              </w:rPr>
            </w:pPr>
            <w:r>
              <w:rPr>
                <w:rFonts w:hint="eastAsia" w:ascii="宋体" w:hAnsi="宋体" w:cs="宋体"/>
                <w:szCs w:val="21"/>
              </w:rPr>
              <w:t>2.2.4（</w:t>
            </w:r>
            <w:r>
              <w:rPr>
                <w:rFonts w:ascii="宋体" w:hAnsi="宋体" w:cs="宋体"/>
                <w:szCs w:val="21"/>
              </w:rPr>
              <w:t>3</w:t>
            </w:r>
            <w:r>
              <w:rPr>
                <w:rFonts w:hint="eastAsia" w:ascii="宋体" w:hAnsi="宋体" w:cs="宋体"/>
                <w:szCs w:val="21"/>
              </w:rPr>
              <w:t>）</w:t>
            </w:r>
          </w:p>
        </w:tc>
        <w:tc>
          <w:tcPr>
            <w:tcW w:w="513" w:type="pct"/>
            <w:vAlign w:val="center"/>
          </w:tcPr>
          <w:p>
            <w:pPr>
              <w:snapToGrid w:val="0"/>
              <w:jc w:val="center"/>
              <w:rPr>
                <w:rFonts w:ascii="宋体" w:hAnsi="宋体" w:cs="宋体"/>
                <w:kern w:val="0"/>
                <w:szCs w:val="21"/>
                <w:lang w:val="zh-CN"/>
              </w:rPr>
            </w:pPr>
            <w:r>
              <w:rPr>
                <w:rFonts w:hint="eastAsia" w:ascii="宋体" w:hAnsi="宋体" w:cs="宋体"/>
                <w:szCs w:val="21"/>
              </w:rPr>
              <w:t>评标价</w:t>
            </w:r>
          </w:p>
        </w:tc>
        <w:tc>
          <w:tcPr>
            <w:tcW w:w="457" w:type="pct"/>
            <w:vAlign w:val="center"/>
          </w:tcPr>
          <w:p>
            <w:pPr>
              <w:snapToGrid w:val="0"/>
              <w:jc w:val="center"/>
              <w:rPr>
                <w:rFonts w:ascii="宋体" w:hAnsi="宋体" w:cs="宋体"/>
                <w:kern w:val="0"/>
                <w:szCs w:val="21"/>
                <w:lang w:val="zh-CN"/>
              </w:rPr>
            </w:pPr>
            <w:r>
              <w:rPr>
                <w:rFonts w:hint="eastAsia" w:ascii="宋体" w:hAnsi="宋体" w:cs="宋体"/>
                <w:szCs w:val="21"/>
              </w:rPr>
              <w:t>50分</w:t>
            </w:r>
          </w:p>
        </w:tc>
        <w:tc>
          <w:tcPr>
            <w:tcW w:w="3630" w:type="pct"/>
            <w:gridSpan w:val="3"/>
            <w:vAlign w:val="center"/>
          </w:tcPr>
          <w:p>
            <w:pPr>
              <w:tabs>
                <w:tab w:val="left" w:pos="3060"/>
              </w:tabs>
              <w:snapToGrid w:val="0"/>
              <w:rPr>
                <w:rFonts w:ascii="宋体" w:hAnsi="宋体" w:cs="宋体"/>
                <w:szCs w:val="21"/>
              </w:rPr>
            </w:pPr>
            <w:r>
              <w:rPr>
                <w:rFonts w:hint="eastAsia" w:ascii="宋体" w:hAnsi="宋体" w:cs="宋体"/>
              </w:rPr>
              <w:t>评标价</w:t>
            </w:r>
            <w:r>
              <w:rPr>
                <w:rFonts w:hint="eastAsia" w:ascii="宋体" w:hAnsi="宋体" w:cs="宋体"/>
                <w:szCs w:val="21"/>
              </w:rPr>
              <w:t>得分计算公式：</w:t>
            </w:r>
          </w:p>
          <w:p>
            <w:pPr>
              <w:tabs>
                <w:tab w:val="left" w:pos="3060"/>
              </w:tabs>
              <w:snapToGrid w:val="0"/>
              <w:rPr>
                <w:rFonts w:ascii="宋体" w:hAnsi="宋体" w:cs="宋体"/>
                <w:szCs w:val="21"/>
              </w:rPr>
            </w:pPr>
            <w:r>
              <w:rPr>
                <w:rFonts w:hint="eastAsia" w:ascii="宋体" w:hAnsi="宋体" w:cs="宋体"/>
                <w:szCs w:val="21"/>
              </w:rPr>
              <w:t>（1）如果投标人的评标价＞评标基准价，则评标价得分＝50－偏差率×100×E1；</w:t>
            </w:r>
          </w:p>
          <w:p>
            <w:pPr>
              <w:tabs>
                <w:tab w:val="left" w:pos="3060"/>
              </w:tabs>
              <w:snapToGrid w:val="0"/>
              <w:rPr>
                <w:rFonts w:ascii="宋体" w:hAnsi="宋体" w:cs="宋体"/>
                <w:szCs w:val="21"/>
              </w:rPr>
            </w:pPr>
            <w:r>
              <w:rPr>
                <w:rFonts w:hint="eastAsia" w:ascii="宋体" w:hAnsi="宋体" w:cs="宋体"/>
                <w:szCs w:val="21"/>
              </w:rPr>
              <w:t>（2）如果投标人的评标价≤评标基准价，则评标价得分＝50＋偏差率×100×E2；</w:t>
            </w:r>
          </w:p>
          <w:p>
            <w:pPr>
              <w:tabs>
                <w:tab w:val="left" w:pos="3060"/>
              </w:tabs>
              <w:snapToGrid w:val="0"/>
              <w:rPr>
                <w:rFonts w:ascii="宋体" w:hAnsi="宋体" w:cs="宋体"/>
                <w:szCs w:val="21"/>
              </w:rPr>
            </w:pPr>
            <w:r>
              <w:rPr>
                <w:rFonts w:hint="eastAsia" w:ascii="宋体" w:hAnsi="宋体" w:cs="宋体"/>
                <w:szCs w:val="21"/>
              </w:rPr>
              <w:t>其中，E1是评标价每高于评标基准价一个百分点的扣分值，E1＝0.6；E2是评标价每低于评标基准价一个百分点的扣分值，E2＝0.3。</w:t>
            </w:r>
          </w:p>
          <w:p>
            <w:pPr>
              <w:tabs>
                <w:tab w:val="left" w:pos="3060"/>
              </w:tabs>
              <w:snapToGrid w:val="0"/>
              <w:rPr>
                <w:rFonts w:ascii="宋体" w:hAnsi="宋体" w:cs="宋体"/>
                <w:szCs w:val="21"/>
              </w:rPr>
            </w:pPr>
            <w:r>
              <w:rPr>
                <w:rFonts w:hint="eastAsia" w:ascii="宋体" w:hAnsi="宋体" w:cs="宋体"/>
                <w:szCs w:val="21"/>
              </w:rPr>
              <w:t>评标价最低得分为0分，</w:t>
            </w:r>
            <w:r>
              <w:rPr>
                <w:rFonts w:hint="eastAsia" w:ascii="宋体" w:hAnsi="宋体" w:cs="宋体"/>
                <w:bCs/>
                <w:szCs w:val="21"/>
              </w:rPr>
              <w:t>评标价得分保留两位小数，第三位四舍五入。</w:t>
            </w:r>
          </w:p>
        </w:tc>
      </w:tr>
    </w:tbl>
    <w:p>
      <w:pPr>
        <w:pStyle w:val="6"/>
        <w:spacing w:before="120" w:beforeLines="50" w:line="312" w:lineRule="auto"/>
        <w:jc w:val="left"/>
        <w:rPr>
          <w:rFonts w:asciiTheme="minorEastAsia" w:hAnsiTheme="minorEastAsia" w:eastAsiaTheme="minorEastAsia"/>
        </w:rPr>
      </w:pPr>
      <w:r>
        <w:rPr>
          <w:rFonts w:hint="eastAsia" w:asciiTheme="minorEastAsia" w:hAnsiTheme="minorEastAsia" w:eastAsiaTheme="minorEastAsia"/>
        </w:rPr>
        <w:t>注：（1）</w:t>
      </w:r>
      <w:r>
        <w:rPr>
          <w:rFonts w:hint="eastAsia" w:hAnsi="宋体"/>
        </w:rPr>
        <w:t>承包人建议书和承包人实施方案</w:t>
      </w:r>
      <w:r>
        <w:rPr>
          <w:rFonts w:hint="eastAsia" w:asciiTheme="minorEastAsia" w:hAnsiTheme="minorEastAsia" w:eastAsiaTheme="minorEastAsia"/>
        </w:rPr>
        <w:t>以评标委员会各成员的打分平均值确定；评委打分保留</w:t>
      </w:r>
      <w:r>
        <w:rPr>
          <w:rFonts w:asciiTheme="minorEastAsia" w:hAnsiTheme="minorEastAsia" w:eastAsiaTheme="minorEastAsia"/>
        </w:rPr>
        <w:t>1</w:t>
      </w:r>
      <w:r>
        <w:rPr>
          <w:rFonts w:hint="eastAsia" w:asciiTheme="minorEastAsia" w:hAnsiTheme="minorEastAsia" w:eastAsiaTheme="minorEastAsia"/>
        </w:rPr>
        <w:t>位小数，汇总得分保留小数点后两位。</w:t>
      </w:r>
    </w:p>
    <w:p>
      <w:r>
        <w:rPr>
          <w:rFonts w:hint="eastAsia" w:asciiTheme="minorEastAsia" w:hAnsiTheme="minorEastAsia" w:eastAsiaTheme="minorEastAsia"/>
        </w:rPr>
        <w:t>（2）</w:t>
      </w:r>
      <w:r>
        <w:rPr>
          <w:rFonts w:hint="eastAsia" w:hAnsi="宋体"/>
        </w:rPr>
        <w:t>承包人建议书和承包人实施方案各评分因素细分项缺项</w:t>
      </w:r>
      <w:r>
        <w:rPr>
          <w:rFonts w:hAnsi="宋体"/>
        </w:rPr>
        <w:t>，则该项得</w:t>
      </w:r>
      <w:r>
        <w:rPr>
          <w:rFonts w:hint="eastAsia" w:hAnsi="宋体"/>
        </w:rPr>
        <w:t>0分</w:t>
      </w:r>
      <w:r>
        <w:rPr>
          <w:rFonts w:hAnsi="宋体"/>
        </w:rPr>
        <w:t>。</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17FE5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style>
  <w:style w:type="paragraph" w:styleId="5">
    <w:name w:val="Body Text 2"/>
    <w:basedOn w:val="1"/>
    <w:qFormat/>
    <w:uiPriority w:val="0"/>
    <w:rPr>
      <w:rFonts w:ascii="宋体" w:hAnsi="宋体"/>
      <w:sz w:val="28"/>
    </w:rPr>
  </w:style>
  <w:style w:type="paragraph" w:styleId="6">
    <w:name w:val="Plain Text"/>
    <w:basedOn w:val="1"/>
    <w:qFormat/>
    <w:uiPriority w:val="0"/>
    <w:rPr>
      <w:rFonts w:ascii="宋体" w:hAnsi="Courier New" w:cs="Courier New"/>
      <w:szCs w:val="21"/>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2023-11-10T10:52:34Z</dcterms:created>
  <dc:creator>Administrator</dc:creator>
  <cp:lastModifiedBy>李娜</cp:lastModifiedBy>
  <dcterms:modified xsi:type="dcterms:W3CDTF">2023-11-10T10:52:40Z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56CA02EF1B304936ABB9A6A783B7A677_12</vt:lpwstr>
  </property>
</Properties>
</file>