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_Toc148442205"/>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szCs w:val="21"/>
              </w:rPr>
              <w:t>近5年（2018年11月1日至投标截止时间，以通过成果验收或鉴定时间或登记时间为准）至少完成过1项公路路面科研项目。</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投标人在过去1年中（2022年11月1日至投标截止时间）不曾在高速公路科研项目合同中违约而被驱逐或因投标人自身的原因而使高速公路科研合同被解除。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高级职称；</w:t>
            </w:r>
          </w:p>
          <w:p>
            <w:pPr>
              <w:snapToGrid w:val="0"/>
              <w:spacing w:line="360" w:lineRule="exact"/>
              <w:rPr>
                <w:rFonts w:ascii="宋体" w:hAnsi="宋体"/>
                <w:szCs w:val="21"/>
              </w:rPr>
            </w:pPr>
            <w:r>
              <w:rPr>
                <w:rFonts w:hint="eastAsia" w:ascii="宋体" w:hAnsi="宋体"/>
                <w:szCs w:val="21"/>
              </w:rPr>
              <w:t>近5年（2018年11月1日至投标截止时间，以通过成果验收或鉴定时间或登记时间为准）</w:t>
            </w:r>
            <w:r>
              <w:rPr>
                <w:rFonts w:hint="eastAsia" w:ascii="宋体" w:hAnsi="宋体"/>
                <w:kern w:val="0"/>
                <w:szCs w:val="21"/>
              </w:rPr>
              <w:t>担任过</w:t>
            </w:r>
            <w:r>
              <w:rPr>
                <w:rFonts w:hint="eastAsia" w:ascii="宋体" w:hAnsi="宋体"/>
                <w:szCs w:val="21"/>
              </w:rPr>
              <w:t>1项公路路面科研项目</w:t>
            </w:r>
            <w:r>
              <w:rPr>
                <w:rFonts w:hint="eastAsia" w:ascii="宋体" w:hAnsi="宋体"/>
                <w:kern w:val="0"/>
                <w:szCs w:val="21"/>
              </w:rPr>
              <w:t>的项目负责人。</w:t>
            </w:r>
          </w:p>
        </w:tc>
      </w:tr>
    </w:tbl>
    <w:p>
      <w:pPr>
        <w:rPr>
          <w:rFonts w:ascii="宋体" w:hAnsi="宋体"/>
          <w:sz w:val="24"/>
          <w:szCs w:val="24"/>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1" w:name="_Toc148442206"/>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2"/>
        <w:snapToGrid w:val="0"/>
        <w:spacing w:before="120" w:after="120" w:line="240" w:lineRule="auto"/>
        <w:rPr>
          <w:sz w:val="24"/>
          <w:szCs w:val="24"/>
        </w:rPr>
      </w:pPr>
      <w:bookmarkStart w:id="2" w:name="_Toc66984522"/>
      <w:bookmarkStart w:id="3" w:name="_Toc66337244"/>
      <w:bookmarkStart w:id="4" w:name="_Toc144559653"/>
      <w:bookmarkStart w:id="5" w:name="_Toc148442207"/>
      <w:bookmarkStart w:id="6" w:name="_Toc138793770"/>
      <w:bookmarkStart w:id="7" w:name="_Toc65857110"/>
      <w:bookmarkStart w:id="8" w:name="_Toc65820978"/>
      <w:r>
        <w:rPr>
          <w:rFonts w:hint="eastAsia"/>
          <w:sz w:val="24"/>
          <w:szCs w:val="24"/>
        </w:rPr>
        <w:t>评标办法前附表</w:t>
      </w:r>
      <w:bookmarkEnd w:id="2"/>
      <w:bookmarkEnd w:id="3"/>
      <w:bookmarkEnd w:id="4"/>
      <w:bookmarkEnd w:id="5"/>
      <w:bookmarkEnd w:id="6"/>
      <w:bookmarkEnd w:id="7"/>
      <w:bookmarkEnd w:id="8"/>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817" w:type="dxa"/>
            <w:vAlign w:val="center"/>
          </w:tcPr>
          <w:p>
            <w:pPr>
              <w:snapToGrid w:val="0"/>
              <w:spacing w:line="340" w:lineRule="exact"/>
              <w:jc w:val="center"/>
              <w:rPr>
                <w:rFonts w:ascii="宋体" w:hAnsi="宋体"/>
              </w:rPr>
            </w:pPr>
            <w:r>
              <w:rPr>
                <w:rFonts w:hint="eastAsia" w:ascii="宋体" w:hAnsi="宋体"/>
              </w:rPr>
              <w:t>1</w:t>
            </w:r>
          </w:p>
        </w:tc>
        <w:tc>
          <w:tcPr>
            <w:tcW w:w="1141" w:type="dxa"/>
            <w:vAlign w:val="center"/>
          </w:tcPr>
          <w:p>
            <w:pPr>
              <w:snapToGrid w:val="0"/>
              <w:spacing w:line="340" w:lineRule="exact"/>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snapToGrid w:val="0"/>
              <w:spacing w:line="300" w:lineRule="exact"/>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41"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00" w:lineRule="exact"/>
              <w:rPr>
                <w:rFonts w:ascii="宋体" w:hAnsi="宋体"/>
                <w:b/>
                <w:szCs w:val="21"/>
              </w:rPr>
            </w:pPr>
            <w:r>
              <w:rPr>
                <w:rFonts w:hint="eastAsia" w:ascii="宋体" w:hAnsi="宋体"/>
                <w:b/>
                <w:szCs w:val="21"/>
              </w:rPr>
              <w:t>第一个信封（商务及技术文件）评审标准：</w:t>
            </w:r>
          </w:p>
          <w:p>
            <w:pPr>
              <w:tabs>
                <w:tab w:val="left" w:pos="3060"/>
              </w:tabs>
              <w:spacing w:line="30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0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a．投标函按招标文件规定填报了招标人名称、项目名称、补遗书编号（如有）、项目负责人相关信息、服务期限、质量要求等内容；</w:t>
            </w:r>
          </w:p>
          <w:p>
            <w:pPr>
              <w:tabs>
                <w:tab w:val="left" w:pos="3060"/>
              </w:tabs>
              <w:spacing w:line="30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0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0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0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0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0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）投标人在未提交两个以上不同的投标文件或备选方案。</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0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0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0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0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0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0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0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0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00" w:lineRule="exact"/>
              <w:ind w:firstLine="210" w:firstLineChars="100"/>
              <w:rPr>
                <w:rFonts w:ascii="宋体" w:hAnsi="宋体"/>
                <w:szCs w:val="21"/>
              </w:rPr>
            </w:pPr>
          </w:p>
          <w:p>
            <w:pPr>
              <w:tabs>
                <w:tab w:val="left" w:pos="3060"/>
              </w:tabs>
              <w:spacing w:line="300" w:lineRule="exact"/>
              <w:rPr>
                <w:rFonts w:ascii="宋体" w:hAnsi="宋体"/>
                <w:b/>
                <w:szCs w:val="21"/>
              </w:rPr>
            </w:pPr>
            <w:r>
              <w:rPr>
                <w:rFonts w:hint="eastAsia" w:ascii="宋体" w:hAnsi="宋体"/>
                <w:b/>
                <w:szCs w:val="21"/>
              </w:rPr>
              <w:t>第二个信封（报价文件）评审标准：</w:t>
            </w:r>
          </w:p>
          <w:p>
            <w:pPr>
              <w:tabs>
                <w:tab w:val="left" w:pos="3060"/>
              </w:tabs>
              <w:spacing w:line="30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0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0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0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）投标报价大写金额能够确定具体数值。</w:t>
            </w:r>
          </w:p>
          <w:p>
            <w:pPr>
              <w:tabs>
                <w:tab w:val="left" w:pos="3060"/>
              </w:tabs>
              <w:spacing w:line="30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00" w:lineRule="exact"/>
              <w:ind w:firstLine="205" w:firstLineChars="98"/>
              <w:rPr>
                <w:rFonts w:ascii="宋体" w:hAnsi="宋体"/>
                <w:bCs/>
                <w:szCs w:val="21"/>
              </w:rPr>
            </w:pPr>
            <w:r>
              <w:rPr>
                <w:rFonts w:hint="eastAsia" w:ascii="宋体" w:hAnsi="宋体"/>
                <w:bCs/>
                <w:szCs w:val="21"/>
              </w:rPr>
              <w:t>（6）投标人未提交调价函。</w:t>
            </w:r>
          </w:p>
          <w:p>
            <w:pPr>
              <w:tabs>
                <w:tab w:val="left" w:pos="3060"/>
              </w:tabs>
              <w:spacing w:line="300" w:lineRule="exact"/>
              <w:ind w:firstLine="205" w:firstLineChars="98"/>
              <w:rPr>
                <w:rFonts w:ascii="宋体" w:hAnsi="宋体"/>
                <w:bCs/>
                <w:szCs w:val="21"/>
              </w:rPr>
            </w:pPr>
            <w:r>
              <w:rPr>
                <w:rFonts w:hint="eastAsia" w:ascii="宋体" w:hAnsi="宋体"/>
                <w:bCs/>
                <w:szCs w:val="21"/>
              </w:rPr>
              <w:t>（7）报价清单中的投标报价和投标函大写金额报价一致。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817" w:type="dxa"/>
            <w:vAlign w:val="center"/>
          </w:tcPr>
          <w:p>
            <w:pPr>
              <w:jc w:val="center"/>
              <w:rPr>
                <w:rFonts w:ascii="宋体" w:hAnsi="宋体"/>
              </w:rPr>
            </w:pPr>
            <w:r>
              <w:rPr>
                <w:rFonts w:ascii="宋体" w:hAnsi="宋体"/>
              </w:rPr>
              <w:t>2.1.2</w:t>
            </w:r>
          </w:p>
        </w:tc>
        <w:tc>
          <w:tcPr>
            <w:tcW w:w="1141" w:type="dxa"/>
            <w:vAlign w:val="center"/>
          </w:tcPr>
          <w:p>
            <w:pPr>
              <w:jc w:val="center"/>
              <w:rPr>
                <w:rFonts w:ascii="宋体" w:hAnsi="宋体"/>
              </w:rPr>
            </w:pPr>
            <w:r>
              <w:rPr>
                <w:rFonts w:hint="eastAsia" w:ascii="宋体" w:hAnsi="宋体"/>
              </w:rPr>
              <w:t>资格评审标准</w:t>
            </w:r>
          </w:p>
        </w:tc>
        <w:tc>
          <w:tcPr>
            <w:tcW w:w="7648" w:type="dxa"/>
            <w:vAlign w:val="center"/>
          </w:tcPr>
          <w:p>
            <w:pPr>
              <w:tabs>
                <w:tab w:val="left" w:pos="3060"/>
              </w:tabs>
              <w:spacing w:line="300" w:lineRule="exact"/>
              <w:ind w:firstLine="205" w:firstLineChars="98"/>
              <w:rPr>
                <w:rFonts w:ascii="宋体" w:hAnsi="宋体"/>
                <w:bCs/>
                <w:szCs w:val="21"/>
              </w:rPr>
            </w:pPr>
            <w:r>
              <w:rPr>
                <w:rFonts w:hint="eastAsia" w:ascii="宋体" w:hAnsi="宋体"/>
                <w:bCs/>
                <w:szCs w:val="21"/>
              </w:rPr>
              <w:t>（1）投标人具备有效的营业执照（或事业单位法人证书）、基本账户开户许可证（或基本存款账户信息）；</w:t>
            </w:r>
          </w:p>
          <w:p>
            <w:pPr>
              <w:tabs>
                <w:tab w:val="left" w:pos="3060"/>
              </w:tabs>
              <w:spacing w:line="300" w:lineRule="exact"/>
              <w:ind w:firstLine="205" w:firstLineChars="98"/>
              <w:rPr>
                <w:rFonts w:ascii="宋体" w:hAnsi="宋体"/>
                <w:bCs/>
                <w:szCs w:val="21"/>
              </w:rPr>
            </w:pPr>
            <w:r>
              <w:rPr>
                <w:rFonts w:hint="eastAsia" w:ascii="宋体" w:hAnsi="宋体"/>
                <w:bCs/>
                <w:szCs w:val="21"/>
              </w:rPr>
              <w:t>（2）投标人的类似项目业绩符合招标文件规定；</w:t>
            </w:r>
          </w:p>
          <w:p>
            <w:pPr>
              <w:tabs>
                <w:tab w:val="left" w:pos="3060"/>
              </w:tabs>
              <w:spacing w:line="30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）投标人的信誉符合招标文件规定；</w:t>
            </w:r>
          </w:p>
          <w:p>
            <w:pPr>
              <w:tabs>
                <w:tab w:val="left" w:pos="3060"/>
              </w:tabs>
              <w:spacing w:line="30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 xml:space="preserve">）投标人的项目负责人资格符合招标文件规定； </w:t>
            </w:r>
          </w:p>
          <w:p>
            <w:pPr>
              <w:tabs>
                <w:tab w:val="left" w:pos="3060"/>
              </w:tabs>
              <w:spacing w:line="300" w:lineRule="exact"/>
              <w:ind w:firstLine="205" w:firstLineChars="98"/>
              <w:rPr>
                <w:rFonts w:ascii="宋体" w:hAnsi="宋体"/>
                <w:szCs w:val="21"/>
              </w:rPr>
            </w:pPr>
            <w:r>
              <w:rPr>
                <w:rFonts w:hint="eastAsia" w:ascii="宋体" w:hAnsi="宋体"/>
                <w:bCs/>
                <w:szCs w:val="21"/>
              </w:rPr>
              <w:t>（</w:t>
            </w:r>
            <w:r>
              <w:rPr>
                <w:rFonts w:ascii="宋体" w:hAnsi="宋体"/>
                <w:bCs/>
                <w:szCs w:val="21"/>
              </w:rPr>
              <w:t>5</w:t>
            </w:r>
            <w:r>
              <w:rPr>
                <w:rFonts w:hint="eastAsia" w:ascii="宋体" w:hAnsi="宋体"/>
                <w:bCs/>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2.2.1</w:t>
            </w:r>
          </w:p>
        </w:tc>
        <w:tc>
          <w:tcPr>
            <w:tcW w:w="1141"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2.2.2</w:t>
            </w:r>
          </w:p>
        </w:tc>
        <w:tc>
          <w:tcPr>
            <w:tcW w:w="1141"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2.2.3</w:t>
            </w:r>
          </w:p>
        </w:tc>
        <w:tc>
          <w:tcPr>
            <w:tcW w:w="1141"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41"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1134" w:type="dxa"/>
            <w:gridSpan w:val="2"/>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5</w:t>
            </w:r>
            <w:r>
              <w:rPr>
                <w:rFonts w:hint="eastAsia" w:ascii="宋体" w:hAnsi="宋体" w:cs="宋体"/>
                <w:kern w:val="0"/>
                <w:szCs w:val="21"/>
              </w:rPr>
              <w:t>分）</w:t>
            </w:r>
          </w:p>
        </w:tc>
        <w:tc>
          <w:tcPr>
            <w:tcW w:w="992" w:type="dxa"/>
            <w:vMerge w:val="restart"/>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对研究项目的理解</w:t>
            </w:r>
          </w:p>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项目研究的目的与意义描述（5分）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szCs w:val="21"/>
              </w:rPr>
              <w:t>目的明确、描述清晰，得4.0（不含）-5.0分；</w:t>
            </w:r>
          </w:p>
          <w:p>
            <w:pPr>
              <w:jc w:val="left"/>
              <w:rPr>
                <w:rFonts w:ascii="宋体" w:hAnsi="宋体" w:cs="宋体"/>
                <w:szCs w:val="21"/>
              </w:rPr>
            </w:pPr>
            <w:r>
              <w:rPr>
                <w:rFonts w:hint="eastAsia" w:ascii="宋体" w:hAnsi="宋体" w:cs="宋体"/>
                <w:szCs w:val="21"/>
              </w:rPr>
              <w:t>目的较明确、描述较清晰，得3.0（不含）-4.0（含）分；</w:t>
            </w:r>
          </w:p>
          <w:p>
            <w:pPr>
              <w:pStyle w:val="3"/>
              <w:snapToGrid w:val="0"/>
              <w:jc w:val="left"/>
              <w:rPr>
                <w:rFonts w:hAnsi="宋体"/>
                <w:kern w:val="2"/>
                <w:sz w:val="21"/>
                <w:szCs w:val="21"/>
              </w:rPr>
            </w:pPr>
            <w:r>
              <w:rPr>
                <w:rFonts w:hint="eastAsia" w:hAnsi="宋体" w:cs="宋体"/>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国内研究现状分析及对本研究课题的认识（5分）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jc w:val="left"/>
              <w:rPr>
                <w:rFonts w:ascii="宋体" w:hAnsi="宋体" w:cs="宋体"/>
                <w:szCs w:val="21"/>
              </w:rPr>
            </w:pPr>
            <w:r>
              <w:rPr>
                <w:rFonts w:hint="eastAsia" w:ascii="宋体" w:hAnsi="宋体" w:cs="宋体"/>
                <w:szCs w:val="21"/>
              </w:rPr>
              <w:t>了解较深入、较清楚，得3.0（不含）-4.0（含）分；</w:t>
            </w:r>
          </w:p>
          <w:p>
            <w:pPr>
              <w:pStyle w:val="3"/>
              <w:snapToGrid w:val="0"/>
              <w:jc w:val="left"/>
              <w:rPr>
                <w:rFonts w:hAnsi="宋体"/>
                <w:kern w:val="2"/>
                <w:sz w:val="21"/>
                <w:szCs w:val="21"/>
              </w:rPr>
            </w:pPr>
            <w:r>
              <w:rPr>
                <w:rFonts w:hint="eastAsia" w:hAnsi="宋体" w:cs="宋体"/>
                <w:szCs w:val="21"/>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restart"/>
            <w:tcBorders>
              <w:right w:val="single" w:color="auto" w:sz="4" w:space="0"/>
            </w:tcBorders>
            <w:vAlign w:val="center"/>
          </w:tcPr>
          <w:p>
            <w:pPr>
              <w:spacing w:line="320" w:lineRule="exact"/>
              <w:ind w:left="20"/>
              <w:jc w:val="center"/>
              <w:rPr>
                <w:rFonts w:ascii="宋体" w:hAnsi="宋体" w:cs="宋体"/>
              </w:rPr>
            </w:pPr>
            <w:r>
              <w:rPr>
                <w:rFonts w:hint="eastAsia" w:ascii="宋体" w:hAnsi="宋体" w:cs="宋体"/>
              </w:rPr>
              <w:t>项目研究实施方案</w:t>
            </w:r>
          </w:p>
          <w:p>
            <w:pPr>
              <w:pStyle w:val="3"/>
              <w:snapToGrid w:val="0"/>
              <w:ind w:left="27" w:leftChars="-48" w:right="-31" w:rightChars="-15" w:hanging="128" w:hangingChars="64"/>
              <w:jc w:val="center"/>
              <w:rPr>
                <w:rFonts w:hAnsi="宋体"/>
                <w:kern w:val="2"/>
                <w:sz w:val="21"/>
                <w:szCs w:val="21"/>
              </w:rPr>
            </w:pPr>
            <w:r>
              <w:rPr>
                <w:rFonts w:hint="eastAsia" w:hAnsi="宋体" w:cs="宋体"/>
              </w:rPr>
              <w:t>(20分)</w:t>
            </w: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研究的主要内容描述（6分）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内容具体，方案切实可行，得4.8（不含）-6.0分；</w:t>
            </w:r>
          </w:p>
          <w:p>
            <w:pPr>
              <w:jc w:val="left"/>
              <w:rPr>
                <w:rFonts w:ascii="宋体" w:hAnsi="宋体" w:cs="宋体"/>
                <w:szCs w:val="21"/>
              </w:rPr>
            </w:pPr>
            <w:r>
              <w:rPr>
                <w:rFonts w:hint="eastAsia" w:ascii="宋体" w:hAnsi="宋体" w:cs="宋体"/>
                <w:szCs w:val="21"/>
              </w:rPr>
              <w:t>内容清楚，方案基本可行，得3.6（不含）-4.8（含）分；</w:t>
            </w:r>
          </w:p>
          <w:p>
            <w:pPr>
              <w:pStyle w:val="3"/>
              <w:snapToGrid w:val="0"/>
              <w:jc w:val="left"/>
              <w:rPr>
                <w:rFonts w:hAnsi="宋体" w:cs="宋体"/>
                <w:kern w:val="2"/>
                <w:sz w:val="21"/>
                <w:szCs w:val="21"/>
              </w:rPr>
            </w:pPr>
            <w:r>
              <w:rPr>
                <w:rFonts w:hint="eastAsia" w:hAnsi="宋体" w:cs="宋体"/>
                <w:kern w:val="2"/>
                <w:sz w:val="21"/>
                <w:szCs w:val="21"/>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研究采用的技术路线（8分）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把握准确、描述具体清楚，得6.4（不含）-8.0分；</w:t>
            </w:r>
          </w:p>
          <w:p>
            <w:pPr>
              <w:jc w:val="left"/>
              <w:rPr>
                <w:rFonts w:ascii="宋体" w:hAnsi="宋体" w:cs="宋体"/>
                <w:szCs w:val="21"/>
              </w:rPr>
            </w:pPr>
            <w:r>
              <w:rPr>
                <w:rFonts w:hint="eastAsia" w:ascii="宋体" w:hAnsi="宋体" w:cs="宋体"/>
                <w:szCs w:val="21"/>
              </w:rPr>
              <w:t>把握较准确、描述清楚，得4.8（不含）-6.4（含）分；</w:t>
            </w:r>
          </w:p>
          <w:p>
            <w:pPr>
              <w:pStyle w:val="3"/>
              <w:snapToGrid w:val="0"/>
              <w:jc w:val="left"/>
              <w:rPr>
                <w:rFonts w:hAnsi="宋体" w:cs="宋体"/>
                <w:kern w:val="2"/>
                <w:sz w:val="21"/>
                <w:szCs w:val="21"/>
              </w:rPr>
            </w:pPr>
            <w:r>
              <w:rPr>
                <w:rFonts w:hint="eastAsia" w:hAnsi="宋体" w:cs="宋体"/>
                <w:kern w:val="2"/>
                <w:sz w:val="21"/>
                <w:szCs w:val="21"/>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27" w:leftChars="-48" w:right="-31" w:rightChars="-15" w:hanging="128" w:hangingChars="64"/>
              <w:jc w:val="center"/>
              <w:rPr>
                <w:rFonts w:hAnsi="宋体" w:cs="宋体"/>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对原有创新点的理解和建议</w:t>
            </w:r>
          </w:p>
          <w:p>
            <w:pPr>
              <w:pStyle w:val="3"/>
              <w:autoSpaceDE w:val="0"/>
              <w:autoSpaceDN w:val="0"/>
              <w:snapToGrid w:val="0"/>
              <w:ind w:left="33" w:leftChars="-48" w:right="-31" w:rightChars="-15" w:hanging="134" w:hangingChars="64"/>
              <w:jc w:val="left"/>
              <w:rPr>
                <w:rFonts w:hAnsi="宋体" w:cs="宋体"/>
                <w:kern w:val="2"/>
                <w:sz w:val="21"/>
                <w:szCs w:val="22"/>
              </w:rPr>
            </w:pPr>
            <w:r>
              <w:rPr>
                <w:rFonts w:hint="eastAsia" w:hAnsi="宋体" w:cs="宋体"/>
                <w:kern w:val="2"/>
                <w:sz w:val="21"/>
                <w:szCs w:val="22"/>
              </w:rPr>
              <w:t>（6分）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明确、合理可行，得4.8（不含）-6.0分；</w:t>
            </w:r>
          </w:p>
          <w:p>
            <w:pPr>
              <w:jc w:val="left"/>
              <w:rPr>
                <w:rFonts w:ascii="宋体" w:hAnsi="宋体" w:cs="宋体"/>
                <w:szCs w:val="21"/>
              </w:rPr>
            </w:pPr>
            <w:r>
              <w:rPr>
                <w:rFonts w:hint="eastAsia" w:ascii="宋体" w:hAnsi="宋体" w:cs="宋体"/>
                <w:szCs w:val="21"/>
              </w:rPr>
              <w:t>比较明确、较合理可行，得3.6（不含）-4.8（含）分；</w:t>
            </w:r>
          </w:p>
          <w:p>
            <w:pPr>
              <w:pStyle w:val="3"/>
              <w:snapToGrid w:val="0"/>
              <w:jc w:val="left"/>
              <w:rPr>
                <w:rFonts w:hAnsi="宋体" w:cs="宋体"/>
                <w:kern w:val="2"/>
                <w:sz w:val="21"/>
                <w:szCs w:val="21"/>
              </w:rPr>
            </w:pPr>
            <w:r>
              <w:rPr>
                <w:rFonts w:hint="eastAsia" w:hAnsi="宋体" w:cs="宋体"/>
                <w:kern w:val="2"/>
                <w:sz w:val="21"/>
                <w:szCs w:val="21"/>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工作计划与进度安排</w:t>
            </w:r>
          </w:p>
          <w:p>
            <w:pPr>
              <w:pStyle w:val="3"/>
              <w:snapToGrid w:val="0"/>
              <w:jc w:val="left"/>
              <w:rPr>
                <w:rFonts w:hAnsi="宋体"/>
                <w:kern w:val="2"/>
                <w:sz w:val="21"/>
                <w:szCs w:val="21"/>
              </w:rPr>
            </w:pPr>
            <w:r>
              <w:rPr>
                <w:rFonts w:hint="eastAsia" w:hAnsi="宋体" w:cs="宋体"/>
              </w:rPr>
              <w:t>（</w:t>
            </w:r>
            <w:r>
              <w:rPr>
                <w:rFonts w:hAnsi="宋体" w:cs="宋体"/>
              </w:rPr>
              <w:t>5</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计划进度安排科学合理，得4.0（不含）-5.0分；</w:t>
            </w:r>
          </w:p>
          <w:p>
            <w:pPr>
              <w:jc w:val="left"/>
              <w:rPr>
                <w:rFonts w:ascii="宋体" w:hAnsi="宋体" w:cs="宋体"/>
                <w:szCs w:val="21"/>
              </w:rPr>
            </w:pPr>
            <w:r>
              <w:rPr>
                <w:rFonts w:hint="eastAsia" w:ascii="宋体" w:hAnsi="宋体" w:cs="宋体"/>
                <w:szCs w:val="21"/>
              </w:rPr>
              <w:t>计划进度安排合理，得3.0（不含）-4.0（含）分；</w:t>
            </w:r>
          </w:p>
          <w:p>
            <w:pPr>
              <w:pStyle w:val="3"/>
              <w:snapToGrid w:val="0"/>
              <w:jc w:val="left"/>
              <w:rPr>
                <w:rFonts w:hAnsi="宋体" w:cs="宋体"/>
                <w:kern w:val="2"/>
                <w:sz w:val="21"/>
                <w:szCs w:val="21"/>
              </w:rPr>
            </w:pPr>
            <w:r>
              <w:rPr>
                <w:rFonts w:hint="eastAsia" w:hAnsi="宋体" w:cs="宋体"/>
                <w:kern w:val="2"/>
                <w:sz w:val="21"/>
                <w:szCs w:val="21"/>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hAnsi="宋体"/>
                <w:szCs w:val="21"/>
              </w:rPr>
            </w:pPr>
            <w:r>
              <w:rPr>
                <w:rFonts w:hint="eastAsia" w:ascii="宋体" w:hAnsi="宋体" w:cs="宋体"/>
              </w:rPr>
              <w:t>项目研究质量与进度保障措施（</w:t>
            </w:r>
            <w:r>
              <w:rPr>
                <w:rFonts w:ascii="宋体" w:hAnsi="宋体" w:cs="宋体"/>
              </w:rPr>
              <w:t>6</w:t>
            </w:r>
            <w:r>
              <w:rPr>
                <w:rFonts w:hint="eastAsia" w:ascii="宋体"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研究质量与进度保障措施科学合理，可操作性强，得</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研究质量与进度保障措施较合理，可操作性较强，得</w:t>
            </w:r>
            <w:r>
              <w:rPr>
                <w:rFonts w:ascii="宋体" w:hAnsi="宋体" w:cs="宋体"/>
                <w:szCs w:val="21"/>
              </w:rPr>
              <w:t>3</w:t>
            </w:r>
            <w:r>
              <w:rPr>
                <w:rFonts w:hint="eastAsia" w:ascii="宋体" w:hAnsi="宋体" w:cs="宋体"/>
                <w:szCs w:val="21"/>
              </w:rPr>
              <w:t>.</w:t>
            </w:r>
            <w:r>
              <w:rPr>
                <w:rFonts w:ascii="宋体" w:hAnsi="宋体" w:cs="宋体"/>
                <w:szCs w:val="21"/>
              </w:rPr>
              <w:t>6</w:t>
            </w:r>
            <w:r>
              <w:rPr>
                <w:rFonts w:hint="eastAsia" w:ascii="宋体" w:hAnsi="宋体" w:cs="宋体"/>
                <w:szCs w:val="21"/>
              </w:rPr>
              <w:t>（不含）-</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（含）分；</w:t>
            </w:r>
          </w:p>
          <w:p>
            <w:pPr>
              <w:pStyle w:val="3"/>
              <w:snapToGrid w:val="0"/>
              <w:jc w:val="left"/>
              <w:rPr>
                <w:rFonts w:hAnsi="宋体" w:cs="宋体"/>
                <w:kern w:val="2"/>
                <w:sz w:val="21"/>
                <w:szCs w:val="21"/>
              </w:rPr>
            </w:pPr>
            <w:r>
              <w:rPr>
                <w:rFonts w:hint="eastAsia" w:hAnsi="宋体" w:cs="宋体"/>
                <w:kern w:val="2"/>
                <w:sz w:val="21"/>
                <w:szCs w:val="21"/>
              </w:rPr>
              <w:t>研究质量与进度保障措施一般，可操作性一般，得</w:t>
            </w:r>
            <w:r>
              <w:rPr>
                <w:rFonts w:hAnsi="宋体" w:cs="宋体"/>
                <w:kern w:val="2"/>
                <w:sz w:val="21"/>
                <w:szCs w:val="21"/>
              </w:rPr>
              <w:t>3.6</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研究预期成果及推广前景</w:t>
            </w:r>
          </w:p>
          <w:p>
            <w:pPr>
              <w:pStyle w:val="3"/>
              <w:snapToGrid w:val="0"/>
              <w:jc w:val="left"/>
              <w:rPr>
                <w:rFonts w:hAnsi="宋体"/>
                <w:kern w:val="2"/>
                <w:sz w:val="21"/>
                <w:szCs w:val="21"/>
              </w:rPr>
            </w:pPr>
            <w:r>
              <w:rPr>
                <w:rFonts w:hint="eastAsia" w:hAnsi="宋体" w:cs="宋体"/>
              </w:rPr>
              <w:t>（</w:t>
            </w:r>
            <w:r>
              <w:rPr>
                <w:rFonts w:hAnsi="宋体" w:cs="宋体"/>
              </w:rPr>
              <w:t>4</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预期成果符合招标项目要求, 推广应用前景把握准确、描述具体清楚，得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预期成果较符合招标项目要求, 推广应用前景把握较准确、描述清楚，得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pStyle w:val="3"/>
              <w:rPr>
                <w:rFonts w:hAnsi="宋体" w:cs="宋体"/>
                <w:kern w:val="2"/>
                <w:sz w:val="21"/>
                <w:szCs w:val="21"/>
              </w:rPr>
            </w:pPr>
            <w:r>
              <w:rPr>
                <w:rFonts w:hint="eastAsia" w:hAnsi="宋体" w:cs="宋体"/>
                <w:kern w:val="2"/>
                <w:sz w:val="21"/>
                <w:szCs w:val="21"/>
              </w:rPr>
              <w:t>预期成果基本符合招标项目要求, 推广应用前景把握较准确、描述清楚，得</w:t>
            </w:r>
            <w:r>
              <w:rPr>
                <w:rFonts w:hAnsi="宋体" w:cs="宋体"/>
                <w:kern w:val="2"/>
                <w:sz w:val="21"/>
                <w:szCs w:val="21"/>
              </w:rPr>
              <w:t>2.4</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371"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6"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618"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371"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kern w:val="2"/>
                <w:sz w:val="21"/>
                <w:szCs w:val="21"/>
              </w:rPr>
            </w:pPr>
            <w:r>
              <w:rPr>
                <w:rFonts w:hint="eastAsia" w:hAnsi="宋体"/>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371"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tbl>
    <w:p>
      <w:bookmarkStart w:id="9" w:name="_Hlk71130285"/>
      <w:r>
        <w:rPr>
          <w:rFonts w:hint="eastAsia" w:ascii="宋体" w:hAnsi="宋体"/>
          <w:kern w:val="0"/>
          <w:sz w:val="20"/>
          <w:szCs w:val="20"/>
        </w:rPr>
        <w:t>注：</w:t>
      </w:r>
      <w:bookmarkEnd w:id="9"/>
      <w:r>
        <w:rPr>
          <w:rFonts w:hint="eastAsia" w:ascii="宋体" w:hAnsi="宋体"/>
          <w:kern w:val="0"/>
          <w:sz w:val="20"/>
          <w:szCs w:val="20"/>
        </w:rPr>
        <w:t>（1）技术建议书以评标委员会各成员的打分平均值确定；评委打分保留小数点后1位，汇总得分保留小数点后两位。（2）技术建议书评审因素缺项则该项得0分。</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2FDE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2023-11-08T00:28:43Z</dcterms:created>
  <dc:creator>Administrator</dc:creator>
  <cp:lastModifiedBy>李娜</cp:lastModifiedBy>
  <dcterms:modified xsi:type="dcterms:W3CDTF">2023-11-08T00:28:49Z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D108D872B78142BE8E4FBBFDA566EE9C_12</vt:lpwstr>
  </property>
</Properties>
</file>