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360" w:lineRule="auto"/>
        <w:rPr>
          <w:rFonts w:ascii="Times New Roman" w:hAnsi="Times New Roman" w:eastAsia="宋体"/>
          <w:snapToGrid w:val="0"/>
          <w:color w:val="auto"/>
          <w:kern w:val="0"/>
          <w:sz w:val="24"/>
          <w:highlight w:val="none"/>
        </w:rPr>
      </w:pPr>
      <w:bookmarkStart w:id="0" w:name="_Toc143528157"/>
      <w:bookmarkStart w:id="1" w:name="_Toc21751"/>
      <w:r>
        <w:rPr>
          <w:rFonts w:ascii="Times New Roman" w:hAnsi="Times New Roman" w:eastAsia="宋体"/>
          <w:snapToGrid w:val="0"/>
          <w:color w:val="auto"/>
          <w:kern w:val="0"/>
          <w:sz w:val="24"/>
          <w:highlight w:val="none"/>
        </w:rPr>
        <w:t>附件1：资格审查条件</w:t>
      </w:r>
      <w:bookmarkEnd w:id="0"/>
      <w:bookmarkEnd w:id="1"/>
    </w:p>
    <w:p>
      <w:pPr>
        <w:adjustRightInd w:val="0"/>
        <w:snapToGrid w:val="0"/>
        <w:spacing w:line="360" w:lineRule="auto"/>
        <w:jc w:val="center"/>
        <w:rPr>
          <w:b/>
          <w:bCs/>
          <w:snapToGrid w:val="0"/>
          <w:color w:val="auto"/>
          <w:kern w:val="0"/>
          <w:sz w:val="24"/>
          <w:highlight w:val="none"/>
        </w:rPr>
      </w:pPr>
    </w:p>
    <w:p>
      <w:pPr>
        <w:adjustRightInd w:val="0"/>
        <w:snapToGrid w:val="0"/>
        <w:spacing w:line="360" w:lineRule="auto"/>
        <w:jc w:val="center"/>
        <w:rPr>
          <w:b/>
          <w:bCs/>
          <w:snapToGrid w:val="0"/>
          <w:color w:val="auto"/>
          <w:kern w:val="0"/>
          <w:sz w:val="24"/>
          <w:highlight w:val="none"/>
        </w:rPr>
      </w:pPr>
      <w:bookmarkStart w:id="2" w:name="_Hlk135638310"/>
      <w:r>
        <w:rPr>
          <w:b/>
          <w:bCs/>
          <w:snapToGrid w:val="0"/>
          <w:color w:val="auto"/>
          <w:kern w:val="0"/>
          <w:sz w:val="24"/>
          <w:highlight w:val="none"/>
        </w:rPr>
        <w:t>附录</w:t>
      </w:r>
      <w:r>
        <w:rPr>
          <w:rFonts w:hint="eastAsia"/>
          <w:b/>
          <w:bCs/>
          <w:snapToGrid w:val="0"/>
          <w:color w:val="auto"/>
          <w:kern w:val="0"/>
          <w:sz w:val="24"/>
          <w:highlight w:val="none"/>
        </w:rPr>
        <w:t xml:space="preserve"> </w:t>
      </w:r>
      <w:r>
        <w:rPr>
          <w:b/>
          <w:bCs/>
          <w:snapToGrid w:val="0"/>
          <w:color w:val="auto"/>
          <w:kern w:val="0"/>
          <w:sz w:val="24"/>
          <w:highlight w:val="none"/>
        </w:rPr>
        <w:t>1 资格审查条件（资质最低要求）</w:t>
      </w:r>
    </w:p>
    <w:tbl>
      <w:tblPr>
        <w:tblStyle w:val="5"/>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9071" w:type="dxa"/>
            <w:shd w:val="clear" w:color="auto" w:fill="auto"/>
            <w:vAlign w:val="center"/>
          </w:tcPr>
          <w:p>
            <w:pPr>
              <w:widowControl/>
              <w:autoSpaceDE w:val="0"/>
              <w:autoSpaceDN w:val="0"/>
              <w:adjustRightInd w:val="0"/>
              <w:snapToGrid w:val="0"/>
              <w:ind w:left="105" w:leftChars="50"/>
              <w:textAlignment w:val="baseline"/>
              <w:rPr>
                <w:snapToGrid w:val="0"/>
                <w:color w:val="auto"/>
                <w:kern w:val="0"/>
                <w:szCs w:val="21"/>
                <w:highlight w:val="none"/>
              </w:rPr>
            </w:pPr>
            <w:r>
              <w:rPr>
                <w:rFonts w:hint="eastAsia"/>
                <w:snapToGrid w:val="0"/>
                <w:color w:val="auto"/>
                <w:kern w:val="0"/>
                <w:szCs w:val="21"/>
                <w:highlight w:val="none"/>
              </w:rPr>
              <w:t>1、</w:t>
            </w:r>
            <w:r>
              <w:rPr>
                <w:snapToGrid w:val="0"/>
                <w:color w:val="auto"/>
                <w:kern w:val="0"/>
                <w:szCs w:val="21"/>
                <w:highlight w:val="none"/>
              </w:rPr>
              <w:t>设计资质要求：</w:t>
            </w:r>
          </w:p>
          <w:p>
            <w:pPr>
              <w:widowControl/>
              <w:autoSpaceDE w:val="0"/>
              <w:autoSpaceDN w:val="0"/>
              <w:adjustRightInd w:val="0"/>
              <w:snapToGrid w:val="0"/>
              <w:ind w:left="105" w:leftChars="50"/>
              <w:textAlignment w:val="baseline"/>
              <w:rPr>
                <w:snapToGrid w:val="0"/>
                <w:color w:val="auto"/>
                <w:kern w:val="0"/>
                <w:szCs w:val="21"/>
                <w:highlight w:val="none"/>
              </w:rPr>
            </w:pPr>
            <w:r>
              <w:rPr>
                <w:snapToGrid w:val="0"/>
                <w:color w:val="auto"/>
                <w:kern w:val="0"/>
                <w:szCs w:val="21"/>
                <w:highlight w:val="none"/>
              </w:rPr>
              <w:t>（1）具有独立企业法人资格，持有有效的企业营业执照；</w:t>
            </w:r>
          </w:p>
          <w:p>
            <w:pPr>
              <w:widowControl/>
              <w:autoSpaceDE w:val="0"/>
              <w:autoSpaceDN w:val="0"/>
              <w:adjustRightInd w:val="0"/>
              <w:snapToGrid w:val="0"/>
              <w:ind w:left="105" w:leftChars="50"/>
              <w:textAlignment w:val="baseline"/>
              <w:rPr>
                <w:snapToGrid w:val="0"/>
                <w:color w:val="auto"/>
                <w:kern w:val="0"/>
                <w:szCs w:val="21"/>
                <w:highlight w:val="none"/>
              </w:rPr>
            </w:pPr>
            <w:r>
              <w:rPr>
                <w:snapToGrid w:val="0"/>
                <w:color w:val="auto"/>
                <w:kern w:val="0"/>
                <w:szCs w:val="21"/>
                <w:highlight w:val="none"/>
              </w:rPr>
              <w:t>（2）具有</w:t>
            </w:r>
            <w:r>
              <w:rPr>
                <w:rFonts w:hint="eastAsia"/>
                <w:snapToGrid w:val="0"/>
                <w:color w:val="auto"/>
                <w:kern w:val="0"/>
                <w:szCs w:val="21"/>
                <w:highlight w:val="none"/>
              </w:rPr>
              <w:t>住建行政</w:t>
            </w:r>
            <w:r>
              <w:rPr>
                <w:snapToGrid w:val="0"/>
                <w:color w:val="auto"/>
                <w:kern w:val="0"/>
                <w:szCs w:val="21"/>
                <w:highlight w:val="none"/>
              </w:rPr>
              <w:t>主管部门颁发的工程设计综合甲级资质或工程设计电力行业乙级及以上资质或工程设计电力行业新能源发电专业乙级资质。</w:t>
            </w:r>
          </w:p>
          <w:p>
            <w:pPr>
              <w:widowControl/>
              <w:autoSpaceDE w:val="0"/>
              <w:autoSpaceDN w:val="0"/>
              <w:adjustRightInd w:val="0"/>
              <w:snapToGrid w:val="0"/>
              <w:ind w:left="105" w:leftChars="50"/>
              <w:textAlignment w:val="baseline"/>
              <w:rPr>
                <w:snapToGrid w:val="0"/>
                <w:color w:val="auto"/>
                <w:kern w:val="0"/>
                <w:szCs w:val="21"/>
                <w:highlight w:val="none"/>
              </w:rPr>
            </w:pPr>
            <w:r>
              <w:rPr>
                <w:rFonts w:hint="eastAsia"/>
                <w:snapToGrid w:val="0"/>
                <w:color w:val="auto"/>
                <w:kern w:val="0"/>
                <w:szCs w:val="21"/>
                <w:highlight w:val="none"/>
              </w:rPr>
              <w:t>2、</w:t>
            </w:r>
            <w:r>
              <w:rPr>
                <w:snapToGrid w:val="0"/>
                <w:color w:val="auto"/>
                <w:kern w:val="0"/>
                <w:szCs w:val="21"/>
                <w:highlight w:val="none"/>
              </w:rPr>
              <w:t>施工资质要求：</w:t>
            </w:r>
          </w:p>
          <w:p>
            <w:pPr>
              <w:widowControl/>
              <w:autoSpaceDE w:val="0"/>
              <w:autoSpaceDN w:val="0"/>
              <w:adjustRightInd w:val="0"/>
              <w:snapToGrid w:val="0"/>
              <w:ind w:left="105" w:leftChars="50"/>
              <w:textAlignment w:val="baseline"/>
              <w:rPr>
                <w:snapToGrid w:val="0"/>
                <w:color w:val="auto"/>
                <w:kern w:val="0"/>
                <w:szCs w:val="21"/>
                <w:highlight w:val="none"/>
              </w:rPr>
            </w:pPr>
            <w:r>
              <w:rPr>
                <w:snapToGrid w:val="0"/>
                <w:color w:val="auto"/>
                <w:kern w:val="0"/>
                <w:szCs w:val="21"/>
                <w:highlight w:val="none"/>
              </w:rPr>
              <w:t>（1）具有独立企业法人资格，持有有效的企业营业执照；</w:t>
            </w:r>
          </w:p>
          <w:p>
            <w:pPr>
              <w:widowControl/>
              <w:autoSpaceDE w:val="0"/>
              <w:autoSpaceDN w:val="0"/>
              <w:adjustRightInd w:val="0"/>
              <w:snapToGrid w:val="0"/>
              <w:ind w:left="105" w:leftChars="50"/>
              <w:textAlignment w:val="baseline"/>
              <w:rPr>
                <w:snapToGrid w:val="0"/>
                <w:color w:val="auto"/>
                <w:kern w:val="0"/>
                <w:szCs w:val="21"/>
                <w:highlight w:val="none"/>
              </w:rPr>
            </w:pPr>
            <w:r>
              <w:rPr>
                <w:snapToGrid w:val="0"/>
                <w:color w:val="auto"/>
                <w:kern w:val="0"/>
                <w:szCs w:val="21"/>
                <w:highlight w:val="none"/>
              </w:rPr>
              <w:t>（2）具有</w:t>
            </w:r>
            <w:r>
              <w:rPr>
                <w:rFonts w:hint="eastAsia"/>
                <w:snapToGrid w:val="0"/>
                <w:color w:val="auto"/>
                <w:kern w:val="0"/>
                <w:szCs w:val="21"/>
                <w:highlight w:val="none"/>
              </w:rPr>
              <w:t>住建行政</w:t>
            </w:r>
            <w:r>
              <w:rPr>
                <w:snapToGrid w:val="0"/>
                <w:color w:val="auto"/>
                <w:kern w:val="0"/>
                <w:szCs w:val="21"/>
                <w:highlight w:val="none"/>
              </w:rPr>
              <w:t>主管部门颁发的电力工程施工总承包</w:t>
            </w:r>
            <w:r>
              <w:rPr>
                <w:rFonts w:hint="eastAsia"/>
                <w:snapToGrid w:val="0"/>
                <w:color w:val="auto"/>
                <w:kern w:val="0"/>
                <w:szCs w:val="21"/>
                <w:highlight w:val="none"/>
              </w:rPr>
              <w:t>三</w:t>
            </w:r>
            <w:r>
              <w:rPr>
                <w:snapToGrid w:val="0"/>
                <w:color w:val="auto"/>
                <w:kern w:val="0"/>
                <w:szCs w:val="21"/>
                <w:highlight w:val="none"/>
              </w:rPr>
              <w:t>级及以上资质；</w:t>
            </w:r>
          </w:p>
          <w:p>
            <w:pPr>
              <w:widowControl/>
              <w:autoSpaceDE w:val="0"/>
              <w:autoSpaceDN w:val="0"/>
              <w:adjustRightInd w:val="0"/>
              <w:snapToGrid w:val="0"/>
              <w:ind w:left="105" w:leftChars="50"/>
              <w:textAlignment w:val="baseline"/>
              <w:rPr>
                <w:snapToGrid w:val="0"/>
                <w:color w:val="auto"/>
                <w:kern w:val="0"/>
                <w:szCs w:val="21"/>
                <w:highlight w:val="none"/>
              </w:rPr>
            </w:pPr>
            <w:r>
              <w:rPr>
                <w:rFonts w:hint="eastAsia"/>
                <w:snapToGrid w:val="0"/>
                <w:color w:val="auto"/>
                <w:kern w:val="0"/>
                <w:szCs w:val="21"/>
                <w:highlight w:val="none"/>
              </w:rPr>
              <w:t>（3）具有承装（修、试）电力设施许可证，其中承装类、承修类、承试类均为五级及以上资质；</w:t>
            </w:r>
          </w:p>
          <w:p>
            <w:pPr>
              <w:widowControl/>
              <w:autoSpaceDE w:val="0"/>
              <w:autoSpaceDN w:val="0"/>
              <w:adjustRightInd w:val="0"/>
              <w:snapToGrid w:val="0"/>
              <w:ind w:left="105" w:leftChars="50"/>
              <w:textAlignment w:val="baseline"/>
              <w:rPr>
                <w:snapToGrid w:val="0"/>
                <w:color w:val="auto"/>
                <w:kern w:val="0"/>
                <w:szCs w:val="21"/>
                <w:highlight w:val="none"/>
              </w:rPr>
            </w:pPr>
            <w:r>
              <w:rPr>
                <w:snapToGrid w:val="0"/>
                <w:color w:val="auto"/>
                <w:kern w:val="0"/>
                <w:szCs w:val="21"/>
                <w:highlight w:val="none"/>
              </w:rPr>
              <w:t>（</w:t>
            </w:r>
            <w:r>
              <w:rPr>
                <w:rFonts w:hint="eastAsia"/>
                <w:snapToGrid w:val="0"/>
                <w:color w:val="auto"/>
                <w:kern w:val="0"/>
                <w:szCs w:val="21"/>
                <w:highlight w:val="none"/>
              </w:rPr>
              <w:t>4</w:t>
            </w:r>
            <w:r>
              <w:rPr>
                <w:snapToGrid w:val="0"/>
                <w:color w:val="auto"/>
                <w:kern w:val="0"/>
                <w:szCs w:val="21"/>
                <w:highlight w:val="none"/>
              </w:rPr>
              <w:t>）具有有效的安全生产许可证。</w:t>
            </w:r>
          </w:p>
          <w:p>
            <w:pPr>
              <w:widowControl/>
              <w:autoSpaceDE w:val="0"/>
              <w:autoSpaceDN w:val="0"/>
              <w:adjustRightInd w:val="0"/>
              <w:snapToGrid w:val="0"/>
              <w:ind w:left="105" w:leftChars="50"/>
              <w:textAlignment w:val="baseline"/>
              <w:rPr>
                <w:snapToGrid w:val="0"/>
                <w:color w:val="auto"/>
                <w:kern w:val="0"/>
                <w:szCs w:val="21"/>
                <w:highlight w:val="none"/>
              </w:rPr>
            </w:pPr>
            <w:r>
              <w:rPr>
                <w:rFonts w:hint="eastAsia"/>
                <w:snapToGrid w:val="0"/>
                <w:color w:val="auto"/>
                <w:kern w:val="0"/>
                <w:szCs w:val="21"/>
                <w:highlight w:val="none"/>
              </w:rPr>
              <w:t>3、</w:t>
            </w:r>
            <w:r>
              <w:rPr>
                <w:snapToGrid w:val="0"/>
                <w:color w:val="auto"/>
                <w:kern w:val="0"/>
                <w:szCs w:val="21"/>
                <w:highlight w:val="none"/>
              </w:rPr>
              <w:t>以联合体形式投标的，联合体应满足</w:t>
            </w:r>
            <w:r>
              <w:rPr>
                <w:rFonts w:hint="eastAsia"/>
                <w:snapToGrid w:val="0"/>
                <w:color w:val="auto"/>
                <w:kern w:val="0"/>
                <w:szCs w:val="21"/>
                <w:highlight w:val="none"/>
              </w:rPr>
              <w:t>上述</w:t>
            </w:r>
            <w:r>
              <w:rPr>
                <w:snapToGrid w:val="0"/>
                <w:color w:val="auto"/>
                <w:kern w:val="0"/>
                <w:szCs w:val="21"/>
                <w:highlight w:val="none"/>
              </w:rPr>
              <w:t>规定的资格条件</w:t>
            </w:r>
            <w:r>
              <w:rPr>
                <w:rFonts w:hint="eastAsia"/>
                <w:snapToGrid w:val="0"/>
                <w:color w:val="auto"/>
                <w:kern w:val="0"/>
                <w:szCs w:val="21"/>
                <w:highlight w:val="none"/>
              </w:rPr>
              <w:t>，</w:t>
            </w:r>
            <w:r>
              <w:rPr>
                <w:color w:val="auto"/>
                <w:szCs w:val="21"/>
                <w:highlight w:val="none"/>
              </w:rPr>
              <w:t>联合体牵头人应满足施工资质要求</w:t>
            </w:r>
            <w:r>
              <w:rPr>
                <w:rFonts w:hint="eastAsia"/>
                <w:color w:val="auto"/>
                <w:szCs w:val="21"/>
                <w:highlight w:val="none"/>
              </w:rPr>
              <w:t>。</w:t>
            </w:r>
          </w:p>
        </w:tc>
      </w:tr>
    </w:tbl>
    <w:p>
      <w:pPr>
        <w:adjustRightInd w:val="0"/>
        <w:snapToGrid w:val="0"/>
        <w:spacing w:line="360" w:lineRule="auto"/>
        <w:jc w:val="center"/>
        <w:rPr>
          <w:b/>
          <w:bCs/>
          <w:snapToGrid w:val="0"/>
          <w:color w:val="auto"/>
          <w:kern w:val="0"/>
          <w:sz w:val="24"/>
          <w:highlight w:val="none"/>
        </w:rPr>
      </w:pPr>
    </w:p>
    <w:p>
      <w:pPr>
        <w:jc w:val="center"/>
        <w:rPr>
          <w:color w:val="auto"/>
          <w:szCs w:val="21"/>
          <w:highlight w:val="none"/>
        </w:rPr>
      </w:pPr>
      <w:r>
        <w:rPr>
          <w:b/>
          <w:color w:val="auto"/>
          <w:sz w:val="24"/>
          <w:highlight w:val="none"/>
        </w:rPr>
        <w:t>附录</w:t>
      </w:r>
      <w:r>
        <w:rPr>
          <w:rFonts w:hint="eastAsia"/>
          <w:b/>
          <w:color w:val="auto"/>
          <w:sz w:val="24"/>
          <w:highlight w:val="none"/>
        </w:rPr>
        <w:t xml:space="preserve"> </w:t>
      </w:r>
      <w:r>
        <w:rPr>
          <w:b/>
          <w:color w:val="auto"/>
          <w:sz w:val="24"/>
          <w:highlight w:val="none"/>
        </w:rPr>
        <w:t>2 资格审查条件（财务最低要求）</w:t>
      </w:r>
    </w:p>
    <w:tbl>
      <w:tblPr>
        <w:tblStyle w:val="5"/>
        <w:tblW w:w="916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6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165" w:type="dxa"/>
            <w:tcBorders>
              <w:top w:val="single" w:color="auto" w:sz="2" w:space="0"/>
              <w:left w:val="single" w:color="auto" w:sz="2" w:space="0"/>
              <w:bottom w:val="single" w:color="auto" w:sz="2" w:space="0"/>
              <w:right w:val="single" w:color="auto" w:sz="2" w:space="0"/>
            </w:tcBorders>
            <w:vAlign w:val="center"/>
          </w:tcPr>
          <w:p>
            <w:pPr>
              <w:jc w:val="center"/>
              <w:rPr>
                <w:color w:val="auto"/>
                <w:highlight w:val="none"/>
              </w:rPr>
            </w:pPr>
            <w:r>
              <w:rPr>
                <w:color w:val="auto"/>
                <w:highlight w:val="none"/>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6" w:hRule="atLeast"/>
          <w:jc w:val="center"/>
        </w:trPr>
        <w:tc>
          <w:tcPr>
            <w:tcW w:w="9165" w:type="dxa"/>
            <w:tcBorders>
              <w:top w:val="single" w:color="auto" w:sz="2" w:space="0"/>
              <w:left w:val="single" w:color="auto" w:sz="2" w:space="0"/>
              <w:bottom w:val="single" w:color="auto" w:sz="2" w:space="0"/>
              <w:right w:val="single" w:color="auto" w:sz="2" w:space="0"/>
            </w:tcBorders>
            <w:vAlign w:val="center"/>
          </w:tcPr>
          <w:p>
            <w:pPr>
              <w:jc w:val="left"/>
              <w:rPr>
                <w:color w:val="auto"/>
                <w:szCs w:val="21"/>
                <w:highlight w:val="none"/>
              </w:rPr>
            </w:pPr>
            <w:r>
              <w:rPr>
                <w:rFonts w:hint="eastAsia"/>
                <w:color w:val="auto"/>
                <w:szCs w:val="21"/>
                <w:highlight w:val="none"/>
              </w:rPr>
              <w:t>承诺为本合同所提供的营运资金（以经会计事务所或审计机构审计的 2022 年度财务报表中：营运</w:t>
            </w:r>
          </w:p>
          <w:p>
            <w:pPr>
              <w:jc w:val="left"/>
              <w:rPr>
                <w:color w:val="auto"/>
                <w:highlight w:val="none"/>
              </w:rPr>
            </w:pPr>
            <w:r>
              <w:rPr>
                <w:rFonts w:hint="eastAsia"/>
                <w:color w:val="auto"/>
                <w:szCs w:val="21"/>
                <w:highlight w:val="none"/>
              </w:rPr>
              <w:t>资金=流动资产-流动负债，以年末数计算）以及为本项目而专门开具的银行信贷证明总和不得低于 1000 万元。以联合体形式投标的，联合体牵头人应满足本项规定的资格条件。</w:t>
            </w:r>
          </w:p>
        </w:tc>
      </w:tr>
    </w:tbl>
    <w:p>
      <w:pPr>
        <w:pStyle w:val="2"/>
        <w:rPr>
          <w:color w:val="auto"/>
          <w:highlight w:val="none"/>
        </w:rPr>
      </w:pPr>
    </w:p>
    <w:tbl>
      <w:tblPr>
        <w:tblStyle w:val="5"/>
        <w:tblpPr w:leftFromText="180" w:rightFromText="180" w:vertAnchor="text" w:horzAnchor="page" w:tblpX="1488" w:tblpY="526"/>
        <w:tblOverlap w:val="never"/>
        <w:tblW w:w="90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071" w:type="dxa"/>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9071" w:type="dxa"/>
            <w:shd w:val="clear" w:color="auto" w:fill="auto"/>
            <w:vAlign w:val="center"/>
          </w:tcPr>
          <w:p>
            <w:pPr>
              <w:widowControl/>
              <w:numPr>
                <w:ilvl w:val="0"/>
                <w:numId w:val="1"/>
              </w:numPr>
              <w:autoSpaceDE w:val="0"/>
              <w:autoSpaceDN w:val="0"/>
              <w:adjustRightInd w:val="0"/>
              <w:snapToGrid w:val="0"/>
              <w:spacing w:line="0" w:lineRule="atLeast"/>
              <w:ind w:left="105" w:leftChars="50"/>
              <w:textAlignment w:val="baseline"/>
              <w:rPr>
                <w:snapToGrid w:val="0"/>
                <w:color w:val="auto"/>
                <w:kern w:val="0"/>
                <w:szCs w:val="21"/>
                <w:highlight w:val="none"/>
              </w:rPr>
            </w:pPr>
            <w:r>
              <w:rPr>
                <w:snapToGrid w:val="0"/>
                <w:color w:val="auto"/>
                <w:kern w:val="0"/>
                <w:szCs w:val="21"/>
                <w:highlight w:val="none"/>
              </w:rPr>
              <w:t>设计业绩：近5年内（2018年</w:t>
            </w:r>
            <w:r>
              <w:rPr>
                <w:rFonts w:hint="eastAsia"/>
                <w:snapToGrid w:val="0"/>
                <w:color w:val="auto"/>
                <w:kern w:val="0"/>
                <w:szCs w:val="21"/>
                <w:highlight w:val="none"/>
              </w:rPr>
              <w:t>10月</w:t>
            </w:r>
            <w:r>
              <w:rPr>
                <w:snapToGrid w:val="0"/>
                <w:color w:val="auto"/>
                <w:kern w:val="0"/>
                <w:szCs w:val="21"/>
                <w:highlight w:val="none"/>
              </w:rPr>
              <w:t>1日</w:t>
            </w:r>
            <w:r>
              <w:rPr>
                <w:rFonts w:hint="eastAsia"/>
                <w:snapToGrid w:val="0"/>
                <w:color w:val="auto"/>
                <w:kern w:val="0"/>
                <w:szCs w:val="21"/>
                <w:highlight w:val="none"/>
              </w:rPr>
              <w:t>至投标截止时间</w:t>
            </w:r>
            <w:r>
              <w:rPr>
                <w:snapToGrid w:val="0"/>
                <w:color w:val="auto"/>
                <w:kern w:val="0"/>
                <w:szCs w:val="21"/>
                <w:highlight w:val="none"/>
              </w:rPr>
              <w:t>，</w:t>
            </w:r>
            <w:r>
              <w:rPr>
                <w:rFonts w:hint="eastAsia"/>
                <w:snapToGrid w:val="0"/>
                <w:color w:val="auto"/>
                <w:kern w:val="0"/>
                <w:szCs w:val="21"/>
                <w:highlight w:val="none"/>
              </w:rPr>
              <w:t>以施工图批复时间为准</w:t>
            </w:r>
            <w:r>
              <w:rPr>
                <w:snapToGrid w:val="0"/>
                <w:color w:val="auto"/>
                <w:kern w:val="0"/>
                <w:szCs w:val="21"/>
                <w:highlight w:val="none"/>
              </w:rPr>
              <w:t>），至少完成过</w:t>
            </w:r>
            <w:r>
              <w:rPr>
                <w:rFonts w:hint="eastAsia"/>
                <w:snapToGrid w:val="0"/>
                <w:color w:val="auto"/>
                <w:kern w:val="0"/>
                <w:szCs w:val="21"/>
                <w:highlight w:val="none"/>
              </w:rPr>
              <w:t>1</w:t>
            </w:r>
            <w:r>
              <w:rPr>
                <w:snapToGrid w:val="0"/>
                <w:color w:val="auto"/>
                <w:kern w:val="0"/>
                <w:szCs w:val="21"/>
                <w:highlight w:val="none"/>
              </w:rPr>
              <w:t>项装机容量不小于</w:t>
            </w:r>
            <w:r>
              <w:rPr>
                <w:rFonts w:hint="eastAsia"/>
                <w:snapToGrid w:val="0"/>
                <w:color w:val="auto"/>
                <w:kern w:val="0"/>
                <w:szCs w:val="21"/>
                <w:highlight w:val="none"/>
              </w:rPr>
              <w:t>10</w:t>
            </w:r>
            <w:r>
              <w:rPr>
                <w:snapToGrid w:val="0"/>
                <w:color w:val="auto"/>
                <w:kern w:val="0"/>
                <w:szCs w:val="21"/>
                <w:highlight w:val="none"/>
              </w:rPr>
              <w:t>MW的光伏发电项目设计业绩；</w:t>
            </w:r>
          </w:p>
          <w:p>
            <w:pPr>
              <w:widowControl/>
              <w:autoSpaceDE w:val="0"/>
              <w:autoSpaceDN w:val="0"/>
              <w:adjustRightInd w:val="0"/>
              <w:snapToGrid w:val="0"/>
              <w:spacing w:line="0" w:lineRule="atLeast"/>
              <w:ind w:left="105" w:leftChars="50"/>
              <w:textAlignment w:val="baseline"/>
              <w:rPr>
                <w:snapToGrid w:val="0"/>
                <w:color w:val="auto"/>
                <w:kern w:val="0"/>
                <w:szCs w:val="21"/>
                <w:highlight w:val="none"/>
              </w:rPr>
            </w:pPr>
            <w:r>
              <w:rPr>
                <w:rFonts w:hint="eastAsia"/>
                <w:color w:val="auto"/>
                <w:highlight w:val="none"/>
              </w:rPr>
              <w:t>2、</w:t>
            </w:r>
            <w:r>
              <w:rPr>
                <w:snapToGrid w:val="0"/>
                <w:color w:val="auto"/>
                <w:kern w:val="0"/>
                <w:szCs w:val="21"/>
                <w:highlight w:val="none"/>
              </w:rPr>
              <w:t>施工业绩：近5年内（2018年</w:t>
            </w:r>
            <w:r>
              <w:rPr>
                <w:rFonts w:hint="eastAsia"/>
                <w:snapToGrid w:val="0"/>
                <w:color w:val="auto"/>
                <w:kern w:val="0"/>
                <w:szCs w:val="21"/>
                <w:highlight w:val="none"/>
              </w:rPr>
              <w:t>10月</w:t>
            </w:r>
            <w:r>
              <w:rPr>
                <w:snapToGrid w:val="0"/>
                <w:color w:val="auto"/>
                <w:kern w:val="0"/>
                <w:szCs w:val="21"/>
                <w:highlight w:val="none"/>
              </w:rPr>
              <w:t>1日</w:t>
            </w:r>
            <w:r>
              <w:rPr>
                <w:rFonts w:hint="eastAsia"/>
                <w:snapToGrid w:val="0"/>
                <w:color w:val="auto"/>
                <w:kern w:val="0"/>
                <w:szCs w:val="21"/>
                <w:highlight w:val="none"/>
              </w:rPr>
              <w:t>至投标截止时间</w:t>
            </w:r>
            <w:r>
              <w:rPr>
                <w:snapToGrid w:val="0"/>
                <w:color w:val="auto"/>
                <w:kern w:val="0"/>
                <w:szCs w:val="21"/>
                <w:highlight w:val="none"/>
              </w:rPr>
              <w:t>，以竣工日期为准），至少完成过</w:t>
            </w:r>
            <w:r>
              <w:rPr>
                <w:rFonts w:hint="eastAsia"/>
                <w:snapToGrid w:val="0"/>
                <w:color w:val="auto"/>
                <w:kern w:val="0"/>
                <w:szCs w:val="21"/>
                <w:highlight w:val="none"/>
              </w:rPr>
              <w:t>1</w:t>
            </w:r>
            <w:r>
              <w:rPr>
                <w:snapToGrid w:val="0"/>
                <w:color w:val="auto"/>
                <w:kern w:val="0"/>
                <w:szCs w:val="21"/>
                <w:highlight w:val="none"/>
              </w:rPr>
              <w:t>项装机容量不小于</w:t>
            </w:r>
            <w:r>
              <w:rPr>
                <w:rFonts w:hint="eastAsia"/>
                <w:snapToGrid w:val="0"/>
                <w:color w:val="auto"/>
                <w:kern w:val="0"/>
                <w:szCs w:val="21"/>
                <w:highlight w:val="none"/>
              </w:rPr>
              <w:t>10</w:t>
            </w:r>
            <w:r>
              <w:rPr>
                <w:snapToGrid w:val="0"/>
                <w:color w:val="auto"/>
                <w:kern w:val="0"/>
                <w:szCs w:val="21"/>
                <w:highlight w:val="none"/>
              </w:rPr>
              <w:t>MW</w:t>
            </w:r>
            <w:r>
              <w:rPr>
                <w:rFonts w:hint="eastAsia"/>
                <w:snapToGrid w:val="0"/>
                <w:color w:val="auto"/>
                <w:kern w:val="0"/>
                <w:szCs w:val="21"/>
                <w:highlight w:val="none"/>
              </w:rPr>
              <w:t>且已完成并网</w:t>
            </w:r>
            <w:r>
              <w:rPr>
                <w:snapToGrid w:val="0"/>
                <w:color w:val="auto"/>
                <w:kern w:val="0"/>
                <w:szCs w:val="21"/>
                <w:highlight w:val="none"/>
              </w:rPr>
              <w:t>的光伏发电项目施工业绩。</w:t>
            </w:r>
          </w:p>
          <w:p>
            <w:pPr>
              <w:widowControl/>
              <w:autoSpaceDE w:val="0"/>
              <w:autoSpaceDN w:val="0"/>
              <w:adjustRightInd w:val="0"/>
              <w:snapToGrid w:val="0"/>
              <w:spacing w:line="0" w:lineRule="atLeast"/>
              <w:ind w:left="105" w:leftChars="50"/>
              <w:textAlignment w:val="baseline"/>
              <w:rPr>
                <w:snapToGrid w:val="0"/>
                <w:color w:val="auto"/>
                <w:kern w:val="0"/>
                <w:szCs w:val="21"/>
                <w:highlight w:val="none"/>
              </w:rPr>
            </w:pPr>
            <w:r>
              <w:rPr>
                <w:snapToGrid w:val="0"/>
                <w:color w:val="auto"/>
                <w:kern w:val="0"/>
                <w:szCs w:val="21"/>
                <w:highlight w:val="none"/>
              </w:rPr>
              <w:t>注：设计业绩包括设计施工总承包业绩（所附业绩证明资料中能体现其中光伏发电设计的工作内容）或单独设计业绩；施工业绩包括设计施工总承包业绩（所附业绩证明资料中能体现其中光伏发电项目施工的工作内容）或单独施工业绩。</w:t>
            </w:r>
          </w:p>
          <w:p>
            <w:pPr>
              <w:widowControl/>
              <w:autoSpaceDE w:val="0"/>
              <w:autoSpaceDN w:val="0"/>
              <w:adjustRightInd w:val="0"/>
              <w:snapToGrid w:val="0"/>
              <w:spacing w:line="0" w:lineRule="atLeast"/>
              <w:ind w:left="105" w:leftChars="50"/>
              <w:textAlignment w:val="baseline"/>
              <w:rPr>
                <w:color w:val="auto"/>
                <w:highlight w:val="none"/>
              </w:rPr>
            </w:pPr>
            <w:r>
              <w:rPr>
                <w:rFonts w:hint="eastAsia"/>
                <w:snapToGrid w:val="0"/>
                <w:color w:val="auto"/>
                <w:kern w:val="0"/>
                <w:szCs w:val="21"/>
                <w:highlight w:val="none"/>
              </w:rPr>
              <w:t>3、</w:t>
            </w:r>
            <w:r>
              <w:rPr>
                <w:snapToGrid w:val="0"/>
                <w:color w:val="auto"/>
                <w:kern w:val="0"/>
                <w:szCs w:val="21"/>
                <w:highlight w:val="none"/>
              </w:rPr>
              <w:t>以联合体形式投标的，联合体应满足</w:t>
            </w:r>
            <w:r>
              <w:rPr>
                <w:rFonts w:hint="eastAsia"/>
                <w:snapToGrid w:val="0"/>
                <w:color w:val="auto"/>
                <w:kern w:val="0"/>
                <w:szCs w:val="21"/>
                <w:highlight w:val="none"/>
              </w:rPr>
              <w:t>上述</w:t>
            </w:r>
            <w:r>
              <w:rPr>
                <w:snapToGrid w:val="0"/>
                <w:color w:val="auto"/>
                <w:kern w:val="0"/>
                <w:szCs w:val="21"/>
                <w:highlight w:val="none"/>
              </w:rPr>
              <w:t>规定的资格条件。</w:t>
            </w:r>
          </w:p>
        </w:tc>
      </w:tr>
    </w:tbl>
    <w:p>
      <w:pPr>
        <w:adjustRightInd w:val="0"/>
        <w:snapToGrid w:val="0"/>
        <w:spacing w:line="360" w:lineRule="auto"/>
        <w:jc w:val="center"/>
        <w:rPr>
          <w:b/>
          <w:bCs/>
          <w:snapToGrid w:val="0"/>
          <w:color w:val="auto"/>
          <w:kern w:val="0"/>
          <w:sz w:val="24"/>
          <w:highlight w:val="none"/>
        </w:rPr>
      </w:pPr>
      <w:r>
        <w:rPr>
          <w:b/>
          <w:bCs/>
          <w:snapToGrid w:val="0"/>
          <w:color w:val="auto"/>
          <w:kern w:val="0"/>
          <w:sz w:val="24"/>
          <w:highlight w:val="none"/>
        </w:rPr>
        <w:t>附录</w:t>
      </w:r>
      <w:r>
        <w:rPr>
          <w:rFonts w:hint="eastAsia"/>
          <w:b/>
          <w:bCs/>
          <w:snapToGrid w:val="0"/>
          <w:color w:val="auto"/>
          <w:kern w:val="0"/>
          <w:sz w:val="24"/>
          <w:highlight w:val="none"/>
        </w:rPr>
        <w:t xml:space="preserve"> 3</w:t>
      </w:r>
      <w:r>
        <w:rPr>
          <w:b/>
          <w:bCs/>
          <w:snapToGrid w:val="0"/>
          <w:color w:val="auto"/>
          <w:kern w:val="0"/>
          <w:sz w:val="24"/>
          <w:highlight w:val="none"/>
        </w:rPr>
        <w:t xml:space="preserve"> 资格审查条件（业绩最低要求）</w:t>
      </w:r>
    </w:p>
    <w:p>
      <w:pPr>
        <w:adjustRightInd w:val="0"/>
        <w:snapToGrid w:val="0"/>
        <w:spacing w:line="360" w:lineRule="auto"/>
        <w:jc w:val="center"/>
        <w:rPr>
          <w:b/>
          <w:bCs/>
          <w:snapToGrid w:val="0"/>
          <w:color w:val="auto"/>
          <w:kern w:val="0"/>
          <w:sz w:val="24"/>
          <w:highlight w:val="none"/>
        </w:rPr>
      </w:pPr>
    </w:p>
    <w:p>
      <w:pPr>
        <w:adjustRightInd w:val="0"/>
        <w:snapToGrid w:val="0"/>
        <w:spacing w:line="360" w:lineRule="auto"/>
        <w:jc w:val="center"/>
        <w:rPr>
          <w:b/>
          <w:bCs/>
          <w:snapToGrid w:val="0"/>
          <w:color w:val="auto"/>
          <w:kern w:val="0"/>
          <w:sz w:val="24"/>
          <w:highlight w:val="none"/>
        </w:rPr>
      </w:pPr>
      <w:r>
        <w:rPr>
          <w:b/>
          <w:bCs/>
          <w:snapToGrid w:val="0"/>
          <w:color w:val="auto"/>
          <w:kern w:val="0"/>
          <w:sz w:val="24"/>
          <w:highlight w:val="none"/>
        </w:rPr>
        <w:t>附录</w:t>
      </w:r>
      <w:r>
        <w:rPr>
          <w:rFonts w:hint="eastAsia"/>
          <w:b/>
          <w:bCs/>
          <w:snapToGrid w:val="0"/>
          <w:color w:val="auto"/>
          <w:kern w:val="0"/>
          <w:sz w:val="24"/>
          <w:highlight w:val="none"/>
        </w:rPr>
        <w:t xml:space="preserve"> 4</w:t>
      </w:r>
      <w:r>
        <w:rPr>
          <w:b/>
          <w:bCs/>
          <w:snapToGrid w:val="0"/>
          <w:color w:val="auto"/>
          <w:kern w:val="0"/>
          <w:sz w:val="24"/>
          <w:highlight w:val="none"/>
        </w:rPr>
        <w:t xml:space="preserve"> 资格审查条件（信誉最低要求）</w:t>
      </w:r>
    </w:p>
    <w:tbl>
      <w:tblPr>
        <w:tblStyle w:val="5"/>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9071" w:type="dxa"/>
            <w:shd w:val="clear" w:color="auto" w:fill="auto"/>
            <w:vAlign w:val="center"/>
          </w:tcPr>
          <w:p>
            <w:pPr>
              <w:widowControl/>
              <w:numPr>
                <w:ilvl w:val="0"/>
                <w:numId w:val="2"/>
              </w:numPr>
              <w:autoSpaceDE w:val="0"/>
              <w:autoSpaceDN w:val="0"/>
              <w:adjustRightInd w:val="0"/>
              <w:snapToGrid w:val="0"/>
              <w:spacing w:line="0" w:lineRule="atLeast"/>
              <w:ind w:left="105" w:leftChars="50"/>
              <w:textAlignment w:val="baseline"/>
              <w:rPr>
                <w:snapToGrid w:val="0"/>
                <w:color w:val="auto"/>
                <w:kern w:val="0"/>
                <w:szCs w:val="21"/>
                <w:highlight w:val="none"/>
              </w:rPr>
            </w:pPr>
            <w:r>
              <w:rPr>
                <w:snapToGrid w:val="0"/>
                <w:color w:val="auto"/>
                <w:kern w:val="0"/>
                <w:szCs w:val="21"/>
                <w:highlight w:val="none"/>
              </w:rPr>
              <w:t>投标人在近1年内（2022年</w:t>
            </w:r>
            <w:r>
              <w:rPr>
                <w:rFonts w:hint="eastAsia"/>
                <w:snapToGrid w:val="0"/>
                <w:color w:val="auto"/>
                <w:kern w:val="0"/>
                <w:szCs w:val="21"/>
                <w:highlight w:val="none"/>
              </w:rPr>
              <w:t>10月</w:t>
            </w:r>
            <w:r>
              <w:rPr>
                <w:snapToGrid w:val="0"/>
                <w:color w:val="auto"/>
                <w:kern w:val="0"/>
                <w:szCs w:val="21"/>
                <w:highlight w:val="none"/>
              </w:rPr>
              <w:t>1日</w:t>
            </w:r>
            <w:r>
              <w:rPr>
                <w:rFonts w:hint="eastAsia"/>
                <w:snapToGrid w:val="0"/>
                <w:color w:val="auto"/>
                <w:kern w:val="0"/>
                <w:szCs w:val="21"/>
                <w:highlight w:val="none"/>
              </w:rPr>
              <w:t>至投标截止时间</w:t>
            </w:r>
            <w:r>
              <w:rPr>
                <w:snapToGrid w:val="0"/>
                <w:color w:val="auto"/>
                <w:kern w:val="0"/>
                <w:szCs w:val="21"/>
                <w:highlight w:val="none"/>
              </w:rPr>
              <w:t>）不曾在</w:t>
            </w:r>
            <w:r>
              <w:rPr>
                <w:rFonts w:hint="eastAsia"/>
                <w:snapToGrid w:val="0"/>
                <w:color w:val="auto"/>
                <w:kern w:val="0"/>
                <w:szCs w:val="21"/>
                <w:highlight w:val="none"/>
              </w:rPr>
              <w:t>光伏发电</w:t>
            </w:r>
            <w:r>
              <w:rPr>
                <w:snapToGrid w:val="0"/>
                <w:color w:val="auto"/>
                <w:kern w:val="0"/>
                <w:szCs w:val="21"/>
                <w:highlight w:val="none"/>
              </w:rPr>
              <w:t>工程合同中违约而被驱逐或因投标人自身的原因而使</w:t>
            </w:r>
            <w:r>
              <w:rPr>
                <w:rFonts w:hint="eastAsia"/>
                <w:snapToGrid w:val="0"/>
                <w:color w:val="auto"/>
                <w:kern w:val="0"/>
                <w:szCs w:val="21"/>
                <w:highlight w:val="none"/>
              </w:rPr>
              <w:t>光伏发电</w:t>
            </w:r>
            <w:r>
              <w:rPr>
                <w:snapToGrid w:val="0"/>
                <w:color w:val="auto"/>
                <w:kern w:val="0"/>
                <w:szCs w:val="21"/>
                <w:highlight w:val="none"/>
              </w:rPr>
              <w:t>工程合同被解除。</w:t>
            </w:r>
          </w:p>
          <w:p>
            <w:pPr>
              <w:widowControl/>
              <w:autoSpaceDE w:val="0"/>
              <w:autoSpaceDN w:val="0"/>
              <w:adjustRightInd w:val="0"/>
              <w:snapToGrid w:val="0"/>
              <w:spacing w:line="0" w:lineRule="atLeast"/>
              <w:ind w:left="105" w:leftChars="50"/>
              <w:textAlignment w:val="baseline"/>
              <w:rPr>
                <w:snapToGrid w:val="0"/>
                <w:color w:val="auto"/>
                <w:kern w:val="0"/>
                <w:szCs w:val="21"/>
                <w:highlight w:val="none"/>
              </w:rPr>
            </w:pPr>
            <w:r>
              <w:rPr>
                <w:rFonts w:hint="eastAsia"/>
                <w:snapToGrid w:val="0"/>
                <w:color w:val="auto"/>
                <w:kern w:val="0"/>
                <w:szCs w:val="21"/>
                <w:highlight w:val="none"/>
              </w:rPr>
              <w:t>2、</w:t>
            </w:r>
            <w:r>
              <w:rPr>
                <w:snapToGrid w:val="0"/>
                <w:color w:val="auto"/>
                <w:kern w:val="0"/>
                <w:szCs w:val="21"/>
                <w:highlight w:val="none"/>
              </w:rPr>
              <w:t>以联合体形式投标的，联合体应满足本项规定的资格条件。</w:t>
            </w:r>
          </w:p>
        </w:tc>
      </w:tr>
    </w:tbl>
    <w:p>
      <w:pPr>
        <w:pStyle w:val="2"/>
        <w:adjustRightInd w:val="0"/>
        <w:snapToGrid w:val="0"/>
        <w:spacing w:line="360" w:lineRule="auto"/>
        <w:jc w:val="center"/>
        <w:rPr>
          <w:b/>
          <w:bCs/>
          <w:snapToGrid w:val="0"/>
          <w:color w:val="auto"/>
          <w:kern w:val="0"/>
          <w:sz w:val="24"/>
          <w:highlight w:val="none"/>
        </w:rPr>
      </w:pPr>
    </w:p>
    <w:p>
      <w:pPr>
        <w:pStyle w:val="2"/>
        <w:adjustRightInd w:val="0"/>
        <w:snapToGrid w:val="0"/>
        <w:spacing w:line="360" w:lineRule="auto"/>
        <w:jc w:val="center"/>
        <w:rPr>
          <w:b/>
          <w:bCs/>
          <w:snapToGrid w:val="0"/>
          <w:color w:val="auto"/>
          <w:kern w:val="0"/>
          <w:sz w:val="24"/>
          <w:highlight w:val="none"/>
        </w:rPr>
      </w:pPr>
      <w:r>
        <w:rPr>
          <w:b/>
          <w:bCs/>
          <w:snapToGrid w:val="0"/>
          <w:color w:val="auto"/>
          <w:kern w:val="0"/>
          <w:sz w:val="24"/>
          <w:highlight w:val="none"/>
        </w:rPr>
        <w:t xml:space="preserve">附录 </w:t>
      </w:r>
      <w:r>
        <w:rPr>
          <w:rFonts w:hint="eastAsia"/>
          <w:b/>
          <w:bCs/>
          <w:snapToGrid w:val="0"/>
          <w:color w:val="auto"/>
          <w:kern w:val="0"/>
          <w:sz w:val="24"/>
          <w:highlight w:val="none"/>
        </w:rPr>
        <w:t>5</w:t>
      </w:r>
      <w:r>
        <w:rPr>
          <w:b/>
          <w:bCs/>
          <w:snapToGrid w:val="0"/>
          <w:color w:val="auto"/>
          <w:kern w:val="0"/>
          <w:sz w:val="24"/>
          <w:highlight w:val="none"/>
        </w:rPr>
        <w:t xml:space="preserve"> 资格审查条件（项目经理</w:t>
      </w:r>
      <w:r>
        <w:rPr>
          <w:rFonts w:hint="eastAsia"/>
          <w:b/>
          <w:bCs/>
          <w:snapToGrid w:val="0"/>
          <w:color w:val="auto"/>
          <w:kern w:val="0"/>
          <w:sz w:val="24"/>
          <w:highlight w:val="none"/>
        </w:rPr>
        <w:t>（兼施工负责人）</w:t>
      </w:r>
      <w:r>
        <w:rPr>
          <w:b/>
          <w:bCs/>
          <w:snapToGrid w:val="0"/>
          <w:color w:val="auto"/>
          <w:kern w:val="0"/>
          <w:sz w:val="24"/>
          <w:highlight w:val="none"/>
        </w:rPr>
        <w:t>、设计负责人最低要求）</w:t>
      </w:r>
    </w:p>
    <w:tbl>
      <w:tblPr>
        <w:tblStyle w:val="5"/>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567"/>
        <w:gridCol w:w="5669"/>
        <w:gridCol w:w="1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34" w:type="dxa"/>
            <w:tcBorders>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岗位</w:t>
            </w:r>
          </w:p>
        </w:tc>
        <w:tc>
          <w:tcPr>
            <w:tcW w:w="567"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数量</w:t>
            </w:r>
          </w:p>
        </w:tc>
        <w:tc>
          <w:tcPr>
            <w:tcW w:w="5669"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资格标准</w:t>
            </w:r>
          </w:p>
        </w:tc>
        <w:tc>
          <w:tcPr>
            <w:tcW w:w="1701" w:type="dxa"/>
            <w:tcBorders>
              <w:lef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1134" w:type="dxa"/>
            <w:tcBorders>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项目经理</w:t>
            </w:r>
            <w:r>
              <w:rPr>
                <w:color w:val="auto"/>
                <w:szCs w:val="21"/>
                <w:highlight w:val="none"/>
              </w:rPr>
              <w:t>（兼施工负责人）</w:t>
            </w:r>
          </w:p>
        </w:tc>
        <w:tc>
          <w:tcPr>
            <w:tcW w:w="567"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1</w:t>
            </w:r>
          </w:p>
        </w:tc>
        <w:tc>
          <w:tcPr>
            <w:tcW w:w="5669"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rPr>
                <w:snapToGrid w:val="0"/>
                <w:color w:val="auto"/>
                <w:kern w:val="0"/>
                <w:szCs w:val="21"/>
                <w:highlight w:val="none"/>
              </w:rPr>
            </w:pPr>
            <w:r>
              <w:rPr>
                <w:snapToGrid w:val="0"/>
                <w:color w:val="auto"/>
                <w:kern w:val="0"/>
                <w:szCs w:val="21"/>
                <w:highlight w:val="none"/>
              </w:rPr>
              <w:t>具有有效的</w:t>
            </w:r>
            <w:r>
              <w:rPr>
                <w:rFonts w:hint="eastAsia"/>
                <w:snapToGrid w:val="0"/>
                <w:color w:val="auto"/>
                <w:kern w:val="0"/>
                <w:szCs w:val="21"/>
                <w:highlight w:val="none"/>
              </w:rPr>
              <w:t>一</w:t>
            </w:r>
            <w:r>
              <w:rPr>
                <w:snapToGrid w:val="0"/>
                <w:color w:val="auto"/>
                <w:kern w:val="0"/>
                <w:szCs w:val="21"/>
                <w:highlight w:val="none"/>
              </w:rPr>
              <w:t>级建造师注册证书（机电工程专业）；相关证书的注册单位须与投标人（或联合体牵头人）单位名称一致；</w:t>
            </w:r>
          </w:p>
          <w:p>
            <w:pPr>
              <w:autoSpaceDE w:val="0"/>
              <w:autoSpaceDN w:val="0"/>
              <w:adjustRightInd w:val="0"/>
              <w:snapToGrid w:val="0"/>
              <w:spacing w:line="0" w:lineRule="atLeast"/>
              <w:rPr>
                <w:snapToGrid w:val="0"/>
                <w:color w:val="auto"/>
                <w:kern w:val="0"/>
                <w:szCs w:val="21"/>
                <w:highlight w:val="none"/>
              </w:rPr>
            </w:pPr>
            <w:r>
              <w:rPr>
                <w:snapToGrid w:val="0"/>
                <w:color w:val="auto"/>
                <w:kern w:val="0"/>
                <w:szCs w:val="21"/>
                <w:highlight w:val="none"/>
              </w:rPr>
              <w:t>具有</w:t>
            </w:r>
            <w:r>
              <w:rPr>
                <w:rFonts w:hint="eastAsia"/>
                <w:snapToGrid w:val="0"/>
                <w:color w:val="auto"/>
                <w:kern w:val="0"/>
                <w:szCs w:val="21"/>
                <w:highlight w:val="none"/>
              </w:rPr>
              <w:t>住建行政</w:t>
            </w:r>
            <w:r>
              <w:rPr>
                <w:snapToGrid w:val="0"/>
                <w:color w:val="auto"/>
                <w:kern w:val="0"/>
                <w:szCs w:val="21"/>
                <w:highlight w:val="none"/>
              </w:rPr>
              <w:t>主管部门颁发的有效的《安全生产考核合格证书》（B类），安全生产考核合格证书的登记单位须与投标人（或联合体牵头人）单位名称一致；</w:t>
            </w:r>
          </w:p>
          <w:p>
            <w:pPr>
              <w:autoSpaceDE w:val="0"/>
              <w:autoSpaceDN w:val="0"/>
              <w:adjustRightInd w:val="0"/>
              <w:snapToGrid w:val="0"/>
              <w:spacing w:line="0" w:lineRule="atLeast"/>
              <w:rPr>
                <w:color w:val="auto"/>
                <w:highlight w:val="none"/>
              </w:rPr>
            </w:pPr>
            <w:r>
              <w:rPr>
                <w:snapToGrid w:val="0"/>
                <w:color w:val="auto"/>
                <w:kern w:val="0"/>
                <w:szCs w:val="21"/>
                <w:highlight w:val="none"/>
              </w:rPr>
              <w:t>近5年（2018年10</w:t>
            </w:r>
            <w:r>
              <w:rPr>
                <w:rFonts w:hint="eastAsia"/>
                <w:snapToGrid w:val="0"/>
                <w:color w:val="auto"/>
                <w:kern w:val="0"/>
                <w:szCs w:val="21"/>
                <w:highlight w:val="none"/>
              </w:rPr>
              <w:t>月</w:t>
            </w:r>
            <w:r>
              <w:rPr>
                <w:snapToGrid w:val="0"/>
                <w:color w:val="auto"/>
                <w:kern w:val="0"/>
                <w:szCs w:val="21"/>
                <w:highlight w:val="none"/>
              </w:rPr>
              <w:t>1日</w:t>
            </w:r>
            <w:r>
              <w:rPr>
                <w:rFonts w:hint="eastAsia"/>
                <w:snapToGrid w:val="0"/>
                <w:color w:val="auto"/>
                <w:kern w:val="0"/>
                <w:szCs w:val="21"/>
                <w:highlight w:val="none"/>
              </w:rPr>
              <w:t>至投标截止时间</w:t>
            </w:r>
            <w:r>
              <w:rPr>
                <w:snapToGrid w:val="0"/>
                <w:color w:val="auto"/>
                <w:kern w:val="0"/>
                <w:szCs w:val="21"/>
                <w:highlight w:val="none"/>
              </w:rPr>
              <w:t>，以工程竣工日期为准）</w:t>
            </w:r>
            <w:r>
              <w:rPr>
                <w:rFonts w:hint="eastAsia"/>
                <w:snapToGrid w:val="0"/>
                <w:color w:val="auto"/>
                <w:kern w:val="0"/>
                <w:szCs w:val="21"/>
                <w:highlight w:val="none"/>
              </w:rPr>
              <w:t>至少</w:t>
            </w:r>
            <w:r>
              <w:rPr>
                <w:snapToGrid w:val="0"/>
                <w:color w:val="auto"/>
                <w:kern w:val="0"/>
                <w:szCs w:val="21"/>
                <w:highlight w:val="none"/>
              </w:rPr>
              <w:t>担任过1项装机容量不小于10MW</w:t>
            </w:r>
            <w:r>
              <w:rPr>
                <w:rFonts w:hint="eastAsia"/>
                <w:snapToGrid w:val="0"/>
                <w:color w:val="auto"/>
                <w:kern w:val="0"/>
                <w:szCs w:val="21"/>
                <w:highlight w:val="none"/>
              </w:rPr>
              <w:t>且已完成并网</w:t>
            </w:r>
            <w:r>
              <w:rPr>
                <w:snapToGrid w:val="0"/>
                <w:color w:val="auto"/>
                <w:kern w:val="0"/>
                <w:szCs w:val="21"/>
                <w:highlight w:val="none"/>
              </w:rPr>
              <w:t>的光伏发电项目</w:t>
            </w:r>
            <w:r>
              <w:rPr>
                <w:rFonts w:hint="eastAsia"/>
                <w:snapToGrid w:val="0"/>
                <w:color w:val="auto"/>
                <w:kern w:val="0"/>
                <w:szCs w:val="21"/>
                <w:highlight w:val="none"/>
              </w:rPr>
              <w:t>施工</w:t>
            </w:r>
            <w:r>
              <w:rPr>
                <w:snapToGrid w:val="0"/>
                <w:color w:val="auto"/>
                <w:kern w:val="0"/>
                <w:szCs w:val="21"/>
                <w:highlight w:val="none"/>
              </w:rPr>
              <w:t>的项目经理（或项目副经理或项目总工）。</w:t>
            </w:r>
          </w:p>
        </w:tc>
        <w:tc>
          <w:tcPr>
            <w:tcW w:w="1701" w:type="dxa"/>
            <w:tcBorders>
              <w:left w:val="single" w:color="000000" w:sz="4" w:space="0"/>
            </w:tcBorders>
            <w:shd w:val="clear" w:color="auto" w:fill="auto"/>
            <w:vAlign w:val="center"/>
          </w:tcPr>
          <w:p>
            <w:pPr>
              <w:autoSpaceDE w:val="0"/>
              <w:autoSpaceDN w:val="0"/>
              <w:adjustRightInd w:val="0"/>
              <w:snapToGrid w:val="0"/>
              <w:spacing w:line="0" w:lineRule="atLeast"/>
              <w:rPr>
                <w:snapToGrid w:val="0"/>
                <w:color w:val="auto"/>
                <w:kern w:val="0"/>
                <w:szCs w:val="21"/>
                <w:highlight w:val="none"/>
              </w:rPr>
            </w:pPr>
            <w:r>
              <w:rPr>
                <w:snapToGrid w:val="0"/>
                <w:color w:val="auto"/>
                <w:kern w:val="0"/>
                <w:szCs w:val="21"/>
                <w:highlight w:val="none"/>
              </w:rPr>
              <w:t>目前未在其他项目上任职，或虽在其他项目上任职但能够从其他项目撤离并能在本项目履约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jc w:val="center"/>
        </w:trPr>
        <w:tc>
          <w:tcPr>
            <w:tcW w:w="1134" w:type="dxa"/>
            <w:tcBorders>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设计负责人</w:t>
            </w:r>
          </w:p>
        </w:tc>
        <w:tc>
          <w:tcPr>
            <w:tcW w:w="567"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1</w:t>
            </w:r>
          </w:p>
        </w:tc>
        <w:tc>
          <w:tcPr>
            <w:tcW w:w="5669"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rPr>
                <w:snapToGrid w:val="0"/>
                <w:color w:val="auto"/>
                <w:kern w:val="0"/>
                <w:szCs w:val="21"/>
                <w:highlight w:val="none"/>
              </w:rPr>
            </w:pPr>
            <w:r>
              <w:rPr>
                <w:snapToGrid w:val="0"/>
                <w:color w:val="auto"/>
                <w:kern w:val="0"/>
                <w:szCs w:val="21"/>
                <w:highlight w:val="none"/>
              </w:rPr>
              <w:t>具有高级专业技术职称证书</w:t>
            </w:r>
            <w:r>
              <w:rPr>
                <w:rFonts w:hint="eastAsia"/>
                <w:snapToGrid w:val="0"/>
                <w:color w:val="auto"/>
                <w:kern w:val="0"/>
                <w:szCs w:val="21"/>
                <w:highlight w:val="none"/>
              </w:rPr>
              <w:t>（电气工程及其相关专业）</w:t>
            </w:r>
            <w:r>
              <w:rPr>
                <w:snapToGrid w:val="0"/>
                <w:color w:val="auto"/>
                <w:kern w:val="0"/>
                <w:szCs w:val="21"/>
                <w:highlight w:val="none"/>
              </w:rPr>
              <w:t>；</w:t>
            </w:r>
          </w:p>
          <w:p>
            <w:pPr>
              <w:autoSpaceDE w:val="0"/>
              <w:autoSpaceDN w:val="0"/>
              <w:adjustRightInd w:val="0"/>
              <w:snapToGrid w:val="0"/>
              <w:spacing w:line="0" w:lineRule="atLeast"/>
              <w:rPr>
                <w:color w:val="auto"/>
                <w:highlight w:val="none"/>
              </w:rPr>
            </w:pPr>
            <w:r>
              <w:rPr>
                <w:snapToGrid w:val="0"/>
                <w:color w:val="auto"/>
                <w:kern w:val="0"/>
                <w:szCs w:val="21"/>
                <w:highlight w:val="none"/>
              </w:rPr>
              <w:t>近5年（2018年10</w:t>
            </w:r>
            <w:r>
              <w:rPr>
                <w:rFonts w:hint="eastAsia"/>
                <w:snapToGrid w:val="0"/>
                <w:color w:val="auto"/>
                <w:kern w:val="0"/>
                <w:szCs w:val="21"/>
                <w:highlight w:val="none"/>
              </w:rPr>
              <w:t>月</w:t>
            </w:r>
            <w:r>
              <w:rPr>
                <w:snapToGrid w:val="0"/>
                <w:color w:val="auto"/>
                <w:kern w:val="0"/>
                <w:szCs w:val="21"/>
                <w:highlight w:val="none"/>
              </w:rPr>
              <w:t>1日</w:t>
            </w:r>
            <w:r>
              <w:rPr>
                <w:rFonts w:hint="eastAsia"/>
                <w:snapToGrid w:val="0"/>
                <w:color w:val="auto"/>
                <w:kern w:val="0"/>
                <w:szCs w:val="21"/>
                <w:highlight w:val="none"/>
              </w:rPr>
              <w:t>至投标截止时间</w:t>
            </w:r>
            <w:r>
              <w:rPr>
                <w:snapToGrid w:val="0"/>
                <w:color w:val="auto"/>
                <w:kern w:val="0"/>
                <w:szCs w:val="21"/>
                <w:highlight w:val="none"/>
              </w:rPr>
              <w:t>，以合同签订时间为准）</w:t>
            </w:r>
            <w:r>
              <w:rPr>
                <w:rFonts w:hint="eastAsia"/>
                <w:snapToGrid w:val="0"/>
                <w:color w:val="auto"/>
                <w:kern w:val="0"/>
                <w:szCs w:val="21"/>
                <w:highlight w:val="none"/>
              </w:rPr>
              <w:t>至少</w:t>
            </w:r>
            <w:r>
              <w:rPr>
                <w:snapToGrid w:val="0"/>
                <w:color w:val="auto"/>
                <w:kern w:val="0"/>
                <w:szCs w:val="21"/>
                <w:highlight w:val="none"/>
              </w:rPr>
              <w:t>担任过1项装机容量不小于10</w:t>
            </w:r>
            <w:r>
              <w:rPr>
                <w:rFonts w:hint="eastAsia"/>
                <w:snapToGrid w:val="0"/>
                <w:color w:val="auto"/>
                <w:kern w:val="0"/>
                <w:szCs w:val="21"/>
                <w:highlight w:val="none"/>
              </w:rPr>
              <w:t>MW的光伏发电设计项目</w:t>
            </w:r>
            <w:r>
              <w:rPr>
                <w:snapToGrid w:val="0"/>
                <w:color w:val="auto"/>
                <w:kern w:val="0"/>
                <w:szCs w:val="21"/>
                <w:highlight w:val="none"/>
              </w:rPr>
              <w:t>的项目负责人或设计负责人。</w:t>
            </w:r>
          </w:p>
        </w:tc>
        <w:tc>
          <w:tcPr>
            <w:tcW w:w="1701" w:type="dxa"/>
            <w:tcBorders>
              <w:lef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无</w:t>
            </w:r>
          </w:p>
        </w:tc>
      </w:tr>
      <w:bookmarkEnd w:id="2"/>
    </w:tbl>
    <w:p>
      <w:pPr>
        <w:adjustRightInd w:val="0"/>
        <w:snapToGrid w:val="0"/>
        <w:spacing w:line="360" w:lineRule="auto"/>
        <w:ind w:firstLine="480" w:firstLineChars="200"/>
        <w:jc w:val="left"/>
        <w:rPr>
          <w:bCs/>
          <w:color w:val="auto"/>
          <w:sz w:val="24"/>
          <w:highlight w:val="none"/>
        </w:rPr>
      </w:pPr>
      <w:bookmarkStart w:id="3" w:name="_Toc135068506"/>
      <w:bookmarkStart w:id="4" w:name="_Toc115360829"/>
      <w:bookmarkStart w:id="5" w:name="_Toc135063155"/>
      <w:bookmarkStart w:id="6" w:name="_Toc143528158"/>
      <w:bookmarkStart w:id="7" w:name="_Toc115354984"/>
    </w:p>
    <w:p>
      <w:pPr>
        <w:adjustRightInd w:val="0"/>
        <w:snapToGrid w:val="0"/>
        <w:spacing w:line="360" w:lineRule="auto"/>
        <w:rPr>
          <w:bCs/>
          <w:color w:val="auto"/>
          <w:sz w:val="24"/>
          <w:highlight w:val="none"/>
        </w:rPr>
      </w:pPr>
      <w:r>
        <w:rPr>
          <w:bCs/>
          <w:color w:val="auto"/>
          <w:sz w:val="24"/>
          <w:highlight w:val="none"/>
        </w:rPr>
        <w:br w:type="page"/>
      </w:r>
    </w:p>
    <w:p>
      <w:pPr>
        <w:rPr>
          <w:color w:val="auto"/>
          <w:highlight w:val="none"/>
        </w:rPr>
      </w:pPr>
    </w:p>
    <w:p>
      <w:pPr>
        <w:pStyle w:val="3"/>
        <w:adjustRightInd w:val="0"/>
        <w:snapToGrid w:val="0"/>
        <w:spacing w:before="0" w:after="0" w:line="360" w:lineRule="auto"/>
        <w:rPr>
          <w:rFonts w:ascii="Times New Roman" w:hAnsi="Times New Roman" w:eastAsia="宋体"/>
          <w:snapToGrid w:val="0"/>
          <w:color w:val="auto"/>
          <w:kern w:val="0"/>
          <w:sz w:val="24"/>
          <w:highlight w:val="none"/>
        </w:rPr>
      </w:pPr>
      <w:bookmarkStart w:id="8" w:name="_Toc30635"/>
      <w:r>
        <w:rPr>
          <w:rFonts w:hint="eastAsia" w:ascii="Times New Roman" w:hAnsi="Times New Roman" w:eastAsia="宋体"/>
          <w:snapToGrid w:val="0"/>
          <w:color w:val="auto"/>
          <w:kern w:val="0"/>
          <w:sz w:val="24"/>
          <w:highlight w:val="none"/>
        </w:rPr>
        <w:t>附件2：</w:t>
      </w:r>
      <w:r>
        <w:rPr>
          <w:rFonts w:ascii="Times New Roman" w:hAnsi="Times New Roman" w:eastAsia="宋体"/>
          <w:snapToGrid w:val="0"/>
          <w:color w:val="auto"/>
          <w:kern w:val="0"/>
          <w:sz w:val="24"/>
          <w:highlight w:val="none"/>
        </w:rPr>
        <w:t>评标办法</w:t>
      </w:r>
      <w:bookmarkEnd w:id="3"/>
      <w:bookmarkEnd w:id="4"/>
      <w:bookmarkEnd w:id="5"/>
      <w:bookmarkEnd w:id="6"/>
      <w:bookmarkEnd w:id="7"/>
      <w:bookmarkEnd w:id="8"/>
    </w:p>
    <w:p>
      <w:pPr>
        <w:adjustRightInd w:val="0"/>
        <w:snapToGrid w:val="0"/>
        <w:spacing w:line="360" w:lineRule="auto"/>
        <w:jc w:val="center"/>
        <w:textAlignment w:val="baseline"/>
        <w:rPr>
          <w:rFonts w:ascii="宋体" w:hAnsi="宋体"/>
          <w:b/>
          <w:bCs/>
          <w:snapToGrid w:val="0"/>
          <w:color w:val="auto"/>
          <w:kern w:val="0"/>
          <w:sz w:val="24"/>
          <w:highlight w:val="none"/>
        </w:rPr>
      </w:pPr>
      <w:bookmarkStart w:id="9" w:name="_Toc134890444"/>
      <w:bookmarkStart w:id="10" w:name="_Toc509659998"/>
      <w:bookmarkStart w:id="11" w:name="_Toc502992691"/>
      <w:bookmarkStart w:id="12" w:name="_Toc531949857"/>
      <w:bookmarkStart w:id="13" w:name="_Toc134890522"/>
      <w:bookmarkStart w:id="14" w:name="_Toc134792892"/>
      <w:bookmarkStart w:id="15" w:name="_Toc450319202"/>
      <w:bookmarkStart w:id="16" w:name="_Toc459307890"/>
      <w:bookmarkStart w:id="17" w:name="_Toc134792409"/>
      <w:bookmarkStart w:id="18" w:name="_Toc134792341"/>
      <w:bookmarkStart w:id="19" w:name="_Toc509660966"/>
      <w:bookmarkStart w:id="20" w:name="_Toc444271617"/>
      <w:bookmarkStart w:id="21" w:name="_Toc445382083"/>
      <w:bookmarkStart w:id="22" w:name="_Toc445222503"/>
      <w:bookmarkStart w:id="23" w:name="_Toc444088432"/>
      <w:r>
        <w:rPr>
          <w:rFonts w:hint="eastAsia" w:ascii="宋体" w:hAnsi="宋体"/>
          <w:b/>
          <w:bCs/>
          <w:snapToGrid w:val="0"/>
          <w:color w:val="auto"/>
          <w:kern w:val="0"/>
          <w:sz w:val="24"/>
          <w:highlight w:val="none"/>
        </w:rPr>
        <w:t>评标办法（综合评估法）</w:t>
      </w:r>
      <w:bookmarkEnd w:id="9"/>
      <w:bookmarkEnd w:id="10"/>
      <w:bookmarkEnd w:id="11"/>
      <w:bookmarkEnd w:id="12"/>
      <w:bookmarkEnd w:id="13"/>
      <w:bookmarkEnd w:id="14"/>
      <w:bookmarkEnd w:id="15"/>
      <w:bookmarkEnd w:id="16"/>
      <w:bookmarkEnd w:id="17"/>
      <w:bookmarkEnd w:id="18"/>
      <w:bookmarkEnd w:id="19"/>
    </w:p>
    <w:bookmarkEnd w:id="20"/>
    <w:bookmarkEnd w:id="21"/>
    <w:bookmarkEnd w:id="22"/>
    <w:bookmarkEnd w:id="23"/>
    <w:p>
      <w:pPr>
        <w:adjustRightInd w:val="0"/>
        <w:snapToGrid w:val="0"/>
        <w:spacing w:line="360" w:lineRule="auto"/>
        <w:jc w:val="center"/>
        <w:textAlignment w:val="baseline"/>
        <w:rPr>
          <w:color w:val="auto"/>
          <w:highlight w:val="none"/>
        </w:rPr>
      </w:pPr>
      <w:r>
        <w:rPr>
          <w:rFonts w:hint="eastAsia" w:ascii="宋体" w:hAnsi="宋体"/>
          <w:b/>
          <w:bCs/>
          <w:snapToGrid w:val="0"/>
          <w:color w:val="auto"/>
          <w:kern w:val="0"/>
          <w:sz w:val="24"/>
          <w:highlight w:val="none"/>
        </w:rPr>
        <w:t>评标办法前附表</w:t>
      </w:r>
    </w:p>
    <w:tbl>
      <w:tblPr>
        <w:tblStyle w:val="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snapToGrid w:val="0"/>
              <w:spacing w:line="288" w:lineRule="auto"/>
              <w:jc w:val="center"/>
              <w:rPr>
                <w:b/>
                <w:color w:val="auto"/>
                <w:szCs w:val="21"/>
                <w:highlight w:val="none"/>
              </w:rPr>
            </w:pPr>
            <w:r>
              <w:rPr>
                <w:b/>
                <w:color w:val="auto"/>
                <w:szCs w:val="21"/>
                <w:highlight w:val="none"/>
              </w:rPr>
              <w:t>条款号</w:t>
            </w:r>
          </w:p>
        </w:tc>
        <w:tc>
          <w:tcPr>
            <w:tcW w:w="1246" w:type="dxa"/>
            <w:vAlign w:val="center"/>
          </w:tcPr>
          <w:p>
            <w:pPr>
              <w:snapToGrid w:val="0"/>
              <w:spacing w:line="288" w:lineRule="auto"/>
              <w:jc w:val="center"/>
              <w:rPr>
                <w:b/>
                <w:color w:val="auto"/>
                <w:szCs w:val="21"/>
                <w:highlight w:val="none"/>
              </w:rPr>
            </w:pPr>
            <w:r>
              <w:rPr>
                <w:b/>
                <w:color w:val="auto"/>
                <w:szCs w:val="21"/>
                <w:highlight w:val="none"/>
              </w:rPr>
              <w:t>条款名称</w:t>
            </w:r>
          </w:p>
        </w:tc>
        <w:tc>
          <w:tcPr>
            <w:tcW w:w="7106" w:type="dxa"/>
            <w:vAlign w:val="center"/>
          </w:tcPr>
          <w:p>
            <w:pPr>
              <w:snapToGrid w:val="0"/>
              <w:spacing w:line="288" w:lineRule="auto"/>
              <w:jc w:val="center"/>
              <w:rPr>
                <w:b/>
                <w:color w:val="auto"/>
                <w:szCs w:val="21"/>
                <w:highlight w:val="none"/>
              </w:rPr>
            </w:pPr>
            <w:r>
              <w:rPr>
                <w:b/>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1</w:t>
            </w:r>
          </w:p>
        </w:tc>
        <w:tc>
          <w:tcPr>
            <w:tcW w:w="1246" w:type="dxa"/>
            <w:vAlign w:val="center"/>
          </w:tcPr>
          <w:p>
            <w:pPr>
              <w:snapToGrid w:val="0"/>
              <w:spacing w:line="288" w:lineRule="auto"/>
              <w:jc w:val="center"/>
              <w:rPr>
                <w:color w:val="auto"/>
                <w:szCs w:val="21"/>
                <w:highlight w:val="none"/>
              </w:rPr>
            </w:pPr>
            <w:r>
              <w:rPr>
                <w:color w:val="auto"/>
                <w:szCs w:val="21"/>
                <w:highlight w:val="none"/>
              </w:rPr>
              <w:t>评标办法</w:t>
            </w:r>
          </w:p>
        </w:tc>
        <w:tc>
          <w:tcPr>
            <w:tcW w:w="7106" w:type="dxa"/>
            <w:vAlign w:val="center"/>
          </w:tcPr>
          <w:p>
            <w:pPr>
              <w:snapToGrid w:val="0"/>
              <w:ind w:firstLine="420" w:firstLineChars="200"/>
              <w:rPr>
                <w:color w:val="auto"/>
                <w:szCs w:val="21"/>
                <w:highlight w:val="none"/>
              </w:rPr>
            </w:pPr>
            <w:r>
              <w:rPr>
                <w:color w:val="auto"/>
                <w:szCs w:val="21"/>
                <w:highlight w:val="none"/>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snapToGrid w:val="0"/>
              <w:ind w:firstLine="420" w:firstLineChars="200"/>
              <w:rPr>
                <w:color w:val="auto"/>
                <w:szCs w:val="21"/>
                <w:highlight w:val="none"/>
              </w:rPr>
            </w:pPr>
            <w:r>
              <w:rPr>
                <w:color w:val="auto"/>
                <w:szCs w:val="21"/>
                <w:highlight w:val="none"/>
              </w:rPr>
              <w:t>（1）评标价低的投标人优先；</w:t>
            </w:r>
          </w:p>
          <w:p>
            <w:pPr>
              <w:snapToGrid w:val="0"/>
              <w:ind w:firstLine="420" w:firstLineChars="200"/>
              <w:rPr>
                <w:color w:val="auto"/>
                <w:szCs w:val="21"/>
                <w:highlight w:val="none"/>
              </w:rPr>
            </w:pPr>
            <w:r>
              <w:rPr>
                <w:color w:val="auto"/>
                <w:szCs w:val="21"/>
                <w:highlight w:val="none"/>
              </w:rPr>
              <w:t>（2）暗标技术部分评分较高的投标人优先；</w:t>
            </w:r>
          </w:p>
          <w:p>
            <w:pPr>
              <w:snapToGrid w:val="0"/>
              <w:ind w:firstLine="420" w:firstLineChars="200"/>
              <w:rPr>
                <w:color w:val="auto"/>
                <w:szCs w:val="21"/>
                <w:highlight w:val="none"/>
              </w:rPr>
            </w:pPr>
            <w:r>
              <w:rPr>
                <w:color w:val="auto"/>
                <w:szCs w:val="21"/>
                <w:highlight w:val="none"/>
              </w:rPr>
              <w:t>（3）满足资格审查条件（业绩最低要求）要求的施工业绩累计合同金额高的优先。</w:t>
            </w:r>
          </w:p>
          <w:p>
            <w:pPr>
              <w:pStyle w:val="2"/>
              <w:rPr>
                <w:rFonts w:hint="eastAsia"/>
                <w:color w:val="auto"/>
                <w:highlight w:val="none"/>
              </w:rPr>
            </w:pPr>
            <w:r>
              <w:rPr>
                <w:rFonts w:hint="eastAsia"/>
                <w:snapToGrid w:val="0"/>
                <w:color w:val="auto"/>
                <w:kern w:val="0"/>
                <w:szCs w:val="21"/>
                <w:highlight w:val="none"/>
              </w:rPr>
              <w:t>注：已被确定为本项目监理的中标人，及与上述单位的单位负责人为同一人或存在控、管理关系的不同单位，不得被推荐为本项目设计施工总承包的中标候选人。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2.1.1</w:t>
            </w:r>
          </w:p>
          <w:p>
            <w:pPr>
              <w:snapToGrid w:val="0"/>
              <w:spacing w:line="288" w:lineRule="auto"/>
              <w:jc w:val="center"/>
              <w:rPr>
                <w:color w:val="auto"/>
                <w:szCs w:val="21"/>
                <w:highlight w:val="none"/>
              </w:rPr>
            </w:pPr>
            <w:r>
              <w:rPr>
                <w:color w:val="auto"/>
                <w:szCs w:val="21"/>
                <w:highlight w:val="none"/>
              </w:rPr>
              <w:t>2.1.3</w:t>
            </w:r>
          </w:p>
        </w:tc>
        <w:tc>
          <w:tcPr>
            <w:tcW w:w="1246" w:type="dxa"/>
            <w:vAlign w:val="center"/>
          </w:tcPr>
          <w:p>
            <w:pPr>
              <w:snapToGrid w:val="0"/>
              <w:spacing w:line="288" w:lineRule="auto"/>
              <w:jc w:val="center"/>
              <w:rPr>
                <w:color w:val="auto"/>
                <w:szCs w:val="21"/>
                <w:highlight w:val="none"/>
              </w:rPr>
            </w:pPr>
            <w:r>
              <w:rPr>
                <w:color w:val="auto"/>
                <w:szCs w:val="21"/>
                <w:highlight w:val="none"/>
              </w:rPr>
              <w:t>形式评审与响应性评审标准</w:t>
            </w:r>
          </w:p>
        </w:tc>
        <w:tc>
          <w:tcPr>
            <w:tcW w:w="7106" w:type="dxa"/>
          </w:tcPr>
          <w:p>
            <w:pPr>
              <w:tabs>
                <w:tab w:val="left" w:pos="3060"/>
              </w:tabs>
              <w:snapToGrid w:val="0"/>
              <w:rPr>
                <w:b/>
                <w:color w:val="auto"/>
                <w:szCs w:val="21"/>
                <w:highlight w:val="none"/>
              </w:rPr>
            </w:pPr>
            <w:r>
              <w:rPr>
                <w:b/>
                <w:color w:val="auto"/>
                <w:szCs w:val="21"/>
                <w:highlight w:val="none"/>
              </w:rPr>
              <w:t>第一个信封（商务</w:t>
            </w:r>
            <w:r>
              <w:rPr>
                <w:rFonts w:hint="eastAsia"/>
                <w:b/>
                <w:color w:val="auto"/>
                <w:szCs w:val="21"/>
                <w:highlight w:val="none"/>
              </w:rPr>
              <w:t>文件</w:t>
            </w:r>
            <w:r>
              <w:rPr>
                <w:b/>
                <w:color w:val="auto"/>
                <w:szCs w:val="21"/>
                <w:highlight w:val="none"/>
              </w:rPr>
              <w:t>）评审标准：</w:t>
            </w:r>
          </w:p>
          <w:p>
            <w:pPr>
              <w:snapToGrid w:val="0"/>
              <w:ind w:firstLine="384" w:firstLineChars="183"/>
              <w:jc w:val="left"/>
              <w:rPr>
                <w:color w:val="auto"/>
                <w:szCs w:val="21"/>
                <w:highlight w:val="none"/>
              </w:rPr>
            </w:pPr>
            <w:r>
              <w:rPr>
                <w:color w:val="auto"/>
                <w:szCs w:val="21"/>
                <w:highlight w:val="none"/>
              </w:rPr>
              <w:t>（1）投标文件按照招标文件规定的格式、内容填写，字迹清晰可辨：</w:t>
            </w:r>
          </w:p>
          <w:p>
            <w:pPr>
              <w:snapToGrid w:val="0"/>
              <w:ind w:firstLine="384" w:firstLineChars="183"/>
              <w:rPr>
                <w:color w:val="auto"/>
                <w:szCs w:val="21"/>
                <w:highlight w:val="none"/>
              </w:rPr>
            </w:pPr>
            <w:r>
              <w:rPr>
                <w:color w:val="auto"/>
                <w:szCs w:val="21"/>
                <w:highlight w:val="none"/>
              </w:rPr>
              <w:t>a.投标函按招标文件规定填报了项目名称、补遗书编号（如有）、工程质量、安全目标、工期、项目经理</w:t>
            </w:r>
            <w:r>
              <w:rPr>
                <w:bCs/>
                <w:color w:val="auto"/>
                <w:szCs w:val="21"/>
                <w:highlight w:val="none"/>
              </w:rPr>
              <w:t>（兼施工负责人）</w:t>
            </w:r>
            <w:r>
              <w:rPr>
                <w:color w:val="auto"/>
                <w:szCs w:val="21"/>
                <w:highlight w:val="none"/>
              </w:rPr>
              <w:t>、设计负责人信息；</w:t>
            </w:r>
          </w:p>
          <w:p>
            <w:pPr>
              <w:snapToGrid w:val="0"/>
              <w:ind w:firstLine="384" w:firstLineChars="183"/>
              <w:jc w:val="left"/>
              <w:rPr>
                <w:color w:val="auto"/>
                <w:szCs w:val="21"/>
                <w:highlight w:val="none"/>
              </w:rPr>
            </w:pPr>
            <w:r>
              <w:rPr>
                <w:color w:val="auto"/>
                <w:szCs w:val="21"/>
                <w:highlight w:val="none"/>
              </w:rPr>
              <w:t>b.投标函附录的所有数据均符合招标文件规定；</w:t>
            </w:r>
          </w:p>
          <w:p>
            <w:pPr>
              <w:snapToGrid w:val="0"/>
              <w:ind w:firstLine="384" w:firstLineChars="183"/>
              <w:jc w:val="left"/>
              <w:rPr>
                <w:color w:val="auto"/>
                <w:szCs w:val="21"/>
                <w:highlight w:val="none"/>
              </w:rPr>
            </w:pPr>
            <w:r>
              <w:rPr>
                <w:color w:val="auto"/>
                <w:szCs w:val="21"/>
                <w:highlight w:val="none"/>
              </w:rPr>
              <w:t>c.投标文件组成齐全完整，内容均按规定填写。</w:t>
            </w:r>
          </w:p>
          <w:p>
            <w:pPr>
              <w:snapToGrid w:val="0"/>
              <w:ind w:firstLine="384" w:firstLineChars="183"/>
              <w:jc w:val="left"/>
              <w:rPr>
                <w:color w:val="auto"/>
                <w:szCs w:val="21"/>
                <w:highlight w:val="none"/>
              </w:rPr>
            </w:pPr>
            <w:r>
              <w:rPr>
                <w:color w:val="auto"/>
                <w:szCs w:val="21"/>
                <w:highlight w:val="none"/>
              </w:rPr>
              <w:t>（2）投标文件上法定代表人或其授权代理人的签字、投标人的单位章盖章齐全，符合招标文件规定。</w:t>
            </w:r>
          </w:p>
          <w:p>
            <w:pPr>
              <w:snapToGrid w:val="0"/>
              <w:ind w:firstLine="384" w:firstLineChars="183"/>
              <w:textAlignment w:val="baseline"/>
              <w:rPr>
                <w:color w:val="auto"/>
                <w:szCs w:val="21"/>
                <w:highlight w:val="none"/>
              </w:rPr>
            </w:pPr>
            <w:r>
              <w:rPr>
                <w:color w:val="auto"/>
                <w:szCs w:val="21"/>
                <w:highlight w:val="none"/>
              </w:rPr>
              <w:t>（3）</w:t>
            </w:r>
            <w:r>
              <w:rPr>
                <w:color w:val="auto"/>
                <w:kern w:val="0"/>
                <w:szCs w:val="21"/>
                <w:highlight w:val="none"/>
              </w:rPr>
              <w:t>投标人按照招标文件规定的金额、形式、时效和内容提供了投标保证金，并符合投标人须知前附表</w:t>
            </w:r>
            <w:r>
              <w:rPr>
                <w:color w:val="auto"/>
                <w:szCs w:val="21"/>
                <w:highlight w:val="none"/>
              </w:rPr>
              <w:t>3.4.1项的相关规定。</w:t>
            </w:r>
          </w:p>
          <w:p>
            <w:pPr>
              <w:snapToGrid w:val="0"/>
              <w:ind w:firstLine="384" w:firstLineChars="183"/>
              <w:jc w:val="left"/>
              <w:rPr>
                <w:color w:val="auto"/>
                <w:szCs w:val="21"/>
                <w:highlight w:val="none"/>
              </w:rPr>
            </w:pPr>
            <w:r>
              <w:rPr>
                <w:color w:val="auto"/>
                <w:szCs w:val="21"/>
                <w:highlight w:val="none"/>
              </w:rPr>
              <w:t>（4）投标人法定代表人授权委托代理人签署投标文件的，须提交授权委托书，授权委托书符合招标文件规定。</w:t>
            </w:r>
          </w:p>
          <w:p>
            <w:pPr>
              <w:snapToGrid w:val="0"/>
              <w:ind w:firstLine="384" w:firstLineChars="183"/>
              <w:jc w:val="left"/>
              <w:rPr>
                <w:color w:val="auto"/>
                <w:szCs w:val="21"/>
                <w:highlight w:val="none"/>
              </w:rPr>
            </w:pPr>
            <w:r>
              <w:rPr>
                <w:color w:val="auto"/>
                <w:szCs w:val="21"/>
                <w:highlight w:val="none"/>
              </w:rPr>
              <w:t>（5）投标人法定代表人亲自签署投标文件的，须提供法定代表人身份证明，法定代表人身份证明符合招标文件规定。</w:t>
            </w:r>
          </w:p>
          <w:p>
            <w:pPr>
              <w:snapToGrid w:val="0"/>
              <w:ind w:right="113" w:firstLine="384" w:firstLineChars="183"/>
              <w:jc w:val="left"/>
              <w:rPr>
                <w:color w:val="auto"/>
                <w:szCs w:val="21"/>
                <w:highlight w:val="none"/>
              </w:rPr>
            </w:pPr>
            <w:r>
              <w:rPr>
                <w:color w:val="auto"/>
                <w:szCs w:val="21"/>
                <w:highlight w:val="none"/>
              </w:rPr>
              <w:t>（6）投标人以联合体形式投标时，联合体满足招标文件的要求：</w:t>
            </w:r>
          </w:p>
          <w:p>
            <w:pPr>
              <w:snapToGrid w:val="0"/>
              <w:ind w:right="113" w:firstLine="384" w:firstLineChars="183"/>
              <w:jc w:val="left"/>
              <w:rPr>
                <w:color w:val="auto"/>
                <w:szCs w:val="21"/>
                <w:highlight w:val="none"/>
              </w:rPr>
            </w:pPr>
            <w:r>
              <w:rPr>
                <w:rFonts w:hint="eastAsia"/>
                <w:color w:val="auto"/>
                <w:szCs w:val="21"/>
                <w:highlight w:val="none"/>
              </w:rPr>
              <w:t>①</w:t>
            </w:r>
            <w:r>
              <w:rPr>
                <w:color w:val="auto"/>
                <w:szCs w:val="21"/>
                <w:highlight w:val="none"/>
              </w:rPr>
              <w:t>联合体所有成员数量不得超过2家。</w:t>
            </w:r>
          </w:p>
          <w:p>
            <w:pPr>
              <w:snapToGrid w:val="0"/>
              <w:ind w:right="113" w:firstLine="384" w:firstLineChars="183"/>
              <w:jc w:val="left"/>
              <w:rPr>
                <w:color w:val="auto"/>
                <w:szCs w:val="21"/>
                <w:highlight w:val="none"/>
              </w:rPr>
            </w:pPr>
            <w:r>
              <w:rPr>
                <w:rFonts w:hint="eastAsia"/>
                <w:color w:val="auto"/>
                <w:szCs w:val="21"/>
                <w:highlight w:val="none"/>
              </w:rPr>
              <w:t>②</w:t>
            </w:r>
            <w:r>
              <w:rPr>
                <w:color w:val="auto"/>
                <w:szCs w:val="21"/>
                <w:highlight w:val="none"/>
              </w:rPr>
              <w:t>联合体牵头人应满足施工资质要求。</w:t>
            </w:r>
          </w:p>
          <w:p>
            <w:pPr>
              <w:snapToGrid w:val="0"/>
              <w:ind w:right="113" w:firstLine="384" w:firstLineChars="183"/>
              <w:jc w:val="left"/>
              <w:rPr>
                <w:color w:val="auto"/>
                <w:szCs w:val="21"/>
                <w:highlight w:val="none"/>
              </w:rPr>
            </w:pPr>
            <w:r>
              <w:rPr>
                <w:rFonts w:hint="eastAsia"/>
                <w:color w:val="auto"/>
                <w:szCs w:val="21"/>
                <w:highlight w:val="none"/>
              </w:rPr>
              <w:t>③</w:t>
            </w:r>
            <w:r>
              <w:rPr>
                <w:color w:val="auto"/>
                <w:szCs w:val="21"/>
                <w:highlight w:val="none"/>
              </w:rPr>
              <w:t>联合体各方应按招标文件提供的格式签订联合体协议书，明确联合体牵头人和各方权利义务，并承诺就中标项目向招标人承担连带责任。</w:t>
            </w:r>
          </w:p>
          <w:p>
            <w:pPr>
              <w:snapToGrid w:val="0"/>
              <w:ind w:right="113" w:firstLine="384" w:firstLineChars="183"/>
              <w:jc w:val="left"/>
              <w:rPr>
                <w:color w:val="auto"/>
                <w:szCs w:val="21"/>
                <w:highlight w:val="none"/>
              </w:rPr>
            </w:pPr>
            <w:r>
              <w:rPr>
                <w:rFonts w:hint="eastAsia"/>
                <w:color w:val="auto"/>
                <w:szCs w:val="21"/>
                <w:highlight w:val="none"/>
              </w:rPr>
              <w:t>④</w:t>
            </w:r>
            <w:r>
              <w:rPr>
                <w:color w:val="auto"/>
                <w:szCs w:val="21"/>
                <w:highlight w:val="none"/>
              </w:rPr>
              <w:t>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pPr>
              <w:snapToGrid w:val="0"/>
              <w:spacing w:line="288" w:lineRule="auto"/>
              <w:ind w:right="113" w:firstLine="384" w:firstLineChars="183"/>
              <w:rPr>
                <w:color w:val="auto"/>
                <w:szCs w:val="21"/>
                <w:highlight w:val="none"/>
                <w:lang w:val="zh-CN" w:bidi="zh-CN"/>
              </w:rPr>
            </w:pPr>
            <w:r>
              <w:rPr>
                <w:color w:val="auto"/>
                <w:szCs w:val="21"/>
                <w:highlight w:val="none"/>
              </w:rPr>
              <w:t>（7）</w:t>
            </w:r>
            <w:r>
              <w:rPr>
                <w:rFonts w:ascii="宋体" w:hAnsi="宋体" w:cs="宋体"/>
                <w:color w:val="auto"/>
                <w:szCs w:val="21"/>
                <w:highlight w:val="none"/>
                <w:lang w:val="zh-CN" w:bidi="zh-CN"/>
              </w:rPr>
              <w:t>投标人如有分包计划，符合招标文件第二章“投标人须知”第 1.11款规定，且按招标文件第七章“投标文件格式”的要求填写了“拟分包项目情况表”</w:t>
            </w:r>
            <w:r>
              <w:rPr>
                <w:color w:val="auto"/>
                <w:szCs w:val="21"/>
                <w:highlight w:val="none"/>
                <w:lang w:val="zh-CN" w:bidi="zh-CN"/>
              </w:rPr>
              <w:t>。</w:t>
            </w:r>
          </w:p>
          <w:p>
            <w:pPr>
              <w:snapToGrid w:val="0"/>
              <w:ind w:right="113" w:firstLine="384" w:firstLineChars="183"/>
              <w:rPr>
                <w:color w:val="auto"/>
                <w:szCs w:val="21"/>
                <w:highlight w:val="none"/>
              </w:rPr>
            </w:pPr>
            <w:r>
              <w:rPr>
                <w:color w:val="auto"/>
                <w:szCs w:val="21"/>
                <w:highlight w:val="none"/>
                <w:lang w:val="zh-CN" w:bidi="zh-CN"/>
              </w:rPr>
              <w:t>（8）投标人未提交备选方案。</w:t>
            </w:r>
          </w:p>
          <w:p>
            <w:pPr>
              <w:snapToGrid w:val="0"/>
              <w:ind w:firstLine="384" w:firstLineChars="183"/>
              <w:jc w:val="left"/>
              <w:rPr>
                <w:color w:val="auto"/>
                <w:szCs w:val="21"/>
                <w:highlight w:val="none"/>
              </w:rPr>
            </w:pPr>
            <w:r>
              <w:rPr>
                <w:color w:val="auto"/>
                <w:szCs w:val="21"/>
                <w:highlight w:val="none"/>
              </w:rPr>
              <w:t>（9）同一投标人未提交两个以上不同的投标文件。</w:t>
            </w:r>
          </w:p>
          <w:p>
            <w:pPr>
              <w:snapToGrid w:val="0"/>
              <w:ind w:firstLine="384" w:firstLineChars="183"/>
              <w:jc w:val="left"/>
              <w:rPr>
                <w:color w:val="auto"/>
                <w:szCs w:val="21"/>
                <w:highlight w:val="none"/>
              </w:rPr>
            </w:pPr>
            <w:r>
              <w:rPr>
                <w:color w:val="auto"/>
                <w:szCs w:val="21"/>
                <w:highlight w:val="none"/>
              </w:rPr>
              <w:t>（10）投标文件第一个信封（商务及技术文件）中未出现有关投标报价的内容。</w:t>
            </w:r>
          </w:p>
          <w:p>
            <w:pPr>
              <w:snapToGrid w:val="0"/>
              <w:ind w:firstLine="384" w:firstLineChars="183"/>
              <w:jc w:val="left"/>
              <w:rPr>
                <w:color w:val="auto"/>
                <w:szCs w:val="21"/>
                <w:highlight w:val="none"/>
              </w:rPr>
            </w:pPr>
            <w:r>
              <w:rPr>
                <w:color w:val="auto"/>
                <w:szCs w:val="21"/>
                <w:highlight w:val="none"/>
              </w:rPr>
              <w:t>（11）投标文件载明的招标项目完成期限，符合招标文件规定。</w:t>
            </w:r>
          </w:p>
          <w:p>
            <w:pPr>
              <w:snapToGrid w:val="0"/>
              <w:ind w:firstLine="384" w:firstLineChars="183"/>
              <w:jc w:val="left"/>
              <w:rPr>
                <w:color w:val="auto"/>
                <w:szCs w:val="21"/>
                <w:highlight w:val="none"/>
              </w:rPr>
            </w:pPr>
            <w:r>
              <w:rPr>
                <w:color w:val="auto"/>
                <w:szCs w:val="21"/>
                <w:highlight w:val="none"/>
              </w:rPr>
              <w:t>（12）投标文件对招标文件的实质性要求和条件作出响应。</w:t>
            </w:r>
          </w:p>
          <w:p>
            <w:pPr>
              <w:snapToGrid w:val="0"/>
              <w:ind w:firstLine="384" w:firstLineChars="183"/>
              <w:jc w:val="left"/>
              <w:rPr>
                <w:color w:val="auto"/>
                <w:szCs w:val="21"/>
                <w:highlight w:val="none"/>
              </w:rPr>
            </w:pPr>
            <w:r>
              <w:rPr>
                <w:color w:val="auto"/>
                <w:szCs w:val="21"/>
                <w:highlight w:val="none"/>
              </w:rPr>
              <w:t>（13）权利义务符合招标文件规定：</w:t>
            </w:r>
          </w:p>
          <w:p>
            <w:pPr>
              <w:snapToGrid w:val="0"/>
              <w:ind w:firstLine="384" w:firstLineChars="183"/>
              <w:jc w:val="left"/>
              <w:rPr>
                <w:color w:val="auto"/>
                <w:szCs w:val="21"/>
                <w:highlight w:val="none"/>
              </w:rPr>
            </w:pPr>
            <w:r>
              <w:rPr>
                <w:color w:val="auto"/>
                <w:szCs w:val="21"/>
                <w:highlight w:val="none"/>
              </w:rPr>
              <w:t>a.投标人应接受招标文件规定的风险划分原则，未提出新的风险划分办法；</w:t>
            </w:r>
          </w:p>
          <w:p>
            <w:pPr>
              <w:snapToGrid w:val="0"/>
              <w:ind w:firstLine="384" w:firstLineChars="183"/>
              <w:jc w:val="left"/>
              <w:rPr>
                <w:color w:val="auto"/>
                <w:szCs w:val="21"/>
                <w:highlight w:val="none"/>
              </w:rPr>
            </w:pPr>
            <w:r>
              <w:rPr>
                <w:color w:val="auto"/>
                <w:szCs w:val="21"/>
                <w:highlight w:val="none"/>
              </w:rPr>
              <w:t>b.投标人未增加发包人的责任范围，或减少投标人义务；</w:t>
            </w:r>
          </w:p>
          <w:p>
            <w:pPr>
              <w:snapToGrid w:val="0"/>
              <w:ind w:firstLine="384" w:firstLineChars="183"/>
              <w:jc w:val="left"/>
              <w:rPr>
                <w:color w:val="auto"/>
                <w:szCs w:val="21"/>
                <w:highlight w:val="none"/>
              </w:rPr>
            </w:pPr>
            <w:r>
              <w:rPr>
                <w:color w:val="auto"/>
                <w:szCs w:val="21"/>
                <w:highlight w:val="none"/>
              </w:rPr>
              <w:t>c.投标人未提出不同的支付办法；</w:t>
            </w:r>
          </w:p>
          <w:p>
            <w:pPr>
              <w:snapToGrid w:val="0"/>
              <w:ind w:firstLine="384" w:firstLineChars="183"/>
              <w:jc w:val="left"/>
              <w:rPr>
                <w:color w:val="auto"/>
                <w:szCs w:val="21"/>
                <w:highlight w:val="none"/>
              </w:rPr>
            </w:pPr>
            <w:r>
              <w:rPr>
                <w:color w:val="auto"/>
                <w:szCs w:val="21"/>
                <w:highlight w:val="none"/>
              </w:rPr>
              <w:t>d.投标人对合同纠纷、事故处理办法未提出异议；</w:t>
            </w:r>
          </w:p>
          <w:p>
            <w:pPr>
              <w:snapToGrid w:val="0"/>
              <w:ind w:firstLine="384" w:firstLineChars="183"/>
              <w:jc w:val="left"/>
              <w:rPr>
                <w:color w:val="auto"/>
                <w:szCs w:val="21"/>
                <w:highlight w:val="none"/>
              </w:rPr>
            </w:pPr>
            <w:r>
              <w:rPr>
                <w:color w:val="auto"/>
                <w:szCs w:val="21"/>
                <w:highlight w:val="none"/>
              </w:rPr>
              <w:t>e.投标人在投标活动中无欺诈行为；</w:t>
            </w:r>
          </w:p>
          <w:p>
            <w:pPr>
              <w:snapToGrid w:val="0"/>
              <w:ind w:firstLine="384" w:firstLineChars="183"/>
              <w:jc w:val="left"/>
              <w:rPr>
                <w:color w:val="auto"/>
                <w:szCs w:val="21"/>
                <w:highlight w:val="none"/>
              </w:rPr>
            </w:pPr>
            <w:r>
              <w:rPr>
                <w:color w:val="auto"/>
                <w:szCs w:val="21"/>
                <w:highlight w:val="none"/>
              </w:rPr>
              <w:t>f.投标人未对合同条款有重要保留。</w:t>
            </w:r>
          </w:p>
          <w:p>
            <w:pPr>
              <w:pStyle w:val="2"/>
              <w:spacing w:after="0"/>
              <w:ind w:firstLine="211" w:firstLineChars="100"/>
              <w:rPr>
                <w:b/>
                <w:color w:val="auto"/>
                <w:szCs w:val="21"/>
                <w:highlight w:val="none"/>
              </w:rPr>
            </w:pPr>
            <w:r>
              <w:rPr>
                <w:b/>
                <w:color w:val="auto"/>
                <w:szCs w:val="21"/>
                <w:highlight w:val="none"/>
              </w:rPr>
              <w:t>第一个信封（技术文件）评审标准：</w:t>
            </w:r>
          </w:p>
          <w:p>
            <w:pPr>
              <w:pStyle w:val="2"/>
              <w:spacing w:after="0"/>
              <w:ind w:firstLine="210" w:firstLineChars="100"/>
              <w:rPr>
                <w:color w:val="auto"/>
                <w:highlight w:val="none"/>
              </w:rPr>
            </w:pPr>
            <w:r>
              <w:rPr>
                <w:rFonts w:hint="eastAsia"/>
                <w:color w:val="auto"/>
                <w:szCs w:val="21"/>
                <w:highlight w:val="none"/>
              </w:rPr>
              <w:t>（1）</w:t>
            </w:r>
            <w:r>
              <w:rPr>
                <w:color w:val="auto"/>
                <w:szCs w:val="21"/>
                <w:highlight w:val="none"/>
              </w:rPr>
              <w:t>暗标部分按照招标文件对暗标编制的相关规定编制</w:t>
            </w:r>
            <w:r>
              <w:rPr>
                <w:rFonts w:hint="eastAsia"/>
                <w:color w:val="auto"/>
                <w:szCs w:val="21"/>
                <w:highlight w:val="none"/>
              </w:rPr>
              <w:t>，具体详见投标人须知前附表3.7.3（7）。</w:t>
            </w:r>
          </w:p>
          <w:p>
            <w:pPr>
              <w:tabs>
                <w:tab w:val="left" w:pos="3060"/>
              </w:tabs>
              <w:snapToGrid w:val="0"/>
              <w:ind w:firstLine="386" w:firstLineChars="183"/>
              <w:rPr>
                <w:b/>
                <w:color w:val="auto"/>
                <w:szCs w:val="21"/>
                <w:highlight w:val="none"/>
              </w:rPr>
            </w:pPr>
            <w:r>
              <w:rPr>
                <w:b/>
                <w:color w:val="auto"/>
                <w:szCs w:val="21"/>
                <w:highlight w:val="none"/>
              </w:rPr>
              <w:t>第二个信封（报价文件）评审标准：</w:t>
            </w:r>
          </w:p>
          <w:p>
            <w:pPr>
              <w:snapToGrid w:val="0"/>
              <w:ind w:firstLine="384" w:firstLineChars="183"/>
              <w:jc w:val="left"/>
              <w:rPr>
                <w:bCs/>
                <w:color w:val="auto"/>
                <w:szCs w:val="21"/>
                <w:highlight w:val="none"/>
              </w:rPr>
            </w:pPr>
            <w:r>
              <w:rPr>
                <w:color w:val="auto"/>
                <w:szCs w:val="21"/>
                <w:highlight w:val="none"/>
              </w:rPr>
              <w:t>（1）投标文件按照招标文件规定的格式、内容填写，字迹清晰可辨：</w:t>
            </w:r>
          </w:p>
          <w:p>
            <w:pPr>
              <w:snapToGrid w:val="0"/>
              <w:ind w:firstLine="384" w:firstLineChars="183"/>
              <w:jc w:val="left"/>
              <w:rPr>
                <w:bCs/>
                <w:color w:val="auto"/>
                <w:szCs w:val="21"/>
                <w:highlight w:val="none"/>
              </w:rPr>
            </w:pPr>
            <w:r>
              <w:rPr>
                <w:bCs/>
                <w:color w:val="auto"/>
                <w:szCs w:val="21"/>
                <w:highlight w:val="none"/>
              </w:rPr>
              <w:t>a.投标函按招标文件规定填报了项目名称、补遗书编号（如有）、投标价（包括大写金额和小写金额）；</w:t>
            </w:r>
          </w:p>
          <w:p>
            <w:pPr>
              <w:snapToGrid w:val="0"/>
              <w:ind w:firstLine="384" w:firstLineChars="183"/>
              <w:jc w:val="left"/>
              <w:rPr>
                <w:bCs/>
                <w:color w:val="auto"/>
                <w:szCs w:val="21"/>
                <w:highlight w:val="none"/>
              </w:rPr>
            </w:pPr>
            <w:r>
              <w:rPr>
                <w:bCs/>
                <w:color w:val="auto"/>
                <w:szCs w:val="21"/>
                <w:highlight w:val="none"/>
              </w:rPr>
              <w:t>b.清单说明文字与招标文件规定一致，未进行实质性修改和删减；</w:t>
            </w:r>
          </w:p>
          <w:p>
            <w:pPr>
              <w:snapToGrid w:val="0"/>
              <w:ind w:firstLine="384" w:firstLineChars="183"/>
              <w:jc w:val="left"/>
              <w:rPr>
                <w:bCs/>
                <w:color w:val="auto"/>
                <w:szCs w:val="21"/>
                <w:highlight w:val="none"/>
              </w:rPr>
            </w:pPr>
            <w:r>
              <w:rPr>
                <w:bCs/>
                <w:color w:val="auto"/>
                <w:szCs w:val="21"/>
                <w:highlight w:val="none"/>
              </w:rPr>
              <w:t>c.投标</w:t>
            </w:r>
            <w:r>
              <w:rPr>
                <w:color w:val="auto"/>
                <w:szCs w:val="21"/>
                <w:highlight w:val="none"/>
              </w:rPr>
              <w:t>文件</w:t>
            </w:r>
            <w:r>
              <w:rPr>
                <w:bCs/>
                <w:color w:val="auto"/>
                <w:szCs w:val="21"/>
                <w:highlight w:val="none"/>
              </w:rPr>
              <w:t>组成齐全完整，内容均按规定填写。</w:t>
            </w:r>
          </w:p>
          <w:p>
            <w:pPr>
              <w:snapToGrid w:val="0"/>
              <w:ind w:firstLine="384" w:firstLineChars="183"/>
              <w:jc w:val="left"/>
              <w:rPr>
                <w:bCs/>
                <w:color w:val="auto"/>
                <w:szCs w:val="21"/>
                <w:highlight w:val="none"/>
              </w:rPr>
            </w:pPr>
            <w:r>
              <w:rPr>
                <w:bCs/>
                <w:color w:val="auto"/>
                <w:szCs w:val="21"/>
                <w:highlight w:val="none"/>
              </w:rPr>
              <w:t>（2）</w:t>
            </w:r>
            <w:r>
              <w:rPr>
                <w:color w:val="auto"/>
                <w:szCs w:val="21"/>
                <w:highlight w:val="none"/>
              </w:rPr>
              <w:t>投标文件上法定代表人或其授权代理人的签字、投标人的单位章盖章齐全，符合招标文件规定</w:t>
            </w:r>
            <w:r>
              <w:rPr>
                <w:bCs/>
                <w:color w:val="auto"/>
                <w:szCs w:val="21"/>
                <w:highlight w:val="none"/>
              </w:rPr>
              <w:t>。</w:t>
            </w:r>
          </w:p>
          <w:p>
            <w:pPr>
              <w:snapToGrid w:val="0"/>
              <w:ind w:firstLine="384" w:firstLineChars="183"/>
              <w:jc w:val="left"/>
              <w:rPr>
                <w:bCs/>
                <w:color w:val="auto"/>
                <w:szCs w:val="21"/>
                <w:highlight w:val="none"/>
              </w:rPr>
            </w:pPr>
            <w:r>
              <w:rPr>
                <w:bCs/>
                <w:color w:val="auto"/>
                <w:szCs w:val="21"/>
                <w:highlight w:val="none"/>
              </w:rPr>
              <w:t>（3）投标报价未超过招标文件设定的最高投标限价。</w:t>
            </w:r>
          </w:p>
          <w:p>
            <w:pPr>
              <w:snapToGrid w:val="0"/>
              <w:ind w:firstLine="384" w:firstLineChars="183"/>
              <w:jc w:val="left"/>
              <w:rPr>
                <w:bCs/>
                <w:color w:val="auto"/>
                <w:szCs w:val="21"/>
                <w:highlight w:val="none"/>
              </w:rPr>
            </w:pPr>
            <w:r>
              <w:rPr>
                <w:bCs/>
                <w:color w:val="auto"/>
                <w:szCs w:val="21"/>
                <w:highlight w:val="none"/>
              </w:rPr>
              <w:t>（4）投标</w:t>
            </w:r>
            <w:r>
              <w:rPr>
                <w:color w:val="auto"/>
                <w:szCs w:val="21"/>
                <w:highlight w:val="none"/>
              </w:rPr>
              <w:t>报价</w:t>
            </w:r>
            <w:r>
              <w:rPr>
                <w:bCs/>
                <w:color w:val="auto"/>
                <w:szCs w:val="21"/>
                <w:highlight w:val="none"/>
              </w:rPr>
              <w:t>的大写金额能够确定具体数值。</w:t>
            </w:r>
          </w:p>
          <w:p>
            <w:pPr>
              <w:snapToGrid w:val="0"/>
              <w:ind w:firstLine="384" w:firstLineChars="183"/>
              <w:jc w:val="left"/>
              <w:rPr>
                <w:bCs/>
                <w:color w:val="auto"/>
                <w:szCs w:val="21"/>
                <w:highlight w:val="none"/>
              </w:rPr>
            </w:pPr>
            <w:r>
              <w:rPr>
                <w:bCs/>
                <w:color w:val="auto"/>
                <w:szCs w:val="21"/>
                <w:highlight w:val="none"/>
              </w:rPr>
              <w:t>（5）同一</w:t>
            </w:r>
            <w:r>
              <w:rPr>
                <w:color w:val="auto"/>
                <w:szCs w:val="21"/>
                <w:highlight w:val="none"/>
              </w:rPr>
              <w:t>投标人</w:t>
            </w:r>
            <w:r>
              <w:rPr>
                <w:bCs/>
                <w:color w:val="auto"/>
                <w:szCs w:val="21"/>
                <w:highlight w:val="none"/>
              </w:rPr>
              <w:t>未提交两个以上不同的投标报价。</w:t>
            </w:r>
          </w:p>
          <w:p>
            <w:pPr>
              <w:snapToGrid w:val="0"/>
              <w:ind w:firstLine="384" w:firstLineChars="183"/>
              <w:jc w:val="left"/>
              <w:rPr>
                <w:bCs/>
                <w:color w:val="auto"/>
                <w:szCs w:val="21"/>
                <w:highlight w:val="none"/>
              </w:rPr>
            </w:pPr>
            <w:r>
              <w:rPr>
                <w:bCs/>
                <w:color w:val="auto"/>
                <w:szCs w:val="21"/>
                <w:highlight w:val="none"/>
              </w:rPr>
              <w:t>（6）投标人未提交调价函。</w:t>
            </w:r>
          </w:p>
          <w:p>
            <w:pPr>
              <w:snapToGrid w:val="0"/>
              <w:ind w:firstLine="384" w:firstLineChars="183"/>
              <w:jc w:val="left"/>
              <w:rPr>
                <w:bCs/>
                <w:color w:val="auto"/>
                <w:szCs w:val="21"/>
                <w:highlight w:val="none"/>
              </w:rPr>
            </w:pPr>
            <w:r>
              <w:rPr>
                <w:rFonts w:hint="eastAsia" w:ascii="宋体" w:hAnsi="宋体" w:cs="宋体"/>
                <w:color w:val="auto"/>
                <w:szCs w:val="21"/>
                <w:highlight w:val="none"/>
              </w:rPr>
              <w:t>（7）价格清单中的投标报价和投标函大写金额报价一致</w:t>
            </w:r>
            <w:r>
              <w:rPr>
                <w:rFonts w:hint="eastAsia" w:ascii="宋体" w:hAnsi="宋体"/>
                <w:color w:val="auto"/>
                <w:spacing w:val="-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2.1.2</w:t>
            </w:r>
          </w:p>
        </w:tc>
        <w:tc>
          <w:tcPr>
            <w:tcW w:w="1246" w:type="dxa"/>
            <w:vAlign w:val="center"/>
          </w:tcPr>
          <w:p>
            <w:pPr>
              <w:snapToGrid w:val="0"/>
              <w:spacing w:line="288" w:lineRule="auto"/>
              <w:jc w:val="center"/>
              <w:rPr>
                <w:color w:val="auto"/>
                <w:szCs w:val="21"/>
                <w:highlight w:val="none"/>
              </w:rPr>
            </w:pPr>
            <w:r>
              <w:rPr>
                <w:color w:val="auto"/>
                <w:szCs w:val="21"/>
                <w:highlight w:val="none"/>
              </w:rPr>
              <w:t>资格评审标准</w:t>
            </w:r>
          </w:p>
        </w:tc>
        <w:tc>
          <w:tcPr>
            <w:tcW w:w="7106" w:type="dxa"/>
            <w:vAlign w:val="center"/>
          </w:tcPr>
          <w:p>
            <w:pPr>
              <w:snapToGrid w:val="0"/>
              <w:spacing w:line="288" w:lineRule="auto"/>
              <w:ind w:firstLine="386" w:firstLineChars="184"/>
              <w:jc w:val="left"/>
              <w:rPr>
                <w:bCs/>
                <w:color w:val="auto"/>
                <w:szCs w:val="21"/>
                <w:highlight w:val="none"/>
              </w:rPr>
            </w:pPr>
            <w:r>
              <w:rPr>
                <w:color w:val="auto"/>
                <w:szCs w:val="21"/>
                <w:highlight w:val="none"/>
              </w:rPr>
              <w:t>（1）投标</w:t>
            </w:r>
            <w:r>
              <w:rPr>
                <w:bCs/>
                <w:color w:val="auto"/>
                <w:szCs w:val="21"/>
                <w:highlight w:val="none"/>
              </w:rPr>
              <w:t>人具备有效的营业执照、资质证书、安全生产许可证和基本账户开户许可证（或基本存款账户信息）。</w:t>
            </w:r>
          </w:p>
          <w:p>
            <w:pPr>
              <w:snapToGrid w:val="0"/>
              <w:spacing w:line="288" w:lineRule="auto"/>
              <w:ind w:firstLine="386" w:firstLineChars="184"/>
              <w:jc w:val="left"/>
              <w:rPr>
                <w:bCs/>
                <w:color w:val="auto"/>
                <w:szCs w:val="21"/>
                <w:highlight w:val="none"/>
              </w:rPr>
            </w:pPr>
            <w:r>
              <w:rPr>
                <w:bCs/>
                <w:color w:val="auto"/>
                <w:szCs w:val="21"/>
                <w:highlight w:val="none"/>
              </w:rPr>
              <w:t>（2）投标人的资质等级符合招标文件规定。</w:t>
            </w:r>
          </w:p>
          <w:p>
            <w:pPr>
              <w:snapToGrid w:val="0"/>
              <w:spacing w:line="288" w:lineRule="auto"/>
              <w:ind w:firstLine="386" w:firstLineChars="184"/>
              <w:jc w:val="left"/>
              <w:rPr>
                <w:bCs/>
                <w:color w:val="auto"/>
                <w:szCs w:val="21"/>
                <w:highlight w:val="none"/>
              </w:rPr>
            </w:pPr>
            <w:r>
              <w:rPr>
                <w:bCs/>
                <w:color w:val="auto"/>
                <w:szCs w:val="21"/>
                <w:highlight w:val="none"/>
              </w:rPr>
              <w:t>（3）投标人的财务状况符合招标文件规定。</w:t>
            </w:r>
          </w:p>
          <w:p>
            <w:pPr>
              <w:snapToGrid w:val="0"/>
              <w:spacing w:line="288" w:lineRule="auto"/>
              <w:ind w:firstLine="386" w:firstLineChars="184"/>
              <w:jc w:val="left"/>
              <w:rPr>
                <w:bCs/>
                <w:color w:val="auto"/>
                <w:szCs w:val="21"/>
                <w:highlight w:val="none"/>
              </w:rPr>
            </w:pPr>
            <w:r>
              <w:rPr>
                <w:bCs/>
                <w:color w:val="auto"/>
                <w:szCs w:val="21"/>
                <w:highlight w:val="none"/>
              </w:rPr>
              <w:t>（4）投标人的类似项目业绩符合招标文件规定。</w:t>
            </w:r>
          </w:p>
          <w:p>
            <w:pPr>
              <w:snapToGrid w:val="0"/>
              <w:spacing w:line="288" w:lineRule="auto"/>
              <w:ind w:firstLine="386" w:firstLineChars="184"/>
              <w:jc w:val="left"/>
              <w:rPr>
                <w:bCs/>
                <w:color w:val="auto"/>
                <w:szCs w:val="21"/>
                <w:highlight w:val="none"/>
              </w:rPr>
            </w:pPr>
            <w:r>
              <w:rPr>
                <w:bCs/>
                <w:color w:val="auto"/>
                <w:szCs w:val="21"/>
                <w:highlight w:val="none"/>
              </w:rPr>
              <w:t>（5）投标人的信誉符合招标文件规定。</w:t>
            </w:r>
          </w:p>
          <w:p>
            <w:pPr>
              <w:snapToGrid w:val="0"/>
              <w:spacing w:line="288" w:lineRule="auto"/>
              <w:ind w:right="-63" w:rightChars="-30" w:firstLine="386" w:firstLineChars="184"/>
              <w:jc w:val="left"/>
              <w:rPr>
                <w:bCs/>
                <w:color w:val="auto"/>
                <w:szCs w:val="21"/>
                <w:highlight w:val="none"/>
              </w:rPr>
            </w:pPr>
            <w:r>
              <w:rPr>
                <w:bCs/>
                <w:color w:val="auto"/>
                <w:szCs w:val="21"/>
                <w:highlight w:val="none"/>
              </w:rPr>
              <w:t>（6）投标人的项目经理（兼施工负责人）、设计负责人资格符合招标文件规定。</w:t>
            </w:r>
          </w:p>
          <w:p>
            <w:pPr>
              <w:snapToGrid w:val="0"/>
              <w:spacing w:line="288" w:lineRule="auto"/>
              <w:ind w:right="-59" w:rightChars="-28" w:firstLine="386" w:firstLineChars="184"/>
              <w:jc w:val="left"/>
              <w:rPr>
                <w:bCs/>
                <w:color w:val="auto"/>
                <w:szCs w:val="21"/>
                <w:highlight w:val="none"/>
              </w:rPr>
            </w:pPr>
            <w:r>
              <w:rPr>
                <w:bCs/>
                <w:color w:val="auto"/>
                <w:szCs w:val="21"/>
                <w:highlight w:val="none"/>
              </w:rPr>
              <w:t>（7）投标人不存在第二章“投标人须知”第1.4.3项、第1.4.4项、第1.4.5项规定的任何一种情形。</w:t>
            </w:r>
          </w:p>
          <w:p>
            <w:pPr>
              <w:snapToGrid w:val="0"/>
              <w:spacing w:line="288" w:lineRule="auto"/>
              <w:ind w:firstLine="386" w:firstLineChars="184"/>
              <w:jc w:val="left"/>
              <w:rPr>
                <w:color w:val="auto"/>
                <w:szCs w:val="21"/>
                <w:highlight w:val="none"/>
              </w:rPr>
            </w:pPr>
            <w:r>
              <w:rPr>
                <w:bCs/>
                <w:color w:val="auto"/>
                <w:szCs w:val="21"/>
                <w:highlight w:val="none"/>
              </w:rPr>
              <w:t>（</w:t>
            </w:r>
            <w:r>
              <w:rPr>
                <w:rFonts w:hint="eastAsia"/>
                <w:bCs/>
                <w:color w:val="auto"/>
                <w:szCs w:val="21"/>
                <w:highlight w:val="none"/>
              </w:rPr>
              <w:t>8</w:t>
            </w:r>
            <w:r>
              <w:rPr>
                <w:bCs/>
                <w:color w:val="auto"/>
                <w:szCs w:val="21"/>
                <w:highlight w:val="none"/>
              </w:rPr>
              <w:t>）以联合体形式参与投标的，联合体各方均未再以自己名义单独或参加其他联合体在本项目的投标</w:t>
            </w:r>
            <w:r>
              <w:rPr>
                <w:color w:val="auto"/>
                <w:szCs w:val="21"/>
                <w:highlight w:val="none"/>
              </w:rPr>
              <w:t>；独立参与投标的，投标人未同时参加联合体在本项目的投标。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2.2.1</w:t>
            </w:r>
          </w:p>
        </w:tc>
        <w:tc>
          <w:tcPr>
            <w:tcW w:w="1246" w:type="dxa"/>
            <w:vAlign w:val="center"/>
          </w:tcPr>
          <w:p>
            <w:pPr>
              <w:snapToGrid w:val="0"/>
              <w:spacing w:line="288" w:lineRule="auto"/>
              <w:jc w:val="center"/>
              <w:rPr>
                <w:color w:val="auto"/>
                <w:szCs w:val="21"/>
                <w:highlight w:val="none"/>
              </w:rPr>
            </w:pPr>
            <w:r>
              <w:rPr>
                <w:color w:val="auto"/>
                <w:szCs w:val="21"/>
                <w:highlight w:val="none"/>
              </w:rPr>
              <w:t>分值构成（总分值100分）</w:t>
            </w:r>
          </w:p>
        </w:tc>
        <w:tc>
          <w:tcPr>
            <w:tcW w:w="7106" w:type="dxa"/>
            <w:vAlign w:val="center"/>
          </w:tcPr>
          <w:p>
            <w:pPr>
              <w:snapToGrid w:val="0"/>
              <w:spacing w:line="288" w:lineRule="auto"/>
              <w:rPr>
                <w:b/>
                <w:color w:val="auto"/>
                <w:szCs w:val="21"/>
                <w:highlight w:val="none"/>
              </w:rPr>
            </w:pPr>
            <w:r>
              <w:rPr>
                <w:b/>
                <w:color w:val="auto"/>
                <w:szCs w:val="21"/>
                <w:highlight w:val="none"/>
              </w:rPr>
              <w:t>本款修改为：</w:t>
            </w:r>
          </w:p>
          <w:p>
            <w:pPr>
              <w:snapToGrid w:val="0"/>
              <w:spacing w:line="288" w:lineRule="auto"/>
              <w:rPr>
                <w:b/>
                <w:color w:val="auto"/>
                <w:szCs w:val="21"/>
                <w:highlight w:val="none"/>
              </w:rPr>
            </w:pPr>
            <w:r>
              <w:rPr>
                <w:b/>
                <w:color w:val="auto"/>
                <w:szCs w:val="21"/>
                <w:highlight w:val="none"/>
              </w:rPr>
              <w:t>第一个信封（商务及技术文件）评分分值构成：</w:t>
            </w:r>
          </w:p>
          <w:p>
            <w:pPr>
              <w:snapToGrid w:val="0"/>
              <w:spacing w:line="288" w:lineRule="auto"/>
              <w:ind w:firstLine="386" w:firstLineChars="184"/>
              <w:jc w:val="left"/>
              <w:rPr>
                <w:color w:val="auto"/>
                <w:szCs w:val="21"/>
                <w:highlight w:val="none"/>
              </w:rPr>
            </w:pPr>
            <w:r>
              <w:rPr>
                <w:color w:val="auto"/>
                <w:szCs w:val="21"/>
                <w:highlight w:val="none"/>
              </w:rPr>
              <w:t>（1）承包人建议书：</w:t>
            </w:r>
            <w:r>
              <w:rPr>
                <w:color w:val="auto"/>
                <w:szCs w:val="21"/>
                <w:highlight w:val="none"/>
                <w:u w:val="single"/>
              </w:rPr>
              <w:t>12</w:t>
            </w:r>
            <w:r>
              <w:rPr>
                <w:color w:val="auto"/>
                <w:szCs w:val="21"/>
                <w:highlight w:val="none"/>
              </w:rPr>
              <w:t>分</w:t>
            </w:r>
          </w:p>
          <w:p>
            <w:pPr>
              <w:snapToGrid w:val="0"/>
              <w:spacing w:line="288" w:lineRule="auto"/>
              <w:ind w:firstLine="386" w:firstLineChars="184"/>
              <w:jc w:val="left"/>
              <w:rPr>
                <w:color w:val="auto"/>
                <w:szCs w:val="21"/>
                <w:highlight w:val="none"/>
              </w:rPr>
            </w:pPr>
            <w:r>
              <w:rPr>
                <w:color w:val="auto"/>
                <w:szCs w:val="21"/>
                <w:highlight w:val="none"/>
              </w:rPr>
              <w:t>（2）资信业绩部分：</w:t>
            </w:r>
            <w:r>
              <w:rPr>
                <w:color w:val="auto"/>
                <w:szCs w:val="21"/>
                <w:highlight w:val="none"/>
                <w:u w:val="single"/>
              </w:rPr>
              <w:t>18</w:t>
            </w:r>
            <w:r>
              <w:rPr>
                <w:color w:val="auto"/>
                <w:szCs w:val="21"/>
                <w:highlight w:val="none"/>
              </w:rPr>
              <w:t>分</w:t>
            </w:r>
          </w:p>
          <w:p>
            <w:pPr>
              <w:snapToGrid w:val="0"/>
              <w:spacing w:line="288" w:lineRule="auto"/>
              <w:ind w:firstLine="386" w:firstLineChars="184"/>
              <w:jc w:val="left"/>
              <w:rPr>
                <w:color w:val="auto"/>
                <w:szCs w:val="21"/>
                <w:highlight w:val="none"/>
              </w:rPr>
            </w:pPr>
            <w:r>
              <w:rPr>
                <w:color w:val="auto"/>
                <w:szCs w:val="21"/>
                <w:highlight w:val="none"/>
              </w:rPr>
              <w:t>（3）承包人实施方案：</w:t>
            </w:r>
            <w:r>
              <w:rPr>
                <w:color w:val="auto"/>
                <w:szCs w:val="21"/>
                <w:highlight w:val="none"/>
                <w:u w:val="single"/>
              </w:rPr>
              <w:t>20</w:t>
            </w:r>
            <w:r>
              <w:rPr>
                <w:color w:val="auto"/>
                <w:szCs w:val="21"/>
                <w:highlight w:val="none"/>
              </w:rPr>
              <w:t>分</w:t>
            </w:r>
          </w:p>
          <w:p>
            <w:pPr>
              <w:snapToGrid w:val="0"/>
              <w:spacing w:line="288" w:lineRule="auto"/>
              <w:ind w:firstLine="386" w:firstLineChars="184"/>
              <w:jc w:val="left"/>
              <w:rPr>
                <w:color w:val="auto"/>
                <w:szCs w:val="21"/>
                <w:highlight w:val="none"/>
              </w:rPr>
            </w:pPr>
            <w:r>
              <w:rPr>
                <w:color w:val="auto"/>
                <w:highlight w:val="none"/>
              </w:rPr>
              <w:t>（4）其他评分因素：</w:t>
            </w:r>
            <w:r>
              <w:rPr>
                <w:color w:val="auto"/>
                <w:szCs w:val="21"/>
                <w:highlight w:val="none"/>
                <w:u w:val="single"/>
              </w:rPr>
              <w:t xml:space="preserve"> 0 </w:t>
            </w:r>
            <w:r>
              <w:rPr>
                <w:color w:val="auto"/>
                <w:szCs w:val="21"/>
                <w:highlight w:val="none"/>
              </w:rPr>
              <w:t>分</w:t>
            </w:r>
          </w:p>
          <w:p>
            <w:pPr>
              <w:snapToGrid w:val="0"/>
              <w:spacing w:line="288" w:lineRule="auto"/>
              <w:rPr>
                <w:b/>
                <w:color w:val="auto"/>
                <w:szCs w:val="21"/>
                <w:highlight w:val="none"/>
              </w:rPr>
            </w:pPr>
            <w:r>
              <w:rPr>
                <w:b/>
                <w:color w:val="auto"/>
                <w:szCs w:val="21"/>
                <w:highlight w:val="none"/>
              </w:rPr>
              <w:t>第二个信封（报价文件）评分分值构成：</w:t>
            </w:r>
          </w:p>
          <w:p>
            <w:pPr>
              <w:snapToGrid w:val="0"/>
              <w:spacing w:line="288" w:lineRule="auto"/>
              <w:ind w:firstLine="386" w:firstLineChars="184"/>
              <w:jc w:val="left"/>
              <w:rPr>
                <w:color w:val="auto"/>
                <w:szCs w:val="21"/>
                <w:highlight w:val="none"/>
              </w:rPr>
            </w:pPr>
            <w:r>
              <w:rPr>
                <w:color w:val="auto"/>
                <w:szCs w:val="21"/>
                <w:highlight w:val="none"/>
              </w:rPr>
              <w:t>（5）评标价：</w:t>
            </w:r>
            <w:r>
              <w:rPr>
                <w:color w:val="auto"/>
                <w:szCs w:val="21"/>
                <w:highlight w:val="none"/>
                <w:u w:val="single"/>
              </w:rPr>
              <w:t xml:space="preserve"> 50 </w:t>
            </w:r>
            <w:r>
              <w:rPr>
                <w:color w:val="auto"/>
                <w:szCs w:val="21"/>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2.2.2</w:t>
            </w:r>
          </w:p>
        </w:tc>
        <w:tc>
          <w:tcPr>
            <w:tcW w:w="1246" w:type="dxa"/>
            <w:vAlign w:val="center"/>
          </w:tcPr>
          <w:p>
            <w:pPr>
              <w:adjustRightInd w:val="0"/>
              <w:snapToGrid w:val="0"/>
              <w:spacing w:line="288" w:lineRule="auto"/>
              <w:jc w:val="center"/>
              <w:rPr>
                <w:color w:val="auto"/>
                <w:szCs w:val="21"/>
                <w:highlight w:val="none"/>
              </w:rPr>
            </w:pPr>
            <w:r>
              <w:rPr>
                <w:color w:val="auto"/>
                <w:szCs w:val="21"/>
                <w:highlight w:val="none"/>
              </w:rPr>
              <w:t>评标基准价计算方法</w:t>
            </w:r>
          </w:p>
        </w:tc>
        <w:tc>
          <w:tcPr>
            <w:tcW w:w="7106" w:type="dxa"/>
            <w:vAlign w:val="center"/>
          </w:tcPr>
          <w:p>
            <w:pPr>
              <w:snapToGrid w:val="0"/>
              <w:spacing w:line="320" w:lineRule="exact"/>
              <w:ind w:firstLine="420" w:firstLineChars="200"/>
              <w:rPr>
                <w:color w:val="auto"/>
                <w:highlight w:val="none"/>
              </w:rPr>
            </w:pPr>
            <w:r>
              <w:rPr>
                <w:color w:val="auto"/>
                <w:highlight w:val="none"/>
              </w:rPr>
              <w:t>（1）评标价的确定：</w:t>
            </w:r>
          </w:p>
          <w:p>
            <w:pPr>
              <w:snapToGrid w:val="0"/>
              <w:spacing w:line="320" w:lineRule="exact"/>
              <w:ind w:firstLine="420" w:firstLineChars="200"/>
              <w:rPr>
                <w:color w:val="auto"/>
                <w:highlight w:val="none"/>
              </w:rPr>
            </w:pPr>
            <w:r>
              <w:rPr>
                <w:color w:val="auto"/>
                <w:highlight w:val="none"/>
              </w:rPr>
              <w:t>评标价=投标函文字报价</w:t>
            </w:r>
          </w:p>
          <w:p>
            <w:pPr>
              <w:snapToGrid w:val="0"/>
              <w:spacing w:line="320" w:lineRule="exact"/>
              <w:ind w:firstLine="420" w:firstLineChars="200"/>
              <w:rPr>
                <w:color w:val="auto"/>
                <w:highlight w:val="none"/>
              </w:rPr>
            </w:pPr>
            <w:r>
              <w:rPr>
                <w:color w:val="auto"/>
                <w:highlight w:val="none"/>
              </w:rPr>
              <w:t>（2）评标价</w:t>
            </w:r>
            <w:r>
              <w:rPr>
                <w:color w:val="auto"/>
                <w:szCs w:val="21"/>
                <w:highlight w:val="none"/>
              </w:rPr>
              <w:t>平均值</w:t>
            </w:r>
            <w:r>
              <w:rPr>
                <w:color w:val="auto"/>
                <w:highlight w:val="none"/>
              </w:rPr>
              <w:t>的计算：</w:t>
            </w:r>
          </w:p>
          <w:p>
            <w:pPr>
              <w:snapToGrid w:val="0"/>
              <w:spacing w:line="320" w:lineRule="exact"/>
              <w:ind w:firstLine="400" w:firstLineChars="200"/>
              <w:rPr>
                <w:rStyle w:val="7"/>
                <w:color w:val="auto"/>
                <w:highlight w:val="none"/>
              </w:rPr>
            </w:pPr>
            <w:r>
              <w:rPr>
                <w:rStyle w:val="7"/>
                <w:color w:val="auto"/>
                <w:highlight w:val="none"/>
              </w:rPr>
              <w:t>除按</w:t>
            </w:r>
            <w:r>
              <w:rPr>
                <w:rStyle w:val="7"/>
                <w:color w:val="auto"/>
                <w:szCs w:val="21"/>
                <w:highlight w:val="none"/>
              </w:rPr>
              <w:t>第二章“投标人须知”第5.2.4项规定开标现场被宣布为</w:t>
            </w:r>
            <w:r>
              <w:rPr>
                <w:rStyle w:val="7"/>
                <w:color w:val="auto"/>
                <w:highlight w:val="none"/>
              </w:rPr>
              <w:t>不参与评标价平均值计算的评标价之外，所有投标人的评标价去掉规定</w:t>
            </w:r>
            <w:r>
              <w:rPr>
                <w:rStyle w:val="7"/>
                <w:rFonts w:hint="eastAsia"/>
                <w:color w:val="auto"/>
                <w:highlight w:val="none"/>
              </w:rPr>
              <w:t>数量</w:t>
            </w:r>
            <w:r>
              <w:rPr>
                <w:rStyle w:val="7"/>
                <w:color w:val="auto"/>
                <w:highlight w:val="none"/>
              </w:rPr>
              <w:t>的最高值和最低值后的算术平均值即为评标价平均值。</w:t>
            </w:r>
          </w:p>
          <w:p>
            <w:pPr>
              <w:snapToGrid w:val="0"/>
              <w:spacing w:line="320" w:lineRule="exact"/>
              <w:ind w:firstLine="400" w:firstLineChars="200"/>
              <w:rPr>
                <w:rStyle w:val="7"/>
                <w:color w:val="auto"/>
                <w:highlight w:val="none"/>
              </w:rPr>
            </w:pPr>
            <w:r>
              <w:rPr>
                <w:rStyle w:val="7"/>
                <w:color w:val="auto"/>
                <w:highlight w:val="none"/>
              </w:rPr>
              <w:t xml:space="preserve">a、如果参与评标价平均值计算的投标人数量＜6家时，计算评标价平均值时不去最高值和最低值。 </w:t>
            </w:r>
          </w:p>
          <w:p>
            <w:pPr>
              <w:snapToGrid w:val="0"/>
              <w:spacing w:line="320" w:lineRule="exact"/>
              <w:ind w:firstLine="400" w:firstLineChars="200"/>
              <w:rPr>
                <w:rStyle w:val="7"/>
                <w:color w:val="auto"/>
                <w:highlight w:val="none"/>
              </w:rPr>
            </w:pPr>
            <w:r>
              <w:rPr>
                <w:rStyle w:val="7"/>
                <w:color w:val="auto"/>
                <w:highlight w:val="none"/>
              </w:rPr>
              <w:t xml:space="preserve">b、如果6家≤参与评标价平均值计算的投标人数量＜10家时，计算评标价平均值时去掉1个最高值和1个最低值。 </w:t>
            </w:r>
          </w:p>
          <w:p>
            <w:pPr>
              <w:snapToGrid w:val="0"/>
              <w:spacing w:line="320" w:lineRule="exact"/>
              <w:ind w:firstLine="400" w:firstLineChars="200"/>
              <w:rPr>
                <w:rStyle w:val="7"/>
                <w:color w:val="auto"/>
                <w:highlight w:val="none"/>
              </w:rPr>
            </w:pPr>
            <w:r>
              <w:rPr>
                <w:rStyle w:val="7"/>
                <w:color w:val="auto"/>
                <w:highlight w:val="none"/>
              </w:rPr>
              <w:t xml:space="preserve">c、如果10家≤参与评标价平均值计算的投标人数量＜20家时，计算评标价平均值时去掉2个最高值和2个最低值； </w:t>
            </w:r>
          </w:p>
          <w:p>
            <w:pPr>
              <w:snapToGrid w:val="0"/>
              <w:spacing w:line="320" w:lineRule="exact"/>
              <w:ind w:firstLine="400" w:firstLineChars="200"/>
              <w:rPr>
                <w:rStyle w:val="7"/>
                <w:color w:val="auto"/>
                <w:highlight w:val="none"/>
              </w:rPr>
            </w:pPr>
            <w:r>
              <w:rPr>
                <w:rStyle w:val="7"/>
                <w:color w:val="auto"/>
                <w:highlight w:val="none"/>
              </w:rPr>
              <w:t xml:space="preserve">d、如果20家≤参与评标价平均值计算的投标人数量＜30家时，计算评标价平均值时去掉3个最高值和3个最低值； </w:t>
            </w:r>
          </w:p>
          <w:p>
            <w:pPr>
              <w:snapToGrid w:val="0"/>
              <w:spacing w:line="320" w:lineRule="exact"/>
              <w:ind w:firstLine="400" w:firstLineChars="200"/>
              <w:rPr>
                <w:rStyle w:val="7"/>
                <w:color w:val="auto"/>
                <w:highlight w:val="none"/>
              </w:rPr>
            </w:pPr>
            <w:r>
              <w:rPr>
                <w:rStyle w:val="7"/>
                <w:color w:val="auto"/>
                <w:highlight w:val="none"/>
              </w:rPr>
              <w:t xml:space="preserve">e、如果30家≤参与评标价平均值计算的投标人数量时，计算评标价平均值时去掉5个最高值和5个最低值； </w:t>
            </w:r>
          </w:p>
          <w:p>
            <w:pPr>
              <w:snapToGrid w:val="0"/>
              <w:spacing w:line="320" w:lineRule="exact"/>
              <w:ind w:firstLine="400" w:firstLineChars="200"/>
              <w:rPr>
                <w:rStyle w:val="7"/>
                <w:color w:val="auto"/>
                <w:highlight w:val="none"/>
              </w:rPr>
            </w:pPr>
            <w:r>
              <w:rPr>
                <w:rStyle w:val="7"/>
                <w:color w:val="auto"/>
                <w:highlight w:val="none"/>
              </w:rPr>
              <w:t>（3）评标基准价的确定，评标价平均值直接作为评标基准价。</w:t>
            </w:r>
          </w:p>
          <w:p>
            <w:pPr>
              <w:pStyle w:val="2"/>
              <w:snapToGrid w:val="0"/>
              <w:spacing w:after="0" w:line="288" w:lineRule="auto"/>
              <w:ind w:firstLine="400" w:firstLineChars="200"/>
              <w:rPr>
                <w:color w:val="auto"/>
                <w:highlight w:val="none"/>
              </w:rPr>
            </w:pPr>
            <w:r>
              <w:rPr>
                <w:rStyle w:val="7"/>
                <w:color w:val="auto"/>
                <w:highlight w:val="none"/>
              </w:rPr>
              <w:t>注：评标基准价保留小数点后两位，小数点后第三位四舍五入。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2.2.3</w:t>
            </w:r>
          </w:p>
        </w:tc>
        <w:tc>
          <w:tcPr>
            <w:tcW w:w="1246" w:type="dxa"/>
            <w:vAlign w:val="center"/>
          </w:tcPr>
          <w:p>
            <w:pPr>
              <w:snapToGrid w:val="0"/>
              <w:spacing w:line="288" w:lineRule="auto"/>
              <w:jc w:val="center"/>
              <w:rPr>
                <w:color w:val="auto"/>
                <w:szCs w:val="21"/>
                <w:highlight w:val="none"/>
              </w:rPr>
            </w:pPr>
            <w:r>
              <w:rPr>
                <w:color w:val="auto"/>
                <w:szCs w:val="21"/>
                <w:highlight w:val="none"/>
              </w:rPr>
              <w:t>评标价的偏差率计算公式</w:t>
            </w:r>
          </w:p>
        </w:tc>
        <w:tc>
          <w:tcPr>
            <w:tcW w:w="7106" w:type="dxa"/>
            <w:vAlign w:val="center"/>
          </w:tcPr>
          <w:p>
            <w:pPr>
              <w:snapToGrid w:val="0"/>
              <w:spacing w:line="288" w:lineRule="auto"/>
              <w:ind w:firstLine="210" w:firstLineChars="100"/>
              <w:rPr>
                <w:color w:val="auto"/>
                <w:szCs w:val="21"/>
                <w:highlight w:val="none"/>
              </w:rPr>
            </w:pPr>
            <w:r>
              <w:rPr>
                <w:color w:val="auto"/>
                <w:szCs w:val="21"/>
                <w:highlight w:val="none"/>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2.2.4</w:t>
            </w:r>
          </w:p>
        </w:tc>
        <w:tc>
          <w:tcPr>
            <w:tcW w:w="1246" w:type="dxa"/>
            <w:vAlign w:val="center"/>
          </w:tcPr>
          <w:p>
            <w:pPr>
              <w:snapToGrid w:val="0"/>
              <w:spacing w:line="288" w:lineRule="auto"/>
              <w:rPr>
                <w:color w:val="auto"/>
                <w:szCs w:val="21"/>
                <w:highlight w:val="none"/>
              </w:rPr>
            </w:pPr>
            <w:r>
              <w:rPr>
                <w:color w:val="auto"/>
                <w:szCs w:val="21"/>
                <w:highlight w:val="none"/>
              </w:rPr>
              <w:t>评分标准</w:t>
            </w:r>
          </w:p>
        </w:tc>
        <w:tc>
          <w:tcPr>
            <w:tcW w:w="7106" w:type="dxa"/>
            <w:vAlign w:val="center"/>
          </w:tcPr>
          <w:p>
            <w:pPr>
              <w:snapToGrid w:val="0"/>
              <w:spacing w:line="288" w:lineRule="auto"/>
              <w:ind w:firstLine="310" w:firstLineChars="148"/>
              <w:rPr>
                <w:color w:val="auto"/>
                <w:szCs w:val="21"/>
                <w:highlight w:val="none"/>
              </w:rPr>
            </w:pPr>
            <w:r>
              <w:rPr>
                <w:color w:val="auto"/>
                <w:szCs w:val="21"/>
                <w:highlight w:val="none"/>
              </w:rPr>
              <w:t>（1）承包人建议书标准：见本表后具体评分标准；</w:t>
            </w:r>
          </w:p>
          <w:p>
            <w:pPr>
              <w:snapToGrid w:val="0"/>
              <w:spacing w:line="288" w:lineRule="auto"/>
              <w:ind w:firstLine="310" w:firstLineChars="148"/>
              <w:rPr>
                <w:color w:val="auto"/>
                <w:szCs w:val="21"/>
                <w:highlight w:val="none"/>
              </w:rPr>
            </w:pPr>
            <w:r>
              <w:rPr>
                <w:color w:val="auto"/>
                <w:szCs w:val="21"/>
                <w:highlight w:val="none"/>
              </w:rPr>
              <w:t>（2）资信业绩部分标准：见本表后具体评分标准；</w:t>
            </w:r>
          </w:p>
          <w:p>
            <w:pPr>
              <w:snapToGrid w:val="0"/>
              <w:spacing w:line="288" w:lineRule="auto"/>
              <w:ind w:firstLine="310" w:firstLineChars="148"/>
              <w:rPr>
                <w:color w:val="auto"/>
                <w:szCs w:val="21"/>
                <w:highlight w:val="none"/>
              </w:rPr>
            </w:pPr>
            <w:r>
              <w:rPr>
                <w:color w:val="auto"/>
                <w:szCs w:val="21"/>
                <w:highlight w:val="none"/>
              </w:rPr>
              <w:t>（3）承包人实施方案标准：见本表后具体评分标准；</w:t>
            </w:r>
          </w:p>
          <w:p>
            <w:pPr>
              <w:snapToGrid w:val="0"/>
              <w:spacing w:line="288" w:lineRule="auto"/>
              <w:ind w:firstLine="310" w:firstLineChars="148"/>
              <w:rPr>
                <w:color w:val="auto"/>
                <w:szCs w:val="21"/>
                <w:highlight w:val="none"/>
              </w:rPr>
            </w:pPr>
            <w:r>
              <w:rPr>
                <w:color w:val="auto"/>
                <w:szCs w:val="21"/>
                <w:highlight w:val="none"/>
              </w:rPr>
              <w:t>（4）评标价评分标准：见本表后具体评分标准；</w:t>
            </w:r>
          </w:p>
          <w:p>
            <w:pPr>
              <w:snapToGrid w:val="0"/>
              <w:spacing w:line="288" w:lineRule="auto"/>
              <w:ind w:firstLine="310" w:firstLineChars="148"/>
              <w:rPr>
                <w:color w:val="auto"/>
                <w:highlight w:val="none"/>
              </w:rPr>
            </w:pPr>
            <w:r>
              <w:rPr>
                <w:color w:val="auto"/>
                <w:highlight w:val="none"/>
              </w:rPr>
              <w:t>（5）其他评分因素</w:t>
            </w:r>
            <w:r>
              <w:rPr>
                <w:color w:val="auto"/>
                <w:szCs w:val="21"/>
                <w:highlight w:val="none"/>
              </w:rPr>
              <w:t>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3</w:t>
            </w:r>
          </w:p>
        </w:tc>
        <w:tc>
          <w:tcPr>
            <w:tcW w:w="1246" w:type="dxa"/>
            <w:vAlign w:val="center"/>
          </w:tcPr>
          <w:p>
            <w:pPr>
              <w:snapToGrid w:val="0"/>
              <w:spacing w:line="288" w:lineRule="auto"/>
              <w:jc w:val="center"/>
              <w:rPr>
                <w:color w:val="auto"/>
                <w:szCs w:val="21"/>
                <w:highlight w:val="none"/>
              </w:rPr>
            </w:pPr>
            <w:r>
              <w:rPr>
                <w:color w:val="auto"/>
                <w:szCs w:val="21"/>
                <w:highlight w:val="none"/>
              </w:rPr>
              <w:t>评标程序</w:t>
            </w:r>
          </w:p>
        </w:tc>
        <w:tc>
          <w:tcPr>
            <w:tcW w:w="7106" w:type="dxa"/>
            <w:vAlign w:val="center"/>
          </w:tcPr>
          <w:p>
            <w:pPr>
              <w:tabs>
                <w:tab w:val="left" w:pos="3060"/>
              </w:tabs>
              <w:snapToGrid w:val="0"/>
              <w:spacing w:line="288" w:lineRule="auto"/>
              <w:rPr>
                <w:color w:val="auto"/>
                <w:szCs w:val="21"/>
                <w:highlight w:val="none"/>
              </w:rPr>
            </w:pPr>
            <w:r>
              <w:rPr>
                <w:color w:val="auto"/>
                <w:szCs w:val="21"/>
                <w:highlight w:val="none"/>
              </w:rPr>
              <w:t>本款修改为：</w:t>
            </w:r>
          </w:p>
          <w:p>
            <w:pPr>
              <w:snapToGrid w:val="0"/>
              <w:spacing w:line="288" w:lineRule="auto"/>
              <w:rPr>
                <w:b/>
                <w:color w:val="auto"/>
                <w:szCs w:val="21"/>
                <w:highlight w:val="none"/>
              </w:rPr>
            </w:pPr>
            <w:r>
              <w:rPr>
                <w:b/>
                <w:color w:val="auto"/>
                <w:szCs w:val="21"/>
                <w:highlight w:val="none"/>
              </w:rPr>
              <w:t>3. 评标程序</w:t>
            </w:r>
          </w:p>
          <w:p>
            <w:pPr>
              <w:snapToGrid w:val="0"/>
              <w:spacing w:line="288" w:lineRule="auto"/>
              <w:ind w:firstLine="422" w:firstLineChars="200"/>
              <w:rPr>
                <w:b/>
                <w:color w:val="auto"/>
                <w:szCs w:val="21"/>
                <w:highlight w:val="none"/>
              </w:rPr>
            </w:pPr>
            <w:r>
              <w:rPr>
                <w:b/>
                <w:color w:val="auto"/>
                <w:szCs w:val="21"/>
                <w:highlight w:val="none"/>
              </w:rPr>
              <w:t xml:space="preserve">3.1 第一个信封初步评审 </w:t>
            </w:r>
          </w:p>
          <w:p>
            <w:pPr>
              <w:snapToGrid w:val="0"/>
              <w:spacing w:line="288" w:lineRule="auto"/>
              <w:ind w:firstLine="420" w:firstLineChars="200"/>
              <w:rPr>
                <w:color w:val="auto"/>
                <w:szCs w:val="21"/>
                <w:highlight w:val="none"/>
              </w:rPr>
            </w:pPr>
            <w:r>
              <w:rPr>
                <w:color w:val="auto"/>
                <w:szCs w:val="21"/>
                <w:highlight w:val="none"/>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0" w:firstLineChars="200"/>
              <w:rPr>
                <w:color w:val="auto"/>
                <w:szCs w:val="21"/>
                <w:highlight w:val="none"/>
              </w:rPr>
            </w:pPr>
            <w:r>
              <w:rPr>
                <w:color w:val="auto"/>
                <w:szCs w:val="21"/>
                <w:highlight w:val="none"/>
              </w:rPr>
              <w:t>3.1.2 投标人有以下情形之一的，评标委员会应当否决其投标：</w:t>
            </w:r>
          </w:p>
          <w:p>
            <w:pPr>
              <w:snapToGrid w:val="0"/>
              <w:spacing w:line="288" w:lineRule="auto"/>
              <w:ind w:firstLine="420" w:firstLineChars="200"/>
              <w:rPr>
                <w:color w:val="auto"/>
                <w:szCs w:val="21"/>
                <w:highlight w:val="none"/>
              </w:rPr>
            </w:pPr>
            <w:r>
              <w:rPr>
                <w:color w:val="auto"/>
                <w:szCs w:val="21"/>
                <w:highlight w:val="none"/>
              </w:rPr>
              <w:t>（1）第二章“投标人须知”第1.4.3项、第1.4.4项、第1.4.5项规定的任何一种情形的；</w:t>
            </w:r>
          </w:p>
          <w:p>
            <w:pPr>
              <w:snapToGrid w:val="0"/>
              <w:spacing w:line="288" w:lineRule="auto"/>
              <w:ind w:firstLine="420" w:firstLineChars="200"/>
              <w:rPr>
                <w:color w:val="auto"/>
                <w:szCs w:val="21"/>
                <w:highlight w:val="none"/>
              </w:rPr>
            </w:pPr>
            <w:r>
              <w:rPr>
                <w:color w:val="auto"/>
                <w:szCs w:val="21"/>
                <w:highlight w:val="none"/>
              </w:rPr>
              <w:t>（2）串通投标或弄虚作假或有其他违法行为的；</w:t>
            </w:r>
          </w:p>
          <w:p>
            <w:pPr>
              <w:snapToGrid w:val="0"/>
              <w:spacing w:line="288" w:lineRule="auto"/>
              <w:ind w:firstLine="420" w:firstLineChars="200"/>
              <w:rPr>
                <w:color w:val="auto"/>
                <w:szCs w:val="21"/>
                <w:highlight w:val="none"/>
              </w:rPr>
            </w:pPr>
            <w:r>
              <w:rPr>
                <w:color w:val="auto"/>
                <w:szCs w:val="21"/>
                <w:highlight w:val="none"/>
              </w:rPr>
              <w:t>（3）不按评标委员会要求澄清、说明或补正的。</w:t>
            </w:r>
          </w:p>
          <w:p>
            <w:pPr>
              <w:snapToGrid w:val="0"/>
              <w:spacing w:line="288" w:lineRule="auto"/>
              <w:ind w:firstLine="422" w:firstLineChars="200"/>
              <w:rPr>
                <w:b/>
                <w:color w:val="auto"/>
                <w:szCs w:val="21"/>
                <w:highlight w:val="none"/>
              </w:rPr>
            </w:pPr>
            <w:r>
              <w:rPr>
                <w:b/>
                <w:color w:val="auto"/>
                <w:szCs w:val="21"/>
                <w:highlight w:val="none"/>
              </w:rPr>
              <w:t>3.2 第一个信封详细评审</w:t>
            </w:r>
          </w:p>
          <w:p>
            <w:pPr>
              <w:snapToGrid w:val="0"/>
              <w:spacing w:line="288" w:lineRule="auto"/>
              <w:ind w:firstLine="420" w:firstLineChars="200"/>
              <w:rPr>
                <w:color w:val="auto"/>
                <w:szCs w:val="21"/>
                <w:highlight w:val="none"/>
              </w:rPr>
            </w:pPr>
            <w:r>
              <w:rPr>
                <w:color w:val="auto"/>
                <w:szCs w:val="21"/>
                <w:highlight w:val="none"/>
              </w:rPr>
              <w:t>3.2.1 评标委员会按本章第2.2款规定的量化因素和分值进行打分，并计算出各投标人的商务和技术得分。</w:t>
            </w:r>
          </w:p>
          <w:p>
            <w:pPr>
              <w:snapToGrid w:val="0"/>
              <w:spacing w:line="288" w:lineRule="auto"/>
              <w:ind w:firstLine="420" w:firstLineChars="200"/>
              <w:rPr>
                <w:color w:val="auto"/>
                <w:szCs w:val="21"/>
                <w:highlight w:val="none"/>
              </w:rPr>
            </w:pPr>
            <w:r>
              <w:rPr>
                <w:color w:val="auto"/>
                <w:szCs w:val="21"/>
                <w:highlight w:val="none"/>
              </w:rPr>
              <w:t xml:space="preserve">（1）按本章第2.2.4（1）目规定的评审因素和分值对承包人建议书计算出得分A； </w:t>
            </w:r>
          </w:p>
          <w:p>
            <w:pPr>
              <w:snapToGrid w:val="0"/>
              <w:spacing w:line="288" w:lineRule="auto"/>
              <w:ind w:firstLine="420" w:firstLineChars="200"/>
              <w:rPr>
                <w:color w:val="auto"/>
                <w:szCs w:val="21"/>
                <w:highlight w:val="none"/>
              </w:rPr>
            </w:pPr>
            <w:r>
              <w:rPr>
                <w:color w:val="auto"/>
                <w:szCs w:val="21"/>
                <w:highlight w:val="none"/>
              </w:rPr>
              <w:t>（2）按本章第2.2.4（2）目规定的评审因素和分值对资信业绩部分计算出得分B；</w:t>
            </w:r>
          </w:p>
          <w:p>
            <w:pPr>
              <w:snapToGrid w:val="0"/>
              <w:spacing w:line="288" w:lineRule="auto"/>
              <w:ind w:firstLine="420" w:firstLineChars="200"/>
              <w:rPr>
                <w:color w:val="auto"/>
                <w:szCs w:val="21"/>
                <w:highlight w:val="none"/>
              </w:rPr>
            </w:pPr>
            <w:r>
              <w:rPr>
                <w:color w:val="auto"/>
                <w:szCs w:val="21"/>
                <w:highlight w:val="none"/>
              </w:rPr>
              <w:t>（3）按本章第2.2.4（3）目规定的评审因素和分值对承包人实施方案计算出得分C；</w:t>
            </w:r>
          </w:p>
          <w:p>
            <w:pPr>
              <w:snapToGrid w:val="0"/>
              <w:spacing w:line="288" w:lineRule="auto"/>
              <w:ind w:firstLine="420" w:firstLineChars="200"/>
              <w:rPr>
                <w:color w:val="auto"/>
                <w:szCs w:val="21"/>
                <w:highlight w:val="none"/>
              </w:rPr>
            </w:pPr>
            <w:r>
              <w:rPr>
                <w:color w:val="auto"/>
                <w:szCs w:val="21"/>
                <w:highlight w:val="none"/>
              </w:rPr>
              <w:t>3.2.2 投标人的商务和技术得分分值计算保留小数点后两位，小数点后第三位 “四舍五入”。</w:t>
            </w:r>
          </w:p>
          <w:p>
            <w:pPr>
              <w:snapToGrid w:val="0"/>
              <w:spacing w:line="288" w:lineRule="auto"/>
              <w:ind w:firstLine="420" w:firstLineChars="200"/>
              <w:rPr>
                <w:color w:val="auto"/>
                <w:szCs w:val="21"/>
                <w:highlight w:val="none"/>
              </w:rPr>
            </w:pPr>
            <w:r>
              <w:rPr>
                <w:color w:val="auto"/>
                <w:szCs w:val="21"/>
                <w:highlight w:val="none"/>
              </w:rPr>
              <w:t>3.2.3 投标人的商务和技术得分=A+B+C。</w:t>
            </w:r>
          </w:p>
          <w:p>
            <w:pPr>
              <w:snapToGrid w:val="0"/>
              <w:spacing w:line="288" w:lineRule="auto"/>
              <w:ind w:firstLine="422" w:firstLineChars="200"/>
              <w:rPr>
                <w:b/>
                <w:color w:val="auto"/>
                <w:szCs w:val="21"/>
                <w:highlight w:val="none"/>
              </w:rPr>
            </w:pPr>
            <w:r>
              <w:rPr>
                <w:b/>
                <w:color w:val="auto"/>
                <w:szCs w:val="21"/>
                <w:highlight w:val="none"/>
              </w:rPr>
              <w:t>3.3 第二个信封开标</w:t>
            </w:r>
          </w:p>
          <w:p>
            <w:pPr>
              <w:snapToGrid w:val="0"/>
              <w:spacing w:line="288" w:lineRule="auto"/>
              <w:ind w:firstLine="420" w:firstLineChars="200"/>
              <w:rPr>
                <w:color w:val="auto"/>
                <w:szCs w:val="21"/>
                <w:highlight w:val="none"/>
              </w:rPr>
            </w:pPr>
            <w:r>
              <w:rPr>
                <w:color w:val="auto"/>
                <w:szCs w:val="21"/>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snapToGrid w:val="0"/>
              <w:spacing w:line="288" w:lineRule="auto"/>
              <w:ind w:firstLine="422" w:firstLineChars="200"/>
              <w:rPr>
                <w:b/>
                <w:color w:val="auto"/>
                <w:szCs w:val="21"/>
                <w:highlight w:val="none"/>
              </w:rPr>
            </w:pPr>
            <w:r>
              <w:rPr>
                <w:b/>
                <w:color w:val="auto"/>
                <w:szCs w:val="21"/>
                <w:highlight w:val="none"/>
              </w:rPr>
              <w:t>3.4 第二个信封初步评审</w:t>
            </w:r>
          </w:p>
          <w:p>
            <w:pPr>
              <w:snapToGrid w:val="0"/>
              <w:spacing w:line="288" w:lineRule="auto"/>
              <w:ind w:firstLine="420" w:firstLineChars="200"/>
              <w:rPr>
                <w:color w:val="auto"/>
                <w:szCs w:val="21"/>
                <w:highlight w:val="none"/>
              </w:rPr>
            </w:pPr>
            <w:r>
              <w:rPr>
                <w:color w:val="auto"/>
                <w:szCs w:val="21"/>
                <w:highlight w:val="none"/>
              </w:rPr>
              <w:t>3.4.1 评标委员会依据本章第 2.1.1 项、第 2.1.3 项规定的评审标准对投标文件第二个信封（报价文件）进行初步评审。有一项不符合评审标准的，评标委员会应否决其投标。</w:t>
            </w:r>
          </w:p>
          <w:p>
            <w:pPr>
              <w:snapToGrid w:val="0"/>
              <w:spacing w:line="288" w:lineRule="auto"/>
              <w:ind w:firstLine="420" w:firstLineChars="200"/>
              <w:rPr>
                <w:color w:val="auto"/>
                <w:szCs w:val="21"/>
                <w:highlight w:val="none"/>
              </w:rPr>
            </w:pPr>
            <w:r>
              <w:rPr>
                <w:color w:val="auto"/>
                <w:szCs w:val="21"/>
                <w:highlight w:val="none"/>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color w:val="auto"/>
                <w:szCs w:val="21"/>
                <w:highlight w:val="none"/>
              </w:rPr>
            </w:pPr>
            <w:r>
              <w:rPr>
                <w:color w:val="auto"/>
                <w:szCs w:val="21"/>
                <w:highlight w:val="none"/>
              </w:rPr>
              <w:t>（1）投标文件中的大写金额与小写金额不一致的，以大写金额为准。</w:t>
            </w:r>
          </w:p>
          <w:p>
            <w:pPr>
              <w:snapToGrid w:val="0"/>
              <w:spacing w:line="288" w:lineRule="auto"/>
              <w:ind w:firstLine="420" w:firstLineChars="200"/>
              <w:rPr>
                <w:color w:val="auto"/>
                <w:szCs w:val="21"/>
                <w:highlight w:val="none"/>
              </w:rPr>
            </w:pPr>
            <w:r>
              <w:rPr>
                <w:color w:val="auto"/>
                <w:szCs w:val="21"/>
                <w:highlight w:val="none"/>
              </w:rPr>
              <w:t>（2）总价金额与依据单价计算出的结果不一致的，以单价金额为准修正总价，但单价金额小数点有明显错误的除外。</w:t>
            </w:r>
          </w:p>
          <w:p>
            <w:pPr>
              <w:snapToGrid w:val="0"/>
              <w:spacing w:line="288" w:lineRule="auto"/>
              <w:ind w:firstLine="420" w:firstLineChars="200"/>
              <w:rPr>
                <w:color w:val="auto"/>
                <w:highlight w:val="none"/>
              </w:rPr>
            </w:pPr>
            <w:r>
              <w:rPr>
                <w:rFonts w:hint="eastAsia"/>
                <w:color w:val="auto"/>
                <w:highlight w:val="none"/>
              </w:rPr>
              <w:t>（3）当单价与数量相乘不等于合价时，以单价计算为准，如果单价有明显的小数点位置差错，应以标出的合价为准，同时对单价予以修正；</w:t>
            </w:r>
          </w:p>
          <w:p>
            <w:pPr>
              <w:snapToGrid w:val="0"/>
              <w:spacing w:line="288" w:lineRule="auto"/>
              <w:ind w:firstLine="420" w:firstLineChars="200"/>
              <w:rPr>
                <w:color w:val="auto"/>
                <w:highlight w:val="none"/>
              </w:rPr>
            </w:pPr>
            <w:r>
              <w:rPr>
                <w:rFonts w:hint="eastAsia"/>
                <w:color w:val="auto"/>
                <w:highlight w:val="none"/>
              </w:rPr>
              <w:t>（4）当各子目的合价累计不等于总价时，应以各子目合价累计数为准，修正总价。</w:t>
            </w:r>
          </w:p>
          <w:p>
            <w:pPr>
              <w:snapToGrid w:val="0"/>
              <w:spacing w:line="288" w:lineRule="auto"/>
              <w:ind w:firstLine="420" w:firstLineChars="200"/>
              <w:rPr>
                <w:color w:val="auto"/>
                <w:szCs w:val="21"/>
                <w:highlight w:val="none"/>
              </w:rPr>
            </w:pPr>
            <w:r>
              <w:rPr>
                <w:color w:val="auto"/>
                <w:szCs w:val="21"/>
                <w:highlight w:val="none"/>
              </w:rPr>
              <w:t>3.4.3修正后的最终投标报价若超过最高投标限价，评标委员会应否决其投标。</w:t>
            </w:r>
          </w:p>
          <w:p>
            <w:pPr>
              <w:snapToGrid w:val="0"/>
              <w:spacing w:line="288" w:lineRule="auto"/>
              <w:ind w:firstLine="420" w:firstLineChars="200"/>
              <w:rPr>
                <w:color w:val="auto"/>
                <w:szCs w:val="21"/>
                <w:highlight w:val="none"/>
              </w:rPr>
            </w:pPr>
            <w:r>
              <w:rPr>
                <w:color w:val="auto"/>
                <w:szCs w:val="21"/>
                <w:highlight w:val="none"/>
              </w:rPr>
              <w:t>3.4.4修正后的最终投标报价仅作为签订合同的一个依据，不参与评标价得分的计算。</w:t>
            </w:r>
          </w:p>
          <w:p>
            <w:pPr>
              <w:snapToGrid w:val="0"/>
              <w:spacing w:line="288" w:lineRule="auto"/>
              <w:ind w:firstLine="422" w:firstLineChars="200"/>
              <w:rPr>
                <w:b/>
                <w:color w:val="auto"/>
                <w:szCs w:val="21"/>
                <w:highlight w:val="none"/>
              </w:rPr>
            </w:pPr>
            <w:r>
              <w:rPr>
                <w:b/>
                <w:color w:val="auto"/>
                <w:szCs w:val="21"/>
                <w:highlight w:val="none"/>
              </w:rPr>
              <w:t>3.5 第二个信封详细评审</w:t>
            </w:r>
          </w:p>
          <w:p>
            <w:pPr>
              <w:snapToGrid w:val="0"/>
              <w:spacing w:line="288" w:lineRule="auto"/>
              <w:ind w:firstLine="420" w:firstLineChars="200"/>
              <w:rPr>
                <w:color w:val="auto"/>
                <w:szCs w:val="21"/>
                <w:highlight w:val="none"/>
              </w:rPr>
            </w:pPr>
            <w:r>
              <w:rPr>
                <w:color w:val="auto"/>
                <w:szCs w:val="21"/>
                <w:highlight w:val="none"/>
              </w:rPr>
              <w:t>3.5.1 评标委员会按本章第 2.2.4（4）目规定的评审因素和分值对评标价计算出得分D。评标价得分分值计算保留小数点后两位，小数点后第三位“四舍五入”。</w:t>
            </w:r>
          </w:p>
          <w:p>
            <w:pPr>
              <w:snapToGrid w:val="0"/>
              <w:spacing w:line="288" w:lineRule="auto"/>
              <w:ind w:firstLine="420" w:firstLineChars="200"/>
              <w:rPr>
                <w:color w:val="auto"/>
                <w:szCs w:val="21"/>
                <w:highlight w:val="none"/>
              </w:rPr>
            </w:pPr>
            <w:r>
              <w:rPr>
                <w:color w:val="auto"/>
                <w:szCs w:val="21"/>
                <w:highlight w:val="none"/>
              </w:rPr>
              <w:t>3.5.2 投标人综合得分=投标人的商务和技术得分+D。</w:t>
            </w:r>
          </w:p>
          <w:p>
            <w:pPr>
              <w:snapToGrid w:val="0"/>
              <w:spacing w:line="288" w:lineRule="auto"/>
              <w:ind w:firstLine="420" w:firstLineChars="200"/>
              <w:rPr>
                <w:color w:val="auto"/>
                <w:szCs w:val="21"/>
                <w:highlight w:val="none"/>
              </w:rPr>
            </w:pPr>
            <w:r>
              <w:rPr>
                <w:color w:val="auto"/>
                <w:szCs w:val="21"/>
                <w:highlight w:val="none"/>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color w:val="auto"/>
                <w:szCs w:val="21"/>
                <w:highlight w:val="none"/>
              </w:rPr>
            </w:pPr>
            <w:r>
              <w:rPr>
                <w:b/>
                <w:color w:val="auto"/>
                <w:szCs w:val="21"/>
                <w:highlight w:val="none"/>
              </w:rPr>
              <w:t>3.6 投标文件相关信息的核查</w:t>
            </w:r>
          </w:p>
          <w:p>
            <w:pPr>
              <w:snapToGrid w:val="0"/>
              <w:spacing w:line="288" w:lineRule="auto"/>
              <w:ind w:firstLine="420" w:firstLineChars="200"/>
              <w:rPr>
                <w:color w:val="auto"/>
                <w:szCs w:val="21"/>
                <w:highlight w:val="none"/>
              </w:rPr>
            </w:pPr>
            <w:r>
              <w:rPr>
                <w:color w:val="auto"/>
                <w:szCs w:val="21"/>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color w:val="auto"/>
                <w:szCs w:val="21"/>
                <w:highlight w:val="none"/>
              </w:rPr>
            </w:pPr>
            <w:r>
              <w:rPr>
                <w:color w:val="auto"/>
                <w:szCs w:val="21"/>
                <w:highlight w:val="none"/>
              </w:rPr>
              <w:t>（1）有下列情形之一的，属于投标人相互串通投标：</w:t>
            </w:r>
          </w:p>
          <w:p>
            <w:pPr>
              <w:snapToGrid w:val="0"/>
              <w:spacing w:line="288" w:lineRule="auto"/>
              <w:ind w:firstLine="420" w:firstLineChars="200"/>
              <w:rPr>
                <w:color w:val="auto"/>
                <w:szCs w:val="21"/>
                <w:highlight w:val="none"/>
              </w:rPr>
            </w:pPr>
            <w:r>
              <w:rPr>
                <w:color w:val="auto"/>
                <w:szCs w:val="21"/>
                <w:highlight w:val="none"/>
              </w:rPr>
              <w:t>a.投标人之间协商投标报价等投标文件的实质性内容；</w:t>
            </w:r>
          </w:p>
          <w:p>
            <w:pPr>
              <w:snapToGrid w:val="0"/>
              <w:spacing w:line="288" w:lineRule="auto"/>
              <w:ind w:firstLine="420" w:firstLineChars="200"/>
              <w:rPr>
                <w:color w:val="auto"/>
                <w:szCs w:val="21"/>
                <w:highlight w:val="none"/>
              </w:rPr>
            </w:pPr>
            <w:r>
              <w:rPr>
                <w:color w:val="auto"/>
                <w:szCs w:val="21"/>
                <w:highlight w:val="none"/>
              </w:rPr>
              <w:t>b.投标人之间约定中标人；</w:t>
            </w:r>
          </w:p>
          <w:p>
            <w:pPr>
              <w:snapToGrid w:val="0"/>
              <w:spacing w:line="288" w:lineRule="auto"/>
              <w:ind w:firstLine="420" w:firstLineChars="200"/>
              <w:rPr>
                <w:color w:val="auto"/>
                <w:szCs w:val="21"/>
                <w:highlight w:val="none"/>
              </w:rPr>
            </w:pPr>
            <w:r>
              <w:rPr>
                <w:color w:val="auto"/>
                <w:szCs w:val="21"/>
                <w:highlight w:val="none"/>
              </w:rPr>
              <w:t>c.投标人之间约定部分投标人放弃投标或中标；</w:t>
            </w:r>
          </w:p>
          <w:p>
            <w:pPr>
              <w:snapToGrid w:val="0"/>
              <w:spacing w:line="288" w:lineRule="auto"/>
              <w:ind w:firstLine="420" w:firstLineChars="200"/>
              <w:rPr>
                <w:color w:val="auto"/>
                <w:szCs w:val="21"/>
                <w:highlight w:val="none"/>
              </w:rPr>
            </w:pPr>
            <w:r>
              <w:rPr>
                <w:color w:val="auto"/>
                <w:szCs w:val="21"/>
                <w:highlight w:val="none"/>
              </w:rPr>
              <w:t>d.属于同一集团、协会、商会等组织成员的投标人按照该组织要求协同投标；</w:t>
            </w:r>
          </w:p>
          <w:p>
            <w:pPr>
              <w:snapToGrid w:val="0"/>
              <w:spacing w:line="288" w:lineRule="auto"/>
              <w:ind w:firstLine="420" w:firstLineChars="200"/>
              <w:rPr>
                <w:color w:val="auto"/>
                <w:szCs w:val="21"/>
                <w:highlight w:val="none"/>
              </w:rPr>
            </w:pPr>
            <w:r>
              <w:rPr>
                <w:color w:val="auto"/>
                <w:szCs w:val="21"/>
                <w:highlight w:val="none"/>
              </w:rPr>
              <w:t>e.投标人之间为谋取中标或排斥特定投标人而采取的其他联合行动。</w:t>
            </w:r>
          </w:p>
          <w:p>
            <w:pPr>
              <w:snapToGrid w:val="0"/>
              <w:spacing w:line="288" w:lineRule="auto"/>
              <w:ind w:firstLine="420" w:firstLineChars="200"/>
              <w:rPr>
                <w:color w:val="auto"/>
                <w:szCs w:val="21"/>
                <w:highlight w:val="none"/>
              </w:rPr>
            </w:pPr>
            <w:r>
              <w:rPr>
                <w:color w:val="auto"/>
                <w:szCs w:val="21"/>
                <w:highlight w:val="none"/>
              </w:rPr>
              <w:t>（2）有下列情形之一的，视为投标人相互串通投标：</w:t>
            </w:r>
          </w:p>
          <w:p>
            <w:pPr>
              <w:snapToGrid w:val="0"/>
              <w:spacing w:line="288" w:lineRule="auto"/>
              <w:ind w:firstLine="420" w:firstLineChars="200"/>
              <w:rPr>
                <w:color w:val="auto"/>
                <w:szCs w:val="21"/>
                <w:highlight w:val="none"/>
              </w:rPr>
            </w:pPr>
            <w:r>
              <w:rPr>
                <w:color w:val="auto"/>
                <w:szCs w:val="21"/>
                <w:highlight w:val="none"/>
              </w:rPr>
              <w:t>a.不同投标人的投标文件由同一单位或个人编制；</w:t>
            </w:r>
          </w:p>
          <w:p>
            <w:pPr>
              <w:snapToGrid w:val="0"/>
              <w:spacing w:line="288" w:lineRule="auto"/>
              <w:ind w:firstLine="420" w:firstLineChars="200"/>
              <w:rPr>
                <w:color w:val="auto"/>
                <w:szCs w:val="21"/>
                <w:highlight w:val="none"/>
              </w:rPr>
            </w:pPr>
            <w:r>
              <w:rPr>
                <w:color w:val="auto"/>
                <w:szCs w:val="21"/>
                <w:highlight w:val="none"/>
              </w:rPr>
              <w:t>b.不同投标人委托同一单位或个人办理投标事宜；</w:t>
            </w:r>
          </w:p>
          <w:p>
            <w:pPr>
              <w:snapToGrid w:val="0"/>
              <w:spacing w:line="288" w:lineRule="auto"/>
              <w:ind w:firstLine="420" w:firstLineChars="200"/>
              <w:rPr>
                <w:color w:val="auto"/>
                <w:szCs w:val="21"/>
                <w:highlight w:val="none"/>
              </w:rPr>
            </w:pPr>
            <w:r>
              <w:rPr>
                <w:color w:val="auto"/>
                <w:szCs w:val="21"/>
                <w:highlight w:val="none"/>
              </w:rPr>
              <w:t>c.不同投标人的投标文件载明的项目管理成员为同一人；</w:t>
            </w:r>
          </w:p>
          <w:p>
            <w:pPr>
              <w:snapToGrid w:val="0"/>
              <w:spacing w:line="288" w:lineRule="auto"/>
              <w:ind w:firstLine="420" w:firstLineChars="200"/>
              <w:rPr>
                <w:color w:val="auto"/>
                <w:szCs w:val="21"/>
                <w:highlight w:val="none"/>
              </w:rPr>
            </w:pPr>
            <w:r>
              <w:rPr>
                <w:color w:val="auto"/>
                <w:szCs w:val="21"/>
                <w:highlight w:val="none"/>
              </w:rPr>
              <w:t>d.不同投标人的投标文件异常一致或投标报价呈规律性差异；</w:t>
            </w:r>
          </w:p>
          <w:p>
            <w:pPr>
              <w:snapToGrid w:val="0"/>
              <w:spacing w:line="288" w:lineRule="auto"/>
              <w:ind w:firstLine="420" w:firstLineChars="200"/>
              <w:rPr>
                <w:color w:val="auto"/>
                <w:szCs w:val="21"/>
                <w:highlight w:val="none"/>
              </w:rPr>
            </w:pPr>
            <w:r>
              <w:rPr>
                <w:color w:val="auto"/>
                <w:szCs w:val="21"/>
                <w:highlight w:val="none"/>
              </w:rPr>
              <w:t>e.不同投标人的投标文件相互混装；</w:t>
            </w:r>
          </w:p>
          <w:p>
            <w:pPr>
              <w:snapToGrid w:val="0"/>
              <w:spacing w:line="288" w:lineRule="auto"/>
              <w:ind w:firstLine="420" w:firstLineChars="200"/>
              <w:rPr>
                <w:color w:val="auto"/>
                <w:szCs w:val="21"/>
                <w:highlight w:val="none"/>
              </w:rPr>
            </w:pPr>
            <w:r>
              <w:rPr>
                <w:color w:val="auto"/>
                <w:szCs w:val="21"/>
                <w:highlight w:val="none"/>
              </w:rPr>
              <w:t>f.不同投标人的投标保证金从同一单位或个人的账户转出；</w:t>
            </w:r>
          </w:p>
          <w:p>
            <w:pPr>
              <w:snapToGrid w:val="0"/>
              <w:spacing w:line="288" w:lineRule="auto"/>
              <w:ind w:firstLine="420" w:firstLineChars="200"/>
              <w:rPr>
                <w:color w:val="auto"/>
                <w:szCs w:val="21"/>
                <w:highlight w:val="none"/>
              </w:rPr>
            </w:pPr>
            <w:r>
              <w:rPr>
                <w:color w:val="auto"/>
                <w:szCs w:val="21"/>
                <w:highlight w:val="none"/>
              </w:rPr>
              <w:t>（3）有下列情形之一的，属于招标人与投标人串通投标：</w:t>
            </w:r>
          </w:p>
          <w:p>
            <w:pPr>
              <w:snapToGrid w:val="0"/>
              <w:spacing w:line="288" w:lineRule="auto"/>
              <w:ind w:firstLine="420" w:firstLineChars="200"/>
              <w:rPr>
                <w:color w:val="auto"/>
                <w:szCs w:val="21"/>
                <w:highlight w:val="none"/>
              </w:rPr>
            </w:pPr>
            <w:r>
              <w:rPr>
                <w:color w:val="auto"/>
                <w:szCs w:val="21"/>
                <w:highlight w:val="none"/>
              </w:rPr>
              <w:t>a.招标人在开标前开启投标文件并将有关信息泄露给其他投标人；</w:t>
            </w:r>
          </w:p>
          <w:p>
            <w:pPr>
              <w:snapToGrid w:val="0"/>
              <w:spacing w:line="288" w:lineRule="auto"/>
              <w:ind w:firstLine="420" w:firstLineChars="200"/>
              <w:rPr>
                <w:color w:val="auto"/>
                <w:szCs w:val="21"/>
                <w:highlight w:val="none"/>
              </w:rPr>
            </w:pPr>
            <w:r>
              <w:rPr>
                <w:color w:val="auto"/>
                <w:szCs w:val="21"/>
                <w:highlight w:val="none"/>
              </w:rPr>
              <w:t>b.招标人直接或间接向投标人泄露标底、评标委员会成员等信息；</w:t>
            </w:r>
          </w:p>
          <w:p>
            <w:pPr>
              <w:snapToGrid w:val="0"/>
              <w:spacing w:line="288" w:lineRule="auto"/>
              <w:ind w:firstLine="420" w:firstLineChars="200"/>
              <w:rPr>
                <w:color w:val="auto"/>
                <w:szCs w:val="21"/>
                <w:highlight w:val="none"/>
              </w:rPr>
            </w:pPr>
            <w:r>
              <w:rPr>
                <w:color w:val="auto"/>
                <w:szCs w:val="21"/>
                <w:highlight w:val="none"/>
              </w:rPr>
              <w:t>c.招标人明示或暗示投标人压低或抬高投标报价；</w:t>
            </w:r>
          </w:p>
          <w:p>
            <w:pPr>
              <w:snapToGrid w:val="0"/>
              <w:spacing w:line="288" w:lineRule="auto"/>
              <w:ind w:firstLine="420" w:firstLineChars="200"/>
              <w:rPr>
                <w:color w:val="auto"/>
                <w:szCs w:val="21"/>
                <w:highlight w:val="none"/>
              </w:rPr>
            </w:pPr>
            <w:r>
              <w:rPr>
                <w:color w:val="auto"/>
                <w:szCs w:val="21"/>
                <w:highlight w:val="none"/>
              </w:rPr>
              <w:t>d.招标人授意投标人撤换、修改投标文件；</w:t>
            </w:r>
          </w:p>
          <w:p>
            <w:pPr>
              <w:snapToGrid w:val="0"/>
              <w:spacing w:line="288" w:lineRule="auto"/>
              <w:ind w:firstLine="420" w:firstLineChars="200"/>
              <w:rPr>
                <w:color w:val="auto"/>
                <w:szCs w:val="21"/>
                <w:highlight w:val="none"/>
              </w:rPr>
            </w:pPr>
            <w:r>
              <w:rPr>
                <w:color w:val="auto"/>
                <w:szCs w:val="21"/>
                <w:highlight w:val="none"/>
              </w:rPr>
              <w:t>e.招标人明示或暗示投标人为特定投标人中标提供方便；</w:t>
            </w:r>
          </w:p>
          <w:p>
            <w:pPr>
              <w:snapToGrid w:val="0"/>
              <w:spacing w:line="288" w:lineRule="auto"/>
              <w:ind w:firstLine="420" w:firstLineChars="200"/>
              <w:rPr>
                <w:color w:val="auto"/>
                <w:szCs w:val="21"/>
                <w:highlight w:val="none"/>
              </w:rPr>
            </w:pPr>
            <w:r>
              <w:rPr>
                <w:color w:val="auto"/>
                <w:szCs w:val="21"/>
                <w:highlight w:val="none"/>
              </w:rPr>
              <w:t>f.招标人与投标人为谋求特定投标人中标而采取的其他串通行为。</w:t>
            </w:r>
          </w:p>
          <w:p>
            <w:pPr>
              <w:snapToGrid w:val="0"/>
              <w:spacing w:line="288" w:lineRule="auto"/>
              <w:ind w:firstLine="420" w:firstLineChars="200"/>
              <w:rPr>
                <w:color w:val="auto"/>
                <w:szCs w:val="21"/>
                <w:highlight w:val="none"/>
              </w:rPr>
            </w:pPr>
            <w:r>
              <w:rPr>
                <w:color w:val="auto"/>
                <w:szCs w:val="21"/>
                <w:highlight w:val="none"/>
              </w:rPr>
              <w:t>（4）投标人有下列情形之一的，属于弄虚作假的行为：</w:t>
            </w:r>
          </w:p>
          <w:p>
            <w:pPr>
              <w:snapToGrid w:val="0"/>
              <w:spacing w:line="288" w:lineRule="auto"/>
              <w:ind w:firstLine="420" w:firstLineChars="200"/>
              <w:rPr>
                <w:color w:val="auto"/>
                <w:szCs w:val="21"/>
                <w:highlight w:val="none"/>
              </w:rPr>
            </w:pPr>
            <w:r>
              <w:rPr>
                <w:color w:val="auto"/>
                <w:szCs w:val="21"/>
                <w:highlight w:val="none"/>
              </w:rPr>
              <w:t>a.使用通过受让或租借等方式获取的资格、资质证书投标；</w:t>
            </w:r>
          </w:p>
          <w:p>
            <w:pPr>
              <w:snapToGrid w:val="0"/>
              <w:spacing w:line="288" w:lineRule="auto"/>
              <w:ind w:firstLine="420" w:firstLineChars="200"/>
              <w:rPr>
                <w:color w:val="auto"/>
                <w:szCs w:val="21"/>
                <w:highlight w:val="none"/>
              </w:rPr>
            </w:pPr>
            <w:r>
              <w:rPr>
                <w:color w:val="auto"/>
                <w:szCs w:val="21"/>
                <w:highlight w:val="none"/>
              </w:rPr>
              <w:t>b.使用伪造、变造的许可证件；</w:t>
            </w:r>
          </w:p>
          <w:p>
            <w:pPr>
              <w:snapToGrid w:val="0"/>
              <w:spacing w:line="288" w:lineRule="auto"/>
              <w:ind w:firstLine="420" w:firstLineChars="200"/>
              <w:rPr>
                <w:color w:val="auto"/>
                <w:szCs w:val="21"/>
                <w:highlight w:val="none"/>
              </w:rPr>
            </w:pPr>
            <w:r>
              <w:rPr>
                <w:color w:val="auto"/>
                <w:szCs w:val="21"/>
                <w:highlight w:val="none"/>
              </w:rPr>
              <w:t>c.提供虚假的财务状况或业绩；</w:t>
            </w:r>
          </w:p>
          <w:p>
            <w:pPr>
              <w:snapToGrid w:val="0"/>
              <w:spacing w:line="288" w:lineRule="auto"/>
              <w:ind w:firstLine="420" w:firstLineChars="200"/>
              <w:rPr>
                <w:color w:val="auto"/>
                <w:szCs w:val="21"/>
                <w:highlight w:val="none"/>
              </w:rPr>
            </w:pPr>
            <w:r>
              <w:rPr>
                <w:color w:val="auto"/>
                <w:szCs w:val="21"/>
                <w:highlight w:val="none"/>
              </w:rPr>
              <w:t>d.提供虚假的项目负责人或主要技术人员简历、劳动关系证明；</w:t>
            </w:r>
          </w:p>
          <w:p>
            <w:pPr>
              <w:snapToGrid w:val="0"/>
              <w:spacing w:line="288" w:lineRule="auto"/>
              <w:ind w:firstLine="420" w:firstLineChars="200"/>
              <w:rPr>
                <w:color w:val="auto"/>
                <w:szCs w:val="21"/>
                <w:highlight w:val="none"/>
              </w:rPr>
            </w:pPr>
            <w:r>
              <w:rPr>
                <w:color w:val="auto"/>
                <w:szCs w:val="21"/>
                <w:highlight w:val="none"/>
              </w:rPr>
              <w:t>e.提供虚假的信用状况；</w:t>
            </w:r>
          </w:p>
          <w:p>
            <w:pPr>
              <w:snapToGrid w:val="0"/>
              <w:spacing w:line="288" w:lineRule="auto"/>
              <w:ind w:firstLine="420" w:firstLineChars="200"/>
              <w:rPr>
                <w:color w:val="auto"/>
                <w:szCs w:val="21"/>
                <w:highlight w:val="none"/>
              </w:rPr>
            </w:pPr>
            <w:r>
              <w:rPr>
                <w:color w:val="auto"/>
                <w:szCs w:val="21"/>
                <w:highlight w:val="none"/>
              </w:rPr>
              <w:t>f.其他弄虚作假的行为。</w:t>
            </w:r>
          </w:p>
          <w:p>
            <w:pPr>
              <w:snapToGrid w:val="0"/>
              <w:spacing w:line="288" w:lineRule="auto"/>
              <w:ind w:firstLine="422" w:firstLineChars="200"/>
              <w:rPr>
                <w:b/>
                <w:color w:val="auto"/>
                <w:szCs w:val="21"/>
                <w:highlight w:val="none"/>
              </w:rPr>
            </w:pPr>
            <w:r>
              <w:rPr>
                <w:b/>
                <w:color w:val="auto"/>
                <w:szCs w:val="21"/>
                <w:highlight w:val="none"/>
              </w:rPr>
              <w:t>3.7 投标文件的澄清和说明</w:t>
            </w:r>
          </w:p>
          <w:p>
            <w:pPr>
              <w:snapToGrid w:val="0"/>
              <w:spacing w:line="288" w:lineRule="auto"/>
              <w:ind w:firstLine="420" w:firstLineChars="200"/>
              <w:rPr>
                <w:color w:val="auto"/>
                <w:szCs w:val="21"/>
                <w:highlight w:val="none"/>
              </w:rPr>
            </w:pPr>
            <w:r>
              <w:rPr>
                <w:color w:val="auto"/>
                <w:szCs w:val="21"/>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color w:val="auto"/>
                <w:szCs w:val="21"/>
                <w:highlight w:val="none"/>
              </w:rPr>
            </w:pPr>
            <w:r>
              <w:rPr>
                <w:color w:val="auto"/>
                <w:szCs w:val="21"/>
                <w:highlight w:val="none"/>
              </w:rPr>
              <w:t>3.7.2 澄清和说明不得超出投标文件的范围或改变投标文件的实质性内容。投标人的书面澄清、说明属于投标文件的组成部分。</w:t>
            </w:r>
          </w:p>
          <w:p>
            <w:pPr>
              <w:snapToGrid w:val="0"/>
              <w:spacing w:line="288" w:lineRule="auto"/>
              <w:ind w:firstLine="420" w:firstLineChars="200"/>
              <w:rPr>
                <w:color w:val="auto"/>
                <w:szCs w:val="21"/>
                <w:highlight w:val="none"/>
              </w:rPr>
            </w:pPr>
            <w:r>
              <w:rPr>
                <w:color w:val="auto"/>
                <w:szCs w:val="21"/>
                <w:highlight w:val="none"/>
              </w:rPr>
              <w:t>3.7.3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color w:val="auto"/>
                <w:szCs w:val="21"/>
                <w:highlight w:val="none"/>
              </w:rPr>
            </w:pPr>
            <w:r>
              <w:rPr>
                <w:color w:val="auto"/>
                <w:szCs w:val="21"/>
                <w:highlight w:val="none"/>
              </w:rPr>
              <w:t>3.7.4 凡超出招标文件规定的或给发包人带来未曾要求的利益的变化、偏差或其他因素在评标时不予考虑。</w:t>
            </w:r>
          </w:p>
          <w:p>
            <w:pPr>
              <w:snapToGrid w:val="0"/>
              <w:spacing w:line="288" w:lineRule="auto"/>
              <w:ind w:firstLine="422" w:firstLineChars="200"/>
              <w:rPr>
                <w:b/>
                <w:color w:val="auto"/>
                <w:szCs w:val="21"/>
                <w:highlight w:val="none"/>
              </w:rPr>
            </w:pPr>
            <w:r>
              <w:rPr>
                <w:b/>
                <w:color w:val="auto"/>
                <w:szCs w:val="21"/>
                <w:highlight w:val="none"/>
              </w:rPr>
              <w:t>3.8不得否决投标的情形</w:t>
            </w:r>
          </w:p>
          <w:p>
            <w:pPr>
              <w:snapToGrid w:val="0"/>
              <w:spacing w:line="288" w:lineRule="auto"/>
              <w:ind w:firstLine="420" w:firstLineChars="200"/>
              <w:rPr>
                <w:color w:val="auto"/>
                <w:szCs w:val="21"/>
                <w:highlight w:val="none"/>
              </w:rPr>
            </w:pPr>
            <w:r>
              <w:rPr>
                <w:color w:val="auto"/>
                <w:szCs w:val="21"/>
                <w:highlight w:val="none"/>
              </w:rPr>
              <w:t>投标文件存在第二章“投标人须知”第1.12.3项所列情形的，均视为细微偏差，评标委员会不得否决投标人的投标，应按照第二章“投标人须知”第 1.12.4 项规定的原则处理。</w:t>
            </w:r>
          </w:p>
          <w:p>
            <w:pPr>
              <w:snapToGrid w:val="0"/>
              <w:spacing w:line="288" w:lineRule="auto"/>
              <w:ind w:firstLine="422" w:firstLineChars="200"/>
              <w:rPr>
                <w:b/>
                <w:color w:val="auto"/>
                <w:szCs w:val="21"/>
                <w:highlight w:val="none"/>
              </w:rPr>
            </w:pPr>
            <w:r>
              <w:rPr>
                <w:b/>
                <w:color w:val="auto"/>
                <w:szCs w:val="21"/>
                <w:highlight w:val="none"/>
              </w:rPr>
              <w:t>3.9 评标结果</w:t>
            </w:r>
          </w:p>
          <w:p>
            <w:pPr>
              <w:snapToGrid w:val="0"/>
              <w:spacing w:line="288" w:lineRule="auto"/>
              <w:ind w:firstLine="420" w:firstLineChars="200"/>
              <w:rPr>
                <w:color w:val="auto"/>
                <w:szCs w:val="21"/>
                <w:highlight w:val="none"/>
              </w:rPr>
            </w:pPr>
            <w:r>
              <w:rPr>
                <w:color w:val="auto"/>
                <w:szCs w:val="21"/>
                <w:highlight w:val="none"/>
              </w:rPr>
              <w:t>3.9.1 除第二章“投标人须知”前附表授权直接确定中标人外，评标委员会按照综合得分由高到低的顺序推荐中标候选人，并标明排序。</w:t>
            </w:r>
          </w:p>
          <w:p>
            <w:pPr>
              <w:snapToGrid w:val="0"/>
              <w:spacing w:line="288" w:lineRule="auto"/>
              <w:ind w:firstLine="420" w:firstLineChars="200"/>
              <w:rPr>
                <w:color w:val="auto"/>
                <w:szCs w:val="21"/>
                <w:highlight w:val="none"/>
              </w:rPr>
            </w:pPr>
            <w:r>
              <w:rPr>
                <w:color w:val="auto"/>
                <w:szCs w:val="21"/>
                <w:highlight w:val="none"/>
              </w:rPr>
              <w:t>3.9.2 评标委员会完成评标后，应向招标人提交书面评标报告。</w:t>
            </w:r>
          </w:p>
        </w:tc>
      </w:tr>
    </w:tbl>
    <w:p>
      <w:pPr>
        <w:pStyle w:val="2"/>
        <w:rPr>
          <w:color w:val="auto"/>
          <w:highlight w:val="none"/>
        </w:rPr>
      </w:pPr>
    </w:p>
    <w:p>
      <w:pPr>
        <w:adjustRightInd w:val="0"/>
        <w:snapToGrid w:val="0"/>
        <w:spacing w:line="360" w:lineRule="auto"/>
        <w:ind w:firstLine="480" w:firstLineChars="200"/>
        <w:jc w:val="left"/>
        <w:textAlignment w:val="baseline"/>
        <w:rPr>
          <w:snapToGrid w:val="0"/>
          <w:color w:val="auto"/>
          <w:kern w:val="0"/>
          <w:sz w:val="24"/>
          <w:highlight w:val="none"/>
        </w:rPr>
      </w:pPr>
      <w:r>
        <w:rPr>
          <w:snapToGrid w:val="0"/>
          <w:color w:val="auto"/>
          <w:kern w:val="0"/>
          <w:sz w:val="24"/>
          <w:highlight w:val="none"/>
        </w:rPr>
        <w:br w:type="page"/>
      </w:r>
    </w:p>
    <w:p>
      <w:pPr>
        <w:pStyle w:val="2"/>
        <w:rPr>
          <w:color w:val="auto"/>
          <w:szCs w:val="21"/>
          <w:highlight w:val="none"/>
        </w:rPr>
      </w:pPr>
      <w:r>
        <w:rPr>
          <w:color w:val="auto"/>
          <w:szCs w:val="21"/>
          <w:highlight w:val="none"/>
        </w:rPr>
        <w:t>具体评分标准如下：</w:t>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86"/>
        <w:gridCol w:w="709"/>
        <w:gridCol w:w="1081"/>
        <w:gridCol w:w="709"/>
        <w:gridCol w:w="5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1951" w:type="dxa"/>
            <w:gridSpan w:val="2"/>
            <w:vAlign w:val="center"/>
          </w:tcPr>
          <w:p>
            <w:pPr>
              <w:snapToGrid w:val="0"/>
              <w:spacing w:line="288" w:lineRule="auto"/>
              <w:jc w:val="center"/>
              <w:rPr>
                <w:color w:val="auto"/>
                <w:szCs w:val="21"/>
                <w:highlight w:val="none"/>
              </w:rPr>
            </w:pPr>
            <w:r>
              <w:rPr>
                <w:color w:val="auto"/>
                <w:szCs w:val="21"/>
                <w:highlight w:val="none"/>
              </w:rPr>
              <w:t>条款号</w:t>
            </w:r>
          </w:p>
        </w:tc>
        <w:tc>
          <w:tcPr>
            <w:tcW w:w="1790" w:type="dxa"/>
            <w:gridSpan w:val="2"/>
            <w:vAlign w:val="center"/>
          </w:tcPr>
          <w:p>
            <w:pPr>
              <w:snapToGrid w:val="0"/>
              <w:spacing w:line="288" w:lineRule="auto"/>
              <w:jc w:val="center"/>
              <w:rPr>
                <w:color w:val="auto"/>
                <w:szCs w:val="21"/>
                <w:highlight w:val="none"/>
              </w:rPr>
            </w:pPr>
            <w:r>
              <w:rPr>
                <w:color w:val="auto"/>
                <w:szCs w:val="21"/>
                <w:highlight w:val="none"/>
              </w:rPr>
              <w:t>评分因素</w:t>
            </w:r>
          </w:p>
        </w:tc>
        <w:tc>
          <w:tcPr>
            <w:tcW w:w="709" w:type="dxa"/>
            <w:vAlign w:val="center"/>
          </w:tcPr>
          <w:p>
            <w:pPr>
              <w:snapToGrid w:val="0"/>
              <w:spacing w:line="288" w:lineRule="auto"/>
              <w:jc w:val="center"/>
              <w:rPr>
                <w:color w:val="auto"/>
                <w:szCs w:val="21"/>
                <w:highlight w:val="none"/>
              </w:rPr>
            </w:pPr>
            <w:r>
              <w:rPr>
                <w:color w:val="auto"/>
                <w:szCs w:val="21"/>
                <w:highlight w:val="none"/>
              </w:rPr>
              <w:t>分值</w:t>
            </w:r>
          </w:p>
        </w:tc>
        <w:tc>
          <w:tcPr>
            <w:tcW w:w="5014" w:type="dxa"/>
            <w:vAlign w:val="center"/>
          </w:tcPr>
          <w:p>
            <w:pPr>
              <w:snapToGrid w:val="0"/>
              <w:spacing w:line="288" w:lineRule="auto"/>
              <w:jc w:val="center"/>
              <w:rPr>
                <w:color w:val="auto"/>
                <w:szCs w:val="21"/>
                <w:highlight w:val="none"/>
              </w:rPr>
            </w:pPr>
            <w:r>
              <w:rPr>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napToGrid w:val="0"/>
              <w:spacing w:line="288" w:lineRule="auto"/>
              <w:jc w:val="center"/>
              <w:rPr>
                <w:color w:val="auto"/>
                <w:szCs w:val="21"/>
                <w:highlight w:val="none"/>
              </w:rPr>
            </w:pPr>
            <w:r>
              <w:rPr>
                <w:color w:val="auto"/>
                <w:szCs w:val="21"/>
                <w:highlight w:val="none"/>
              </w:rPr>
              <w:t>2.2.4（1）</w:t>
            </w:r>
          </w:p>
        </w:tc>
        <w:tc>
          <w:tcPr>
            <w:tcW w:w="1186" w:type="dxa"/>
            <w:vMerge w:val="restart"/>
            <w:vAlign w:val="center"/>
          </w:tcPr>
          <w:p>
            <w:pPr>
              <w:snapToGrid w:val="0"/>
              <w:spacing w:line="288" w:lineRule="auto"/>
              <w:jc w:val="center"/>
              <w:rPr>
                <w:color w:val="auto"/>
                <w:szCs w:val="21"/>
                <w:highlight w:val="none"/>
              </w:rPr>
            </w:pPr>
            <w:r>
              <w:rPr>
                <w:color w:val="auto"/>
                <w:szCs w:val="21"/>
                <w:highlight w:val="none"/>
              </w:rPr>
              <w:t>承包人建议书</w:t>
            </w:r>
            <w:r>
              <w:rPr>
                <w:rFonts w:hint="eastAsia"/>
                <w:color w:val="auto"/>
                <w:szCs w:val="21"/>
                <w:highlight w:val="none"/>
              </w:rPr>
              <w:t>（暗标）</w:t>
            </w:r>
          </w:p>
          <w:p>
            <w:pPr>
              <w:pStyle w:val="2"/>
              <w:rPr>
                <w:color w:val="auto"/>
                <w:szCs w:val="21"/>
                <w:highlight w:val="none"/>
              </w:rPr>
            </w:pPr>
            <w:r>
              <w:rPr>
                <w:color w:val="auto"/>
                <w:szCs w:val="21"/>
                <w:highlight w:val="none"/>
              </w:rPr>
              <w:t>（12分）</w:t>
            </w:r>
          </w:p>
        </w:tc>
        <w:tc>
          <w:tcPr>
            <w:tcW w:w="1790" w:type="dxa"/>
            <w:gridSpan w:val="2"/>
            <w:vAlign w:val="center"/>
          </w:tcPr>
          <w:p>
            <w:pPr>
              <w:snapToGrid w:val="0"/>
              <w:spacing w:line="288" w:lineRule="auto"/>
              <w:ind w:left="-109" w:leftChars="-52" w:right="-105" w:rightChars="-50" w:firstLine="31" w:firstLineChars="15"/>
              <w:jc w:val="center"/>
              <w:rPr>
                <w:color w:val="auto"/>
                <w:szCs w:val="21"/>
                <w:highlight w:val="none"/>
              </w:rPr>
            </w:pPr>
            <w:r>
              <w:rPr>
                <w:color w:val="auto"/>
                <w:szCs w:val="21"/>
                <w:highlight w:val="none"/>
              </w:rPr>
              <w:t>对项目的理解和总体设计思路</w:t>
            </w:r>
          </w:p>
        </w:tc>
        <w:tc>
          <w:tcPr>
            <w:tcW w:w="709" w:type="dxa"/>
            <w:vAlign w:val="center"/>
          </w:tcPr>
          <w:p>
            <w:pPr>
              <w:snapToGrid w:val="0"/>
              <w:spacing w:line="288" w:lineRule="auto"/>
              <w:jc w:val="center"/>
              <w:rPr>
                <w:color w:val="auto"/>
                <w:szCs w:val="21"/>
                <w:highlight w:val="none"/>
              </w:rPr>
            </w:pPr>
            <w:r>
              <w:rPr>
                <w:color w:val="auto"/>
                <w:szCs w:val="21"/>
                <w:highlight w:val="none"/>
              </w:rPr>
              <w:t>3分</w:t>
            </w:r>
          </w:p>
        </w:tc>
        <w:tc>
          <w:tcPr>
            <w:tcW w:w="5014" w:type="dxa"/>
            <w:vAlign w:val="center"/>
          </w:tcPr>
          <w:p>
            <w:pPr>
              <w:snapToGrid w:val="0"/>
              <w:spacing w:line="288" w:lineRule="auto"/>
              <w:ind w:right="-105" w:rightChars="-50"/>
              <w:rPr>
                <w:color w:val="auto"/>
                <w:szCs w:val="21"/>
                <w:highlight w:val="none"/>
              </w:rPr>
            </w:pPr>
            <w:r>
              <w:rPr>
                <w:color w:val="auto"/>
                <w:szCs w:val="21"/>
                <w:highlight w:val="none"/>
              </w:rPr>
              <w:t>对本项目名称、所在地区、建设规模、主要工作内容、</w:t>
            </w:r>
            <w:r>
              <w:rPr>
                <w:rFonts w:hint="eastAsia"/>
                <w:color w:val="auto"/>
                <w:szCs w:val="21"/>
                <w:highlight w:val="none"/>
              </w:rPr>
              <w:t>服务期限</w:t>
            </w:r>
            <w:r>
              <w:rPr>
                <w:color w:val="auto"/>
                <w:szCs w:val="21"/>
                <w:highlight w:val="none"/>
              </w:rPr>
              <w:t>承诺等阐述基本全面，得1.8分；</w:t>
            </w:r>
          </w:p>
          <w:p>
            <w:pPr>
              <w:snapToGrid w:val="0"/>
              <w:spacing w:line="288" w:lineRule="auto"/>
              <w:ind w:right="-105" w:rightChars="-50"/>
              <w:rPr>
                <w:color w:val="auto"/>
                <w:szCs w:val="21"/>
                <w:highlight w:val="none"/>
              </w:rPr>
            </w:pPr>
            <w:r>
              <w:rPr>
                <w:color w:val="auto"/>
                <w:szCs w:val="21"/>
                <w:highlight w:val="none"/>
              </w:rPr>
              <w:t>对本项目名称、所在地区、建设规模、主要工作内容、</w:t>
            </w:r>
            <w:r>
              <w:rPr>
                <w:rFonts w:hint="eastAsia"/>
                <w:color w:val="auto"/>
                <w:szCs w:val="21"/>
                <w:highlight w:val="none"/>
              </w:rPr>
              <w:t>服务期限</w:t>
            </w:r>
            <w:r>
              <w:rPr>
                <w:color w:val="auto"/>
                <w:szCs w:val="21"/>
                <w:highlight w:val="none"/>
              </w:rPr>
              <w:t>承诺等阐述全面，无漏项，得1.8-2.4分；</w:t>
            </w:r>
          </w:p>
          <w:p>
            <w:pPr>
              <w:snapToGrid w:val="0"/>
              <w:spacing w:line="288" w:lineRule="auto"/>
              <w:ind w:right="-105" w:rightChars="-50"/>
              <w:rPr>
                <w:color w:val="auto"/>
                <w:szCs w:val="21"/>
                <w:highlight w:val="none"/>
              </w:rPr>
            </w:pPr>
            <w:r>
              <w:rPr>
                <w:color w:val="auto"/>
                <w:szCs w:val="21"/>
                <w:highlight w:val="none"/>
              </w:rPr>
              <w:t>对本项目名称、所在地区、建设规模、主要工作内容、</w:t>
            </w:r>
            <w:r>
              <w:rPr>
                <w:rFonts w:hint="eastAsia"/>
                <w:color w:val="auto"/>
                <w:szCs w:val="21"/>
                <w:highlight w:val="none"/>
              </w:rPr>
              <w:t>服务期限</w:t>
            </w:r>
            <w:r>
              <w:rPr>
                <w:color w:val="auto"/>
                <w:szCs w:val="21"/>
                <w:highlight w:val="none"/>
              </w:rPr>
              <w:t>承诺等阐述全面、合理，符合项目要求，得2.4-3分。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jc w:val="center"/>
              <w:rPr>
                <w:color w:val="auto"/>
                <w:szCs w:val="21"/>
                <w:highlight w:val="none"/>
              </w:rPr>
            </w:pPr>
          </w:p>
        </w:tc>
        <w:tc>
          <w:tcPr>
            <w:tcW w:w="1790" w:type="dxa"/>
            <w:gridSpan w:val="2"/>
            <w:vAlign w:val="center"/>
          </w:tcPr>
          <w:p>
            <w:pPr>
              <w:snapToGrid w:val="0"/>
              <w:spacing w:line="288" w:lineRule="auto"/>
              <w:ind w:left="-109" w:leftChars="-52" w:right="-105" w:rightChars="-50" w:firstLine="31" w:firstLineChars="15"/>
              <w:jc w:val="center"/>
              <w:rPr>
                <w:color w:val="auto"/>
                <w:szCs w:val="21"/>
                <w:highlight w:val="none"/>
              </w:rPr>
            </w:pPr>
            <w:r>
              <w:rPr>
                <w:color w:val="auto"/>
                <w:szCs w:val="21"/>
                <w:highlight w:val="none"/>
              </w:rPr>
              <w:t>施工图设计方案</w:t>
            </w:r>
          </w:p>
        </w:tc>
        <w:tc>
          <w:tcPr>
            <w:tcW w:w="709" w:type="dxa"/>
            <w:vAlign w:val="center"/>
          </w:tcPr>
          <w:p>
            <w:pPr>
              <w:jc w:val="center"/>
              <w:rPr>
                <w:color w:val="auto"/>
                <w:szCs w:val="21"/>
                <w:highlight w:val="none"/>
              </w:rPr>
            </w:pPr>
            <w:r>
              <w:rPr>
                <w:color w:val="auto"/>
                <w:szCs w:val="21"/>
                <w:highlight w:val="none"/>
              </w:rPr>
              <w:t>3分</w:t>
            </w:r>
          </w:p>
        </w:tc>
        <w:tc>
          <w:tcPr>
            <w:tcW w:w="5014" w:type="dxa"/>
            <w:vAlign w:val="center"/>
          </w:tcPr>
          <w:p>
            <w:pPr>
              <w:pStyle w:val="4"/>
              <w:spacing w:line="300" w:lineRule="exact"/>
              <w:rPr>
                <w:rFonts w:ascii="Times New Roman"/>
                <w:color w:val="auto"/>
                <w:highlight w:val="none"/>
              </w:rPr>
            </w:pPr>
            <w:r>
              <w:rPr>
                <w:rFonts w:ascii="Times New Roman"/>
                <w:color w:val="auto"/>
                <w:highlight w:val="none"/>
              </w:rPr>
              <w:t>方案基本合理、可行，得1.8分；</w:t>
            </w:r>
          </w:p>
          <w:p>
            <w:pPr>
              <w:pStyle w:val="4"/>
              <w:spacing w:line="300" w:lineRule="exact"/>
              <w:rPr>
                <w:rFonts w:ascii="Times New Roman"/>
                <w:color w:val="auto"/>
                <w:highlight w:val="none"/>
              </w:rPr>
            </w:pPr>
            <w:r>
              <w:rPr>
                <w:rFonts w:ascii="Times New Roman"/>
                <w:color w:val="auto"/>
                <w:highlight w:val="none"/>
              </w:rPr>
              <w:t>方案较合理、可行，得1.8-2.4分；</w:t>
            </w:r>
          </w:p>
          <w:p>
            <w:pPr>
              <w:snapToGrid w:val="0"/>
              <w:spacing w:line="288" w:lineRule="auto"/>
              <w:ind w:right="-105" w:rightChars="-50"/>
              <w:rPr>
                <w:color w:val="auto"/>
                <w:szCs w:val="21"/>
                <w:highlight w:val="none"/>
              </w:rPr>
            </w:pPr>
            <w:r>
              <w:rPr>
                <w:color w:val="auto"/>
                <w:szCs w:val="21"/>
                <w:highlight w:val="none"/>
              </w:rPr>
              <w:t>方案</w:t>
            </w:r>
            <w:r>
              <w:rPr>
                <w:color w:val="auto"/>
                <w:highlight w:val="none"/>
              </w:rPr>
              <w:t>合理、</w:t>
            </w:r>
            <w:r>
              <w:rPr>
                <w:color w:val="auto"/>
                <w:szCs w:val="21"/>
                <w:highlight w:val="none"/>
              </w:rPr>
              <w:t>可行，具有降低工程造价的合理技术方案及具体措施。具有成熟的新技术、新工艺、新材料的设计方案，得2.4-3分。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jc w:val="center"/>
              <w:rPr>
                <w:color w:val="auto"/>
                <w:szCs w:val="21"/>
                <w:highlight w:val="none"/>
              </w:rPr>
            </w:pPr>
          </w:p>
        </w:tc>
        <w:tc>
          <w:tcPr>
            <w:tcW w:w="1790" w:type="dxa"/>
            <w:gridSpan w:val="2"/>
            <w:vAlign w:val="center"/>
          </w:tcPr>
          <w:p>
            <w:pPr>
              <w:pStyle w:val="4"/>
              <w:spacing w:line="276" w:lineRule="auto"/>
              <w:jc w:val="center"/>
              <w:rPr>
                <w:rFonts w:ascii="Times New Roman"/>
                <w:color w:val="auto"/>
                <w:highlight w:val="none"/>
              </w:rPr>
            </w:pPr>
            <w:r>
              <w:rPr>
                <w:rFonts w:ascii="Times New Roman"/>
                <w:color w:val="auto"/>
                <w:highlight w:val="none"/>
              </w:rPr>
              <w:t>设计工作量及计划安排</w:t>
            </w:r>
          </w:p>
        </w:tc>
        <w:tc>
          <w:tcPr>
            <w:tcW w:w="709" w:type="dxa"/>
            <w:vAlign w:val="center"/>
          </w:tcPr>
          <w:p>
            <w:pPr>
              <w:jc w:val="center"/>
              <w:rPr>
                <w:color w:val="auto"/>
                <w:szCs w:val="21"/>
                <w:highlight w:val="none"/>
              </w:rPr>
            </w:pPr>
            <w:r>
              <w:rPr>
                <w:color w:val="auto"/>
                <w:szCs w:val="21"/>
                <w:highlight w:val="none"/>
              </w:rPr>
              <w:t>3分</w:t>
            </w:r>
          </w:p>
        </w:tc>
        <w:tc>
          <w:tcPr>
            <w:tcW w:w="5014" w:type="dxa"/>
            <w:vAlign w:val="center"/>
          </w:tcPr>
          <w:p>
            <w:pPr>
              <w:pStyle w:val="4"/>
              <w:spacing w:line="300" w:lineRule="exact"/>
              <w:rPr>
                <w:rFonts w:ascii="Times New Roman"/>
                <w:color w:val="auto"/>
                <w:highlight w:val="none"/>
              </w:rPr>
            </w:pPr>
            <w:r>
              <w:rPr>
                <w:rFonts w:ascii="Times New Roman"/>
                <w:color w:val="auto"/>
                <w:highlight w:val="none"/>
              </w:rPr>
              <w:t>工作量及计划安排基本合理，得1.8分；</w:t>
            </w:r>
          </w:p>
          <w:p>
            <w:pPr>
              <w:pStyle w:val="4"/>
              <w:spacing w:line="300" w:lineRule="exact"/>
              <w:rPr>
                <w:rFonts w:ascii="Times New Roman"/>
                <w:color w:val="auto"/>
                <w:highlight w:val="none"/>
              </w:rPr>
            </w:pPr>
            <w:r>
              <w:rPr>
                <w:rFonts w:ascii="Times New Roman"/>
                <w:color w:val="auto"/>
                <w:highlight w:val="none"/>
              </w:rPr>
              <w:t>工作量及计划安排合理，得1.8-2.4分；</w:t>
            </w:r>
          </w:p>
          <w:p>
            <w:pPr>
              <w:snapToGrid w:val="0"/>
              <w:spacing w:line="288" w:lineRule="auto"/>
              <w:ind w:right="-105" w:rightChars="-50"/>
              <w:rPr>
                <w:color w:val="auto"/>
                <w:szCs w:val="21"/>
                <w:highlight w:val="none"/>
              </w:rPr>
            </w:pPr>
            <w:r>
              <w:rPr>
                <w:color w:val="auto"/>
                <w:szCs w:val="21"/>
                <w:highlight w:val="none"/>
              </w:rPr>
              <w:t>工作量及计划安排科学，安排周密，得2.4-3分。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jc w:val="center"/>
              <w:rPr>
                <w:color w:val="auto"/>
                <w:szCs w:val="21"/>
                <w:highlight w:val="none"/>
              </w:rPr>
            </w:pPr>
          </w:p>
        </w:tc>
        <w:tc>
          <w:tcPr>
            <w:tcW w:w="1790" w:type="dxa"/>
            <w:gridSpan w:val="2"/>
            <w:vAlign w:val="center"/>
          </w:tcPr>
          <w:p>
            <w:pPr>
              <w:pStyle w:val="4"/>
              <w:spacing w:line="276" w:lineRule="auto"/>
              <w:jc w:val="center"/>
              <w:rPr>
                <w:rFonts w:ascii="Times New Roman"/>
                <w:color w:val="auto"/>
                <w:highlight w:val="none"/>
              </w:rPr>
            </w:pPr>
            <w:r>
              <w:rPr>
                <w:rFonts w:ascii="Times New Roman"/>
                <w:color w:val="auto"/>
                <w:highlight w:val="none"/>
              </w:rPr>
              <w:t>设计的质量保证措施、进度保证措施、安全保证措施</w:t>
            </w:r>
          </w:p>
        </w:tc>
        <w:tc>
          <w:tcPr>
            <w:tcW w:w="709" w:type="dxa"/>
            <w:vAlign w:val="center"/>
          </w:tcPr>
          <w:p>
            <w:pPr>
              <w:jc w:val="center"/>
              <w:rPr>
                <w:color w:val="auto"/>
                <w:szCs w:val="21"/>
                <w:highlight w:val="none"/>
              </w:rPr>
            </w:pPr>
            <w:r>
              <w:rPr>
                <w:color w:val="auto"/>
                <w:szCs w:val="21"/>
                <w:highlight w:val="none"/>
              </w:rPr>
              <w:t>3分</w:t>
            </w:r>
          </w:p>
        </w:tc>
        <w:tc>
          <w:tcPr>
            <w:tcW w:w="5014" w:type="dxa"/>
            <w:vAlign w:val="center"/>
          </w:tcPr>
          <w:p>
            <w:pPr>
              <w:pStyle w:val="4"/>
              <w:spacing w:line="300" w:lineRule="exact"/>
              <w:rPr>
                <w:rFonts w:ascii="Times New Roman"/>
                <w:color w:val="auto"/>
                <w:highlight w:val="none"/>
              </w:rPr>
            </w:pPr>
            <w:r>
              <w:rPr>
                <w:rFonts w:ascii="Times New Roman"/>
                <w:color w:val="auto"/>
                <w:highlight w:val="none"/>
              </w:rPr>
              <w:t>质量、进度及安全保证措施不够具体，可实施性一般，得1.8分；</w:t>
            </w:r>
          </w:p>
          <w:p>
            <w:pPr>
              <w:pStyle w:val="4"/>
              <w:rPr>
                <w:rFonts w:ascii="Times New Roman"/>
                <w:color w:val="auto"/>
                <w:highlight w:val="none"/>
              </w:rPr>
            </w:pPr>
            <w:r>
              <w:rPr>
                <w:rFonts w:ascii="Times New Roman"/>
                <w:color w:val="auto"/>
                <w:highlight w:val="none"/>
              </w:rPr>
              <w:t>质量、进度及安全保证措施较具体，可实施性较强，得1.8-2.4分；</w:t>
            </w:r>
          </w:p>
          <w:p>
            <w:pPr>
              <w:snapToGrid w:val="0"/>
              <w:spacing w:line="288" w:lineRule="auto"/>
              <w:ind w:right="-105" w:rightChars="-50"/>
              <w:rPr>
                <w:color w:val="auto"/>
                <w:szCs w:val="21"/>
                <w:highlight w:val="none"/>
              </w:rPr>
            </w:pPr>
            <w:r>
              <w:rPr>
                <w:color w:val="auto"/>
                <w:szCs w:val="21"/>
                <w:highlight w:val="none"/>
              </w:rPr>
              <w:t>质量、进度及安全保证措施具体可靠，可实施性强，适合本项目，得2.4-3分。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napToGrid w:val="0"/>
              <w:spacing w:line="288" w:lineRule="auto"/>
              <w:jc w:val="center"/>
              <w:rPr>
                <w:color w:val="auto"/>
                <w:szCs w:val="21"/>
                <w:highlight w:val="none"/>
              </w:rPr>
            </w:pPr>
            <w:r>
              <w:rPr>
                <w:color w:val="auto"/>
                <w:szCs w:val="21"/>
                <w:highlight w:val="none"/>
              </w:rPr>
              <w:t>2.2.4（2）</w:t>
            </w:r>
          </w:p>
        </w:tc>
        <w:tc>
          <w:tcPr>
            <w:tcW w:w="1186" w:type="dxa"/>
            <w:vMerge w:val="restart"/>
            <w:vAlign w:val="center"/>
          </w:tcPr>
          <w:p>
            <w:pPr>
              <w:snapToGrid w:val="0"/>
              <w:spacing w:line="288" w:lineRule="auto"/>
              <w:jc w:val="center"/>
              <w:rPr>
                <w:color w:val="auto"/>
                <w:szCs w:val="21"/>
                <w:highlight w:val="none"/>
              </w:rPr>
            </w:pPr>
            <w:r>
              <w:rPr>
                <w:color w:val="auto"/>
                <w:szCs w:val="21"/>
                <w:highlight w:val="none"/>
              </w:rPr>
              <w:t>资信业绩</w:t>
            </w:r>
          </w:p>
          <w:p>
            <w:pPr>
              <w:pStyle w:val="2"/>
              <w:jc w:val="center"/>
              <w:rPr>
                <w:color w:val="auto"/>
                <w:szCs w:val="21"/>
                <w:highlight w:val="none"/>
              </w:rPr>
            </w:pPr>
            <w:r>
              <w:rPr>
                <w:color w:val="auto"/>
                <w:szCs w:val="21"/>
                <w:highlight w:val="none"/>
              </w:rPr>
              <w:t>（18分）</w:t>
            </w:r>
          </w:p>
        </w:tc>
        <w:tc>
          <w:tcPr>
            <w:tcW w:w="1790" w:type="dxa"/>
            <w:gridSpan w:val="2"/>
            <w:vAlign w:val="center"/>
          </w:tcPr>
          <w:p>
            <w:pPr>
              <w:snapToGrid w:val="0"/>
              <w:spacing w:line="288" w:lineRule="auto"/>
              <w:jc w:val="center"/>
              <w:rPr>
                <w:color w:val="auto"/>
                <w:highlight w:val="none"/>
              </w:rPr>
            </w:pPr>
            <w:r>
              <w:rPr>
                <w:color w:val="auto"/>
                <w:szCs w:val="21"/>
                <w:highlight w:val="none"/>
              </w:rPr>
              <w:t>类似项目业绩</w:t>
            </w:r>
          </w:p>
        </w:tc>
        <w:tc>
          <w:tcPr>
            <w:tcW w:w="709" w:type="dxa"/>
            <w:vAlign w:val="center"/>
          </w:tcPr>
          <w:p>
            <w:pPr>
              <w:snapToGrid w:val="0"/>
              <w:spacing w:line="288" w:lineRule="auto"/>
              <w:jc w:val="center"/>
              <w:rPr>
                <w:color w:val="auto"/>
                <w:szCs w:val="21"/>
                <w:highlight w:val="none"/>
              </w:rPr>
            </w:pPr>
            <w:r>
              <w:rPr>
                <w:color w:val="auto"/>
                <w:szCs w:val="21"/>
                <w:highlight w:val="none"/>
              </w:rPr>
              <w:t>6分</w:t>
            </w:r>
          </w:p>
        </w:tc>
        <w:tc>
          <w:tcPr>
            <w:tcW w:w="5014" w:type="dxa"/>
            <w:vAlign w:val="center"/>
          </w:tcPr>
          <w:p>
            <w:pPr>
              <w:snapToGrid w:val="0"/>
              <w:spacing w:line="280" w:lineRule="exact"/>
              <w:jc w:val="left"/>
              <w:rPr>
                <w:color w:val="auto"/>
                <w:szCs w:val="21"/>
                <w:highlight w:val="none"/>
              </w:rPr>
            </w:pPr>
            <w:r>
              <w:rPr>
                <w:color w:val="auto"/>
                <w:szCs w:val="21"/>
                <w:highlight w:val="none"/>
              </w:rPr>
              <w:t>满足资格审查条件（业绩最低要求）得3.6分。</w:t>
            </w:r>
          </w:p>
          <w:p>
            <w:pPr>
              <w:snapToGrid w:val="0"/>
              <w:spacing w:line="280" w:lineRule="exact"/>
              <w:jc w:val="left"/>
              <w:rPr>
                <w:color w:val="auto"/>
                <w:szCs w:val="21"/>
                <w:highlight w:val="none"/>
              </w:rPr>
            </w:pPr>
            <w:r>
              <w:rPr>
                <w:color w:val="auto"/>
                <w:szCs w:val="21"/>
                <w:highlight w:val="none"/>
              </w:rPr>
              <w:t>投标人每增加1项满足资格审查条件（业绩最低要求）的设计业绩加</w:t>
            </w:r>
            <w:r>
              <w:rPr>
                <w:rFonts w:hint="eastAsia"/>
                <w:color w:val="auto"/>
                <w:szCs w:val="21"/>
                <w:highlight w:val="none"/>
              </w:rPr>
              <w:t>0.6</w:t>
            </w:r>
            <w:r>
              <w:rPr>
                <w:color w:val="auto"/>
                <w:szCs w:val="21"/>
                <w:highlight w:val="none"/>
              </w:rPr>
              <w:t>分，最多加1.2分；</w:t>
            </w:r>
          </w:p>
          <w:p>
            <w:pPr>
              <w:widowControl/>
              <w:snapToGrid w:val="0"/>
              <w:spacing w:line="280" w:lineRule="exact"/>
              <w:jc w:val="left"/>
              <w:rPr>
                <w:color w:val="auto"/>
                <w:szCs w:val="21"/>
                <w:highlight w:val="none"/>
              </w:rPr>
            </w:pPr>
            <w:r>
              <w:rPr>
                <w:color w:val="auto"/>
                <w:szCs w:val="21"/>
                <w:highlight w:val="none"/>
              </w:rPr>
              <w:t>投标人每增加1项满足资格审查条件（业绩最低要求）的</w:t>
            </w:r>
            <w:r>
              <w:rPr>
                <w:rFonts w:hint="eastAsia"/>
                <w:color w:val="auto"/>
                <w:szCs w:val="21"/>
                <w:highlight w:val="none"/>
              </w:rPr>
              <w:t>施工</w:t>
            </w:r>
            <w:r>
              <w:rPr>
                <w:color w:val="auto"/>
                <w:szCs w:val="21"/>
                <w:highlight w:val="none"/>
              </w:rPr>
              <w:t>业绩加</w:t>
            </w:r>
            <w:r>
              <w:rPr>
                <w:rFonts w:hint="eastAsia"/>
                <w:color w:val="auto"/>
                <w:szCs w:val="21"/>
                <w:highlight w:val="none"/>
              </w:rPr>
              <w:t>0.6</w:t>
            </w:r>
            <w:r>
              <w:rPr>
                <w:color w:val="auto"/>
                <w:szCs w:val="21"/>
                <w:highlight w:val="none"/>
              </w:rPr>
              <w:t>分，最多加1.2分；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rPr>
                <w:bCs/>
                <w:color w:val="auto"/>
                <w:szCs w:val="21"/>
                <w:highlight w:val="none"/>
              </w:rPr>
            </w:pPr>
          </w:p>
        </w:tc>
        <w:tc>
          <w:tcPr>
            <w:tcW w:w="1790" w:type="dxa"/>
            <w:gridSpan w:val="2"/>
            <w:vAlign w:val="center"/>
          </w:tcPr>
          <w:p>
            <w:pPr>
              <w:snapToGrid w:val="0"/>
              <w:spacing w:line="288" w:lineRule="auto"/>
              <w:jc w:val="center"/>
              <w:rPr>
                <w:color w:val="auto"/>
                <w:szCs w:val="21"/>
                <w:highlight w:val="none"/>
              </w:rPr>
            </w:pPr>
            <w:r>
              <w:rPr>
                <w:color w:val="auto"/>
                <w:szCs w:val="21"/>
                <w:highlight w:val="none"/>
              </w:rPr>
              <w:t>项目经理业绩</w:t>
            </w:r>
          </w:p>
        </w:tc>
        <w:tc>
          <w:tcPr>
            <w:tcW w:w="709" w:type="dxa"/>
            <w:vAlign w:val="center"/>
          </w:tcPr>
          <w:p>
            <w:pPr>
              <w:snapToGrid w:val="0"/>
              <w:spacing w:line="288" w:lineRule="auto"/>
              <w:jc w:val="center"/>
              <w:rPr>
                <w:color w:val="auto"/>
                <w:szCs w:val="21"/>
                <w:highlight w:val="none"/>
              </w:rPr>
            </w:pPr>
            <w:r>
              <w:rPr>
                <w:color w:val="auto"/>
                <w:szCs w:val="21"/>
                <w:highlight w:val="none"/>
              </w:rPr>
              <w:t>6分</w:t>
            </w:r>
          </w:p>
        </w:tc>
        <w:tc>
          <w:tcPr>
            <w:tcW w:w="5014" w:type="dxa"/>
            <w:vAlign w:val="center"/>
          </w:tcPr>
          <w:p>
            <w:pPr>
              <w:snapToGrid w:val="0"/>
              <w:spacing w:line="280" w:lineRule="exact"/>
              <w:jc w:val="left"/>
              <w:rPr>
                <w:color w:val="auto"/>
                <w:szCs w:val="21"/>
                <w:highlight w:val="none"/>
              </w:rPr>
            </w:pPr>
            <w:r>
              <w:rPr>
                <w:color w:val="auto"/>
                <w:szCs w:val="21"/>
                <w:highlight w:val="none"/>
              </w:rPr>
              <w:t>满足资格审查条件（主要人员最低要求）得3.6分。</w:t>
            </w:r>
          </w:p>
          <w:p>
            <w:pPr>
              <w:snapToGrid w:val="0"/>
              <w:spacing w:line="280" w:lineRule="exact"/>
              <w:jc w:val="left"/>
              <w:rPr>
                <w:color w:val="auto"/>
                <w:szCs w:val="21"/>
                <w:highlight w:val="none"/>
              </w:rPr>
            </w:pPr>
            <w:r>
              <w:rPr>
                <w:color w:val="auto"/>
                <w:szCs w:val="21"/>
                <w:highlight w:val="none"/>
              </w:rPr>
              <w:t>项目经理每增加1项满足资格审查条件（主要人员最低要求）的项目经理业绩加2.4分，最多加2.4分。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rPr>
                <w:bCs/>
                <w:color w:val="auto"/>
                <w:szCs w:val="21"/>
                <w:highlight w:val="none"/>
              </w:rPr>
            </w:pPr>
          </w:p>
        </w:tc>
        <w:tc>
          <w:tcPr>
            <w:tcW w:w="1790" w:type="dxa"/>
            <w:gridSpan w:val="2"/>
            <w:vAlign w:val="center"/>
          </w:tcPr>
          <w:p>
            <w:pPr>
              <w:snapToGrid w:val="0"/>
              <w:spacing w:line="288" w:lineRule="auto"/>
              <w:jc w:val="center"/>
              <w:rPr>
                <w:color w:val="auto"/>
                <w:szCs w:val="21"/>
                <w:highlight w:val="none"/>
              </w:rPr>
            </w:pPr>
            <w:r>
              <w:rPr>
                <w:color w:val="auto"/>
                <w:szCs w:val="21"/>
                <w:highlight w:val="none"/>
              </w:rPr>
              <w:t>设计负责人业绩</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6</w:t>
            </w:r>
            <w:r>
              <w:rPr>
                <w:color w:val="auto"/>
                <w:szCs w:val="21"/>
                <w:highlight w:val="none"/>
              </w:rPr>
              <w:t>分</w:t>
            </w:r>
          </w:p>
        </w:tc>
        <w:tc>
          <w:tcPr>
            <w:tcW w:w="5014" w:type="dxa"/>
            <w:vAlign w:val="center"/>
          </w:tcPr>
          <w:p>
            <w:pPr>
              <w:snapToGrid w:val="0"/>
              <w:spacing w:line="280" w:lineRule="exact"/>
              <w:jc w:val="left"/>
              <w:rPr>
                <w:color w:val="auto"/>
                <w:szCs w:val="21"/>
                <w:highlight w:val="none"/>
              </w:rPr>
            </w:pPr>
            <w:r>
              <w:rPr>
                <w:color w:val="auto"/>
                <w:szCs w:val="21"/>
                <w:highlight w:val="none"/>
              </w:rPr>
              <w:t>满足资格审查条件（主要人员最低要求）得</w:t>
            </w:r>
            <w:r>
              <w:rPr>
                <w:rFonts w:hint="eastAsia"/>
                <w:color w:val="auto"/>
                <w:szCs w:val="21"/>
                <w:highlight w:val="none"/>
              </w:rPr>
              <w:t>3.6</w:t>
            </w:r>
            <w:r>
              <w:rPr>
                <w:color w:val="auto"/>
                <w:szCs w:val="21"/>
                <w:highlight w:val="none"/>
              </w:rPr>
              <w:t>分。</w:t>
            </w:r>
          </w:p>
          <w:p>
            <w:pPr>
              <w:snapToGrid w:val="0"/>
              <w:spacing w:line="280" w:lineRule="exact"/>
              <w:jc w:val="left"/>
              <w:rPr>
                <w:color w:val="auto"/>
                <w:szCs w:val="21"/>
                <w:highlight w:val="none"/>
              </w:rPr>
            </w:pPr>
            <w:r>
              <w:rPr>
                <w:color w:val="auto"/>
                <w:szCs w:val="21"/>
                <w:highlight w:val="none"/>
              </w:rPr>
              <w:t>设计负责人每增加1项满足资格审查条件（主要人员最低要求）的设计负责人业绩加</w:t>
            </w:r>
            <w:r>
              <w:rPr>
                <w:rFonts w:hint="eastAsia"/>
                <w:color w:val="auto"/>
                <w:szCs w:val="21"/>
                <w:highlight w:val="none"/>
              </w:rPr>
              <w:t>2.4</w:t>
            </w:r>
            <w:r>
              <w:rPr>
                <w:color w:val="auto"/>
                <w:szCs w:val="21"/>
                <w:highlight w:val="none"/>
              </w:rPr>
              <w:t>分，最多加</w:t>
            </w:r>
            <w:r>
              <w:rPr>
                <w:rFonts w:hint="eastAsia"/>
                <w:color w:val="auto"/>
                <w:szCs w:val="21"/>
                <w:highlight w:val="none"/>
              </w:rPr>
              <w:t>2.4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5" w:type="dxa"/>
            <w:vMerge w:val="restart"/>
            <w:vAlign w:val="center"/>
          </w:tcPr>
          <w:p>
            <w:pPr>
              <w:snapToGrid w:val="0"/>
              <w:spacing w:line="288" w:lineRule="auto"/>
              <w:jc w:val="center"/>
              <w:rPr>
                <w:color w:val="auto"/>
                <w:szCs w:val="21"/>
                <w:highlight w:val="none"/>
              </w:rPr>
            </w:pPr>
            <w:r>
              <w:rPr>
                <w:color w:val="auto"/>
                <w:szCs w:val="21"/>
                <w:highlight w:val="none"/>
              </w:rPr>
              <w:t>2.2.4（3）</w:t>
            </w:r>
          </w:p>
        </w:tc>
        <w:tc>
          <w:tcPr>
            <w:tcW w:w="1186" w:type="dxa"/>
            <w:vMerge w:val="restart"/>
            <w:vAlign w:val="center"/>
          </w:tcPr>
          <w:p>
            <w:pPr>
              <w:snapToGrid w:val="0"/>
              <w:spacing w:line="288" w:lineRule="auto"/>
              <w:ind w:left="-78" w:leftChars="-37" w:right="-120" w:rightChars="-57"/>
              <w:jc w:val="center"/>
              <w:rPr>
                <w:color w:val="auto"/>
                <w:szCs w:val="21"/>
                <w:highlight w:val="none"/>
              </w:rPr>
            </w:pPr>
            <w:r>
              <w:rPr>
                <w:color w:val="auto"/>
                <w:szCs w:val="21"/>
                <w:highlight w:val="none"/>
              </w:rPr>
              <w:t>承包人实施方案</w:t>
            </w:r>
            <w:r>
              <w:rPr>
                <w:rFonts w:hint="eastAsia"/>
                <w:color w:val="auto"/>
                <w:szCs w:val="21"/>
                <w:highlight w:val="none"/>
              </w:rPr>
              <w:t>（暗标）</w:t>
            </w:r>
          </w:p>
          <w:p>
            <w:pPr>
              <w:pStyle w:val="2"/>
              <w:jc w:val="center"/>
              <w:rPr>
                <w:color w:val="auto"/>
                <w:szCs w:val="21"/>
                <w:highlight w:val="none"/>
              </w:rPr>
            </w:pPr>
            <w:r>
              <w:rPr>
                <w:color w:val="auto"/>
                <w:szCs w:val="21"/>
                <w:highlight w:val="none"/>
              </w:rPr>
              <w:t>（20分）</w:t>
            </w:r>
          </w:p>
        </w:tc>
        <w:tc>
          <w:tcPr>
            <w:tcW w:w="1790" w:type="dxa"/>
            <w:gridSpan w:val="2"/>
            <w:vAlign w:val="center"/>
          </w:tcPr>
          <w:p>
            <w:pPr>
              <w:snapToGrid w:val="0"/>
              <w:spacing w:line="288" w:lineRule="auto"/>
              <w:ind w:leftChars="-52" w:right="-107" w:rightChars="-51" w:hanging="109" w:hangingChars="52"/>
              <w:jc w:val="center"/>
              <w:rPr>
                <w:color w:val="auto"/>
                <w:szCs w:val="21"/>
                <w:highlight w:val="none"/>
              </w:rPr>
            </w:pPr>
            <w:r>
              <w:rPr>
                <w:color w:val="auto"/>
                <w:kern w:val="0"/>
                <w:szCs w:val="21"/>
                <w:highlight w:val="none"/>
              </w:rPr>
              <w:t>设计施工总承包管理方案</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4</w:t>
            </w:r>
            <w:r>
              <w:rPr>
                <w:color w:val="auto"/>
                <w:szCs w:val="21"/>
                <w:highlight w:val="none"/>
              </w:rPr>
              <w:t>分</w:t>
            </w:r>
          </w:p>
        </w:tc>
        <w:tc>
          <w:tcPr>
            <w:tcW w:w="5014" w:type="dxa"/>
            <w:vAlign w:val="center"/>
          </w:tcPr>
          <w:p>
            <w:pPr>
              <w:snapToGrid w:val="0"/>
              <w:spacing w:line="280" w:lineRule="exact"/>
              <w:rPr>
                <w:color w:val="auto"/>
                <w:szCs w:val="21"/>
                <w:highlight w:val="none"/>
              </w:rPr>
            </w:pPr>
            <w:r>
              <w:rPr>
                <w:color w:val="auto"/>
                <w:szCs w:val="21"/>
                <w:highlight w:val="none"/>
              </w:rPr>
              <w:t>方案基本合理、实施性一般，得</w:t>
            </w:r>
            <w:r>
              <w:rPr>
                <w:rFonts w:hint="eastAsia"/>
                <w:color w:val="auto"/>
                <w:szCs w:val="21"/>
                <w:highlight w:val="none"/>
              </w:rPr>
              <w:t>2.4</w:t>
            </w:r>
            <w:r>
              <w:rPr>
                <w:color w:val="auto"/>
                <w:szCs w:val="21"/>
                <w:highlight w:val="none"/>
              </w:rPr>
              <w:t>分；</w:t>
            </w:r>
          </w:p>
          <w:p>
            <w:pPr>
              <w:snapToGrid w:val="0"/>
              <w:spacing w:line="280" w:lineRule="exact"/>
              <w:rPr>
                <w:color w:val="auto"/>
                <w:szCs w:val="21"/>
                <w:highlight w:val="none"/>
              </w:rPr>
            </w:pPr>
            <w:r>
              <w:rPr>
                <w:color w:val="auto"/>
                <w:szCs w:val="21"/>
                <w:highlight w:val="none"/>
              </w:rPr>
              <w:t>方案合理、实施性强，得</w:t>
            </w:r>
            <w:r>
              <w:rPr>
                <w:rFonts w:hint="eastAsia"/>
                <w:color w:val="auto"/>
                <w:szCs w:val="21"/>
                <w:highlight w:val="none"/>
              </w:rPr>
              <w:t>2.4</w:t>
            </w:r>
            <w:r>
              <w:rPr>
                <w:color w:val="auto"/>
                <w:szCs w:val="21"/>
                <w:highlight w:val="none"/>
              </w:rPr>
              <w:t>-</w:t>
            </w:r>
            <w:r>
              <w:rPr>
                <w:rFonts w:hint="eastAsia"/>
                <w:color w:val="auto"/>
                <w:szCs w:val="21"/>
                <w:highlight w:val="none"/>
              </w:rPr>
              <w:t>3</w:t>
            </w:r>
            <w:r>
              <w:rPr>
                <w:color w:val="auto"/>
                <w:szCs w:val="21"/>
                <w:highlight w:val="none"/>
              </w:rPr>
              <w:t>分；</w:t>
            </w:r>
          </w:p>
          <w:p>
            <w:pPr>
              <w:snapToGrid w:val="0"/>
              <w:spacing w:line="280" w:lineRule="exact"/>
              <w:rPr>
                <w:color w:val="auto"/>
                <w:szCs w:val="21"/>
                <w:highlight w:val="none"/>
              </w:rPr>
            </w:pPr>
            <w:r>
              <w:rPr>
                <w:color w:val="auto"/>
                <w:szCs w:val="21"/>
                <w:highlight w:val="none"/>
              </w:rPr>
              <w:t>方案非常合理、突出、详细，得</w:t>
            </w: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restart"/>
            <w:vAlign w:val="center"/>
          </w:tcPr>
          <w:p>
            <w:pPr>
              <w:snapToGrid w:val="0"/>
              <w:spacing w:line="288" w:lineRule="auto"/>
              <w:jc w:val="center"/>
              <w:rPr>
                <w:color w:val="auto"/>
                <w:szCs w:val="21"/>
                <w:highlight w:val="none"/>
              </w:rPr>
            </w:pPr>
            <w:r>
              <w:rPr>
                <w:color w:val="auto"/>
                <w:szCs w:val="21"/>
                <w:highlight w:val="none"/>
              </w:rPr>
              <w:t>施工组织设计</w:t>
            </w:r>
          </w:p>
        </w:tc>
        <w:tc>
          <w:tcPr>
            <w:tcW w:w="1081" w:type="dxa"/>
            <w:vAlign w:val="center"/>
          </w:tcPr>
          <w:p>
            <w:pPr>
              <w:snapToGrid w:val="0"/>
              <w:spacing w:line="288" w:lineRule="auto"/>
              <w:ind w:left="-11" w:leftChars="-10" w:right="-61" w:rightChars="-29" w:hanging="10" w:hangingChars="5"/>
              <w:jc w:val="center"/>
              <w:rPr>
                <w:color w:val="auto"/>
                <w:szCs w:val="21"/>
                <w:highlight w:val="none"/>
              </w:rPr>
            </w:pPr>
            <w:r>
              <w:rPr>
                <w:color w:val="auto"/>
                <w:szCs w:val="21"/>
                <w:highlight w:val="none"/>
              </w:rPr>
              <w:t>关键工程的方案、方法与技术措施</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4</w:t>
            </w:r>
            <w:r>
              <w:rPr>
                <w:color w:val="auto"/>
                <w:szCs w:val="21"/>
                <w:highlight w:val="none"/>
              </w:rPr>
              <w:t>分</w:t>
            </w:r>
          </w:p>
        </w:tc>
        <w:tc>
          <w:tcPr>
            <w:tcW w:w="5014" w:type="dxa"/>
            <w:vAlign w:val="center"/>
          </w:tcPr>
          <w:p>
            <w:pPr>
              <w:widowControl/>
              <w:snapToGrid w:val="0"/>
              <w:spacing w:line="288" w:lineRule="auto"/>
              <w:rPr>
                <w:color w:val="auto"/>
                <w:szCs w:val="21"/>
                <w:highlight w:val="none"/>
              </w:rPr>
            </w:pPr>
            <w:r>
              <w:rPr>
                <w:color w:val="auto"/>
                <w:szCs w:val="21"/>
                <w:highlight w:val="none"/>
              </w:rPr>
              <w:t>关键工程的方案、方法内容基本完整，编制基本合理，技术措施基本可行，得</w:t>
            </w:r>
            <w:r>
              <w:rPr>
                <w:rFonts w:hint="eastAsia"/>
                <w:color w:val="auto"/>
                <w:szCs w:val="21"/>
                <w:highlight w:val="none"/>
              </w:rPr>
              <w:t>2.4</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关键工程的方案、方法内容较完整，编制较科学合理，指导性较强，技术措施较合理可行，得</w:t>
            </w:r>
            <w:r>
              <w:rPr>
                <w:rFonts w:hint="eastAsia"/>
                <w:color w:val="auto"/>
                <w:szCs w:val="21"/>
                <w:highlight w:val="none"/>
              </w:rPr>
              <w:t>2.4</w:t>
            </w:r>
            <w:r>
              <w:rPr>
                <w:color w:val="auto"/>
                <w:szCs w:val="21"/>
                <w:highlight w:val="none"/>
              </w:rPr>
              <w:t>-</w:t>
            </w:r>
            <w:r>
              <w:rPr>
                <w:rFonts w:hint="eastAsia"/>
                <w:color w:val="auto"/>
                <w:szCs w:val="21"/>
                <w:highlight w:val="none"/>
              </w:rPr>
              <w:t>3</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关键工程的方案、方法内容完整，编制科学合理，指导性强，技术措施合理可行，得</w:t>
            </w: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continue"/>
            <w:vAlign w:val="center"/>
          </w:tcPr>
          <w:p>
            <w:pPr>
              <w:autoSpaceDE w:val="0"/>
              <w:autoSpaceDN w:val="0"/>
              <w:snapToGrid w:val="0"/>
              <w:spacing w:line="288" w:lineRule="auto"/>
              <w:ind w:left="-90" w:leftChars="-43"/>
              <w:jc w:val="center"/>
              <w:rPr>
                <w:color w:val="auto"/>
                <w:szCs w:val="21"/>
                <w:highlight w:val="none"/>
              </w:rPr>
            </w:pPr>
          </w:p>
        </w:tc>
        <w:tc>
          <w:tcPr>
            <w:tcW w:w="1081" w:type="dxa"/>
            <w:vAlign w:val="center"/>
          </w:tcPr>
          <w:p>
            <w:pPr>
              <w:autoSpaceDE w:val="0"/>
              <w:autoSpaceDN w:val="0"/>
              <w:snapToGrid w:val="0"/>
              <w:spacing w:line="288" w:lineRule="auto"/>
              <w:ind w:left="-90" w:leftChars="-43"/>
              <w:jc w:val="center"/>
              <w:rPr>
                <w:color w:val="auto"/>
                <w:szCs w:val="21"/>
                <w:highlight w:val="none"/>
              </w:rPr>
            </w:pPr>
            <w:r>
              <w:rPr>
                <w:color w:val="auto"/>
                <w:szCs w:val="21"/>
                <w:highlight w:val="none"/>
              </w:rPr>
              <w:t>工期保证体系及保证措施</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4</w:t>
            </w:r>
            <w:r>
              <w:rPr>
                <w:color w:val="auto"/>
                <w:szCs w:val="21"/>
                <w:highlight w:val="none"/>
              </w:rPr>
              <w:t>分</w:t>
            </w:r>
          </w:p>
        </w:tc>
        <w:tc>
          <w:tcPr>
            <w:tcW w:w="5014" w:type="dxa"/>
            <w:vAlign w:val="center"/>
          </w:tcPr>
          <w:p>
            <w:pPr>
              <w:widowControl/>
              <w:snapToGrid w:val="0"/>
              <w:spacing w:line="288" w:lineRule="auto"/>
              <w:rPr>
                <w:color w:val="auto"/>
                <w:szCs w:val="21"/>
                <w:highlight w:val="none"/>
              </w:rPr>
            </w:pPr>
            <w:r>
              <w:rPr>
                <w:color w:val="auto"/>
                <w:szCs w:val="21"/>
                <w:highlight w:val="none"/>
              </w:rPr>
              <w:t>体系及措施基本完善、合理，实施性一般，得</w:t>
            </w:r>
            <w:r>
              <w:rPr>
                <w:rFonts w:hint="eastAsia"/>
                <w:color w:val="auto"/>
                <w:szCs w:val="21"/>
                <w:highlight w:val="none"/>
              </w:rPr>
              <w:t>2.4</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体系及措施较完善、合理，实施性较强，得</w:t>
            </w:r>
            <w:r>
              <w:rPr>
                <w:rFonts w:hint="eastAsia"/>
                <w:color w:val="auto"/>
                <w:szCs w:val="21"/>
                <w:highlight w:val="none"/>
              </w:rPr>
              <w:t>2.4</w:t>
            </w:r>
            <w:r>
              <w:rPr>
                <w:color w:val="auto"/>
                <w:szCs w:val="21"/>
                <w:highlight w:val="none"/>
              </w:rPr>
              <w:t>-</w:t>
            </w:r>
            <w:r>
              <w:rPr>
                <w:rFonts w:hint="eastAsia"/>
                <w:color w:val="auto"/>
                <w:szCs w:val="21"/>
                <w:highlight w:val="none"/>
              </w:rPr>
              <w:t>3</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体系及措施完善、合理，实施性强，得</w:t>
            </w: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continue"/>
            <w:vAlign w:val="center"/>
          </w:tcPr>
          <w:p>
            <w:pPr>
              <w:autoSpaceDE w:val="0"/>
              <w:autoSpaceDN w:val="0"/>
              <w:snapToGrid w:val="0"/>
              <w:spacing w:line="288" w:lineRule="auto"/>
              <w:ind w:left="-90" w:leftChars="-43"/>
              <w:jc w:val="center"/>
              <w:rPr>
                <w:color w:val="auto"/>
                <w:szCs w:val="21"/>
                <w:highlight w:val="none"/>
              </w:rPr>
            </w:pPr>
          </w:p>
        </w:tc>
        <w:tc>
          <w:tcPr>
            <w:tcW w:w="1081" w:type="dxa"/>
            <w:vAlign w:val="center"/>
          </w:tcPr>
          <w:p>
            <w:pPr>
              <w:autoSpaceDE w:val="0"/>
              <w:autoSpaceDN w:val="0"/>
              <w:snapToGrid w:val="0"/>
              <w:spacing w:line="288" w:lineRule="auto"/>
              <w:ind w:left="-90" w:leftChars="-43"/>
              <w:jc w:val="center"/>
              <w:rPr>
                <w:color w:val="auto"/>
                <w:szCs w:val="21"/>
                <w:highlight w:val="none"/>
              </w:rPr>
            </w:pPr>
            <w:r>
              <w:rPr>
                <w:color w:val="auto"/>
                <w:szCs w:val="21"/>
                <w:highlight w:val="none"/>
              </w:rPr>
              <w:t>工程质量管理体系及保证措施</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4</w:t>
            </w:r>
            <w:r>
              <w:rPr>
                <w:color w:val="auto"/>
                <w:szCs w:val="21"/>
                <w:highlight w:val="none"/>
              </w:rPr>
              <w:t>分</w:t>
            </w:r>
          </w:p>
        </w:tc>
        <w:tc>
          <w:tcPr>
            <w:tcW w:w="5014" w:type="dxa"/>
            <w:vAlign w:val="center"/>
          </w:tcPr>
          <w:p>
            <w:pPr>
              <w:widowControl/>
              <w:snapToGrid w:val="0"/>
              <w:spacing w:line="288" w:lineRule="auto"/>
              <w:rPr>
                <w:color w:val="auto"/>
                <w:szCs w:val="21"/>
                <w:highlight w:val="none"/>
              </w:rPr>
            </w:pPr>
            <w:r>
              <w:rPr>
                <w:color w:val="auto"/>
                <w:szCs w:val="21"/>
                <w:highlight w:val="none"/>
              </w:rPr>
              <w:t>体系及措施基本完善、合理，实施性一般，得</w:t>
            </w:r>
            <w:r>
              <w:rPr>
                <w:rFonts w:hint="eastAsia"/>
                <w:color w:val="auto"/>
                <w:szCs w:val="21"/>
                <w:highlight w:val="none"/>
              </w:rPr>
              <w:t>2.4</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体系及措施较完善、合理，实施性较强，得</w:t>
            </w:r>
            <w:r>
              <w:rPr>
                <w:rFonts w:hint="eastAsia"/>
                <w:color w:val="auto"/>
                <w:szCs w:val="21"/>
                <w:highlight w:val="none"/>
              </w:rPr>
              <w:t>2.4</w:t>
            </w:r>
            <w:r>
              <w:rPr>
                <w:color w:val="auto"/>
                <w:szCs w:val="21"/>
                <w:highlight w:val="none"/>
              </w:rPr>
              <w:t>-</w:t>
            </w:r>
            <w:r>
              <w:rPr>
                <w:rFonts w:hint="eastAsia"/>
                <w:color w:val="auto"/>
                <w:szCs w:val="21"/>
                <w:highlight w:val="none"/>
              </w:rPr>
              <w:t>3</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体系及措施完善、合理，实施性强，得</w:t>
            </w: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continue"/>
            <w:vAlign w:val="center"/>
          </w:tcPr>
          <w:p>
            <w:pPr>
              <w:autoSpaceDE w:val="0"/>
              <w:autoSpaceDN w:val="0"/>
              <w:snapToGrid w:val="0"/>
              <w:spacing w:line="288" w:lineRule="auto"/>
              <w:ind w:left="-90" w:leftChars="-43"/>
              <w:jc w:val="center"/>
              <w:rPr>
                <w:color w:val="auto"/>
                <w:szCs w:val="21"/>
                <w:highlight w:val="none"/>
              </w:rPr>
            </w:pPr>
          </w:p>
        </w:tc>
        <w:tc>
          <w:tcPr>
            <w:tcW w:w="1081" w:type="dxa"/>
            <w:vAlign w:val="center"/>
          </w:tcPr>
          <w:p>
            <w:pPr>
              <w:autoSpaceDE w:val="0"/>
              <w:autoSpaceDN w:val="0"/>
              <w:snapToGrid w:val="0"/>
              <w:spacing w:line="288" w:lineRule="auto"/>
              <w:ind w:left="-90" w:leftChars="-43"/>
              <w:jc w:val="center"/>
              <w:rPr>
                <w:color w:val="auto"/>
                <w:szCs w:val="21"/>
                <w:highlight w:val="none"/>
              </w:rPr>
            </w:pPr>
            <w:r>
              <w:rPr>
                <w:color w:val="auto"/>
                <w:szCs w:val="21"/>
                <w:highlight w:val="none"/>
              </w:rPr>
              <w:t>安全生产管理体系及保证措施</w:t>
            </w:r>
          </w:p>
        </w:tc>
        <w:tc>
          <w:tcPr>
            <w:tcW w:w="709" w:type="dxa"/>
            <w:vAlign w:val="center"/>
          </w:tcPr>
          <w:p>
            <w:pPr>
              <w:snapToGrid w:val="0"/>
              <w:spacing w:line="288" w:lineRule="auto"/>
              <w:jc w:val="center"/>
              <w:rPr>
                <w:color w:val="auto"/>
                <w:szCs w:val="21"/>
                <w:highlight w:val="none"/>
              </w:rPr>
            </w:pPr>
            <w:r>
              <w:rPr>
                <w:rFonts w:hint="eastAsia"/>
                <w:color w:val="auto"/>
                <w:szCs w:val="21"/>
                <w:highlight w:val="none"/>
              </w:rPr>
              <w:t>4</w:t>
            </w:r>
            <w:r>
              <w:rPr>
                <w:color w:val="auto"/>
                <w:szCs w:val="21"/>
                <w:highlight w:val="none"/>
              </w:rPr>
              <w:t>分</w:t>
            </w:r>
          </w:p>
        </w:tc>
        <w:tc>
          <w:tcPr>
            <w:tcW w:w="5014" w:type="dxa"/>
            <w:vAlign w:val="center"/>
          </w:tcPr>
          <w:p>
            <w:pPr>
              <w:widowControl/>
              <w:snapToGrid w:val="0"/>
              <w:spacing w:line="288" w:lineRule="auto"/>
              <w:rPr>
                <w:color w:val="auto"/>
                <w:szCs w:val="21"/>
                <w:highlight w:val="none"/>
              </w:rPr>
            </w:pPr>
            <w:r>
              <w:rPr>
                <w:color w:val="auto"/>
                <w:szCs w:val="21"/>
                <w:highlight w:val="none"/>
              </w:rPr>
              <w:t>体系及措施基本完善、合理，实施性一般，得</w:t>
            </w:r>
            <w:r>
              <w:rPr>
                <w:rFonts w:hint="eastAsia"/>
                <w:color w:val="auto"/>
                <w:szCs w:val="21"/>
                <w:highlight w:val="none"/>
              </w:rPr>
              <w:t>2.4</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体系及措施较完善、合理，实施性较强，得</w:t>
            </w:r>
            <w:r>
              <w:rPr>
                <w:rFonts w:hint="eastAsia"/>
                <w:color w:val="auto"/>
                <w:szCs w:val="21"/>
                <w:highlight w:val="none"/>
              </w:rPr>
              <w:t>2.4</w:t>
            </w:r>
            <w:r>
              <w:rPr>
                <w:color w:val="auto"/>
                <w:szCs w:val="21"/>
                <w:highlight w:val="none"/>
              </w:rPr>
              <w:t>-</w:t>
            </w:r>
            <w:r>
              <w:rPr>
                <w:rFonts w:hint="eastAsia"/>
                <w:color w:val="auto"/>
                <w:szCs w:val="21"/>
                <w:highlight w:val="none"/>
              </w:rPr>
              <w:t>3</w:t>
            </w:r>
            <w:r>
              <w:rPr>
                <w:color w:val="auto"/>
                <w:szCs w:val="21"/>
                <w:highlight w:val="none"/>
              </w:rPr>
              <w:t>分；</w:t>
            </w:r>
          </w:p>
          <w:p>
            <w:pPr>
              <w:widowControl/>
              <w:snapToGrid w:val="0"/>
              <w:spacing w:line="288" w:lineRule="auto"/>
              <w:rPr>
                <w:color w:val="auto"/>
                <w:szCs w:val="21"/>
                <w:highlight w:val="none"/>
              </w:rPr>
            </w:pPr>
            <w:r>
              <w:rPr>
                <w:color w:val="auto"/>
                <w:szCs w:val="21"/>
                <w:highlight w:val="none"/>
              </w:rPr>
              <w:t>体系及措施完善、合理，实施性强，得</w:t>
            </w: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snapToGrid w:val="0"/>
              <w:spacing w:line="288" w:lineRule="auto"/>
              <w:jc w:val="center"/>
              <w:rPr>
                <w:color w:val="auto"/>
                <w:kern w:val="0"/>
                <w:szCs w:val="21"/>
                <w:highlight w:val="none"/>
                <w:lang w:val="zh-CN"/>
              </w:rPr>
            </w:pPr>
            <w:r>
              <w:rPr>
                <w:color w:val="auto"/>
                <w:szCs w:val="21"/>
                <w:highlight w:val="none"/>
              </w:rPr>
              <w:t>2.2.4（4）</w:t>
            </w:r>
          </w:p>
        </w:tc>
        <w:tc>
          <w:tcPr>
            <w:tcW w:w="1186" w:type="dxa"/>
            <w:vAlign w:val="center"/>
          </w:tcPr>
          <w:p>
            <w:pPr>
              <w:snapToGrid w:val="0"/>
              <w:spacing w:line="288" w:lineRule="auto"/>
              <w:jc w:val="center"/>
              <w:rPr>
                <w:color w:val="auto"/>
                <w:szCs w:val="21"/>
                <w:highlight w:val="none"/>
              </w:rPr>
            </w:pPr>
            <w:r>
              <w:rPr>
                <w:color w:val="auto"/>
                <w:szCs w:val="21"/>
                <w:highlight w:val="none"/>
              </w:rPr>
              <w:t>评标价</w:t>
            </w:r>
          </w:p>
          <w:p>
            <w:pPr>
              <w:pStyle w:val="2"/>
              <w:jc w:val="center"/>
              <w:rPr>
                <w:color w:val="auto"/>
                <w:szCs w:val="21"/>
                <w:highlight w:val="none"/>
              </w:rPr>
            </w:pPr>
            <w:r>
              <w:rPr>
                <w:color w:val="auto"/>
                <w:szCs w:val="21"/>
                <w:highlight w:val="none"/>
              </w:rPr>
              <w:t>（50分）</w:t>
            </w:r>
          </w:p>
        </w:tc>
        <w:tc>
          <w:tcPr>
            <w:tcW w:w="7513" w:type="dxa"/>
            <w:gridSpan w:val="4"/>
            <w:vAlign w:val="center"/>
          </w:tcPr>
          <w:p>
            <w:pPr>
              <w:tabs>
                <w:tab w:val="left" w:pos="3060"/>
              </w:tabs>
              <w:spacing w:line="280" w:lineRule="exact"/>
              <w:rPr>
                <w:color w:val="auto"/>
                <w:szCs w:val="21"/>
                <w:highlight w:val="none"/>
              </w:rPr>
            </w:pPr>
            <w:r>
              <w:rPr>
                <w:color w:val="auto"/>
                <w:szCs w:val="21"/>
                <w:highlight w:val="none"/>
              </w:rPr>
              <w:t>评标价得分计算公式：</w:t>
            </w:r>
          </w:p>
          <w:p>
            <w:pPr>
              <w:tabs>
                <w:tab w:val="left" w:pos="3060"/>
              </w:tabs>
              <w:spacing w:line="280" w:lineRule="exact"/>
              <w:rPr>
                <w:color w:val="auto"/>
                <w:szCs w:val="21"/>
                <w:highlight w:val="none"/>
              </w:rPr>
            </w:pPr>
            <w:r>
              <w:rPr>
                <w:color w:val="auto"/>
                <w:szCs w:val="21"/>
                <w:highlight w:val="none"/>
              </w:rPr>
              <w:t>（1）如果投标人的评标价＞评标基准价，则评标价得分＝50－偏差率×100×E1；</w:t>
            </w:r>
          </w:p>
          <w:p>
            <w:pPr>
              <w:tabs>
                <w:tab w:val="left" w:pos="3060"/>
              </w:tabs>
              <w:spacing w:line="280" w:lineRule="exact"/>
              <w:rPr>
                <w:color w:val="auto"/>
                <w:szCs w:val="21"/>
                <w:highlight w:val="none"/>
              </w:rPr>
            </w:pPr>
            <w:r>
              <w:rPr>
                <w:color w:val="auto"/>
                <w:szCs w:val="21"/>
                <w:highlight w:val="none"/>
              </w:rPr>
              <w:t>（2）如果投标人的评标价≤评标基准价，则评标价得分＝50＋偏差率×100×E2；</w:t>
            </w:r>
          </w:p>
          <w:p>
            <w:pPr>
              <w:tabs>
                <w:tab w:val="left" w:pos="3060"/>
              </w:tabs>
              <w:spacing w:line="280" w:lineRule="exact"/>
              <w:rPr>
                <w:color w:val="auto"/>
                <w:szCs w:val="21"/>
                <w:highlight w:val="none"/>
              </w:rPr>
            </w:pPr>
            <w:r>
              <w:rPr>
                <w:color w:val="auto"/>
                <w:szCs w:val="21"/>
                <w:highlight w:val="none"/>
              </w:rPr>
              <w:t>其中，E1是评标价每高于评标基准价一个百分点的扣分值，E1＝0.6；E2是评标价每低于评标基准价一个百分点的扣分值，E2＝0.3。</w:t>
            </w:r>
          </w:p>
          <w:p>
            <w:pPr>
              <w:snapToGrid w:val="0"/>
              <w:spacing w:line="288" w:lineRule="auto"/>
              <w:rPr>
                <w:color w:val="auto"/>
                <w:szCs w:val="21"/>
                <w:highlight w:val="none"/>
              </w:rPr>
            </w:pPr>
            <w:r>
              <w:rPr>
                <w:color w:val="auto"/>
                <w:szCs w:val="21"/>
                <w:highlight w:val="none"/>
              </w:rPr>
              <w:t>评标价最低得分为0分，</w:t>
            </w:r>
            <w:r>
              <w:rPr>
                <w:bCs/>
                <w:color w:val="auto"/>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snapToGrid w:val="0"/>
              <w:spacing w:line="288" w:lineRule="auto"/>
              <w:jc w:val="center"/>
              <w:rPr>
                <w:color w:val="auto"/>
                <w:szCs w:val="21"/>
                <w:highlight w:val="none"/>
              </w:rPr>
            </w:pPr>
            <w:r>
              <w:rPr>
                <w:color w:val="auto"/>
                <w:szCs w:val="21"/>
                <w:highlight w:val="none"/>
              </w:rPr>
              <w:t>2.2.4（5）</w:t>
            </w:r>
          </w:p>
        </w:tc>
        <w:tc>
          <w:tcPr>
            <w:tcW w:w="1186" w:type="dxa"/>
            <w:vAlign w:val="center"/>
          </w:tcPr>
          <w:p>
            <w:pPr>
              <w:snapToGrid w:val="0"/>
              <w:spacing w:line="288" w:lineRule="auto"/>
              <w:jc w:val="center"/>
              <w:rPr>
                <w:color w:val="auto"/>
                <w:szCs w:val="21"/>
                <w:highlight w:val="none"/>
              </w:rPr>
            </w:pPr>
            <w:r>
              <w:rPr>
                <w:color w:val="auto"/>
                <w:szCs w:val="21"/>
                <w:highlight w:val="none"/>
              </w:rPr>
              <w:t>其他评分因素</w:t>
            </w:r>
          </w:p>
        </w:tc>
        <w:tc>
          <w:tcPr>
            <w:tcW w:w="1790" w:type="dxa"/>
            <w:gridSpan w:val="2"/>
            <w:vAlign w:val="center"/>
          </w:tcPr>
          <w:p>
            <w:pPr>
              <w:tabs>
                <w:tab w:val="left" w:pos="3060"/>
              </w:tabs>
              <w:snapToGrid w:val="0"/>
              <w:spacing w:line="288" w:lineRule="auto"/>
              <w:jc w:val="center"/>
              <w:rPr>
                <w:color w:val="auto"/>
                <w:szCs w:val="21"/>
                <w:highlight w:val="none"/>
              </w:rPr>
            </w:pPr>
            <w:r>
              <w:rPr>
                <w:color w:val="auto"/>
                <w:szCs w:val="21"/>
                <w:highlight w:val="none"/>
              </w:rPr>
              <w:t>/</w:t>
            </w:r>
          </w:p>
        </w:tc>
        <w:tc>
          <w:tcPr>
            <w:tcW w:w="709" w:type="dxa"/>
            <w:vAlign w:val="center"/>
          </w:tcPr>
          <w:p>
            <w:pPr>
              <w:tabs>
                <w:tab w:val="left" w:pos="3060"/>
              </w:tabs>
              <w:snapToGrid w:val="0"/>
              <w:spacing w:line="288" w:lineRule="auto"/>
              <w:rPr>
                <w:color w:val="auto"/>
                <w:szCs w:val="21"/>
                <w:highlight w:val="none"/>
              </w:rPr>
            </w:pPr>
            <w:r>
              <w:rPr>
                <w:color w:val="auto"/>
                <w:szCs w:val="21"/>
                <w:highlight w:val="none"/>
              </w:rPr>
              <w:t xml:space="preserve"> 0 分</w:t>
            </w:r>
          </w:p>
        </w:tc>
        <w:tc>
          <w:tcPr>
            <w:tcW w:w="5014" w:type="dxa"/>
            <w:vAlign w:val="center"/>
          </w:tcPr>
          <w:p>
            <w:pPr>
              <w:tabs>
                <w:tab w:val="left" w:pos="3060"/>
              </w:tabs>
              <w:snapToGrid w:val="0"/>
              <w:spacing w:line="288" w:lineRule="auto"/>
              <w:rPr>
                <w:color w:val="auto"/>
                <w:szCs w:val="21"/>
                <w:highlight w:val="none"/>
              </w:rPr>
            </w:pPr>
            <w:r>
              <w:rPr>
                <w:color w:val="auto"/>
                <w:szCs w:val="21"/>
                <w:highlight w:val="none"/>
              </w:rPr>
              <w:t>/</w:t>
            </w:r>
          </w:p>
        </w:tc>
      </w:tr>
    </w:tbl>
    <w:p>
      <w:pPr>
        <w:spacing w:before="156" w:beforeLines="50" w:line="312" w:lineRule="auto"/>
        <w:rPr>
          <w:rFonts w:ascii="宋体"/>
          <w:color w:val="auto"/>
          <w:highlight w:val="none"/>
        </w:rPr>
      </w:pPr>
      <w:r>
        <w:rPr>
          <w:rFonts w:hint="eastAsia" w:ascii="宋体"/>
          <w:color w:val="auto"/>
          <w:highlight w:val="none"/>
        </w:rPr>
        <w:t>注：（1）第2.2.4（1）、（3）项评委打分保留1位小数，汇总得分保留小数点后两位。</w:t>
      </w:r>
    </w:p>
    <w:p>
      <w:pPr>
        <w:spacing w:before="156" w:beforeLines="50" w:line="312" w:lineRule="auto"/>
        <w:ind w:firstLine="420" w:firstLineChars="200"/>
        <w:rPr>
          <w:rFonts w:ascii="宋体"/>
          <w:color w:val="auto"/>
          <w:highlight w:val="none"/>
        </w:rPr>
      </w:pPr>
      <w:r>
        <w:rPr>
          <w:rFonts w:hint="eastAsia" w:ascii="宋体"/>
          <w:color w:val="auto"/>
          <w:highlight w:val="none"/>
        </w:rPr>
        <w:t>（2）第2.2.4（1）、（3）项评审因素细分项缺项则该项得0分。</w:t>
      </w:r>
    </w:p>
    <w:p>
      <w:pPr>
        <w:adjustRightInd w:val="0"/>
        <w:snapToGrid w:val="0"/>
        <w:spacing w:line="360" w:lineRule="auto"/>
        <w:ind w:firstLine="420" w:firstLineChars="200"/>
        <w:jc w:val="left"/>
        <w:textAlignment w:val="baseline"/>
        <w:rPr>
          <w:rFonts w:ascii="宋体"/>
          <w:snapToGrid w:val="0"/>
          <w:color w:val="auto"/>
          <w:kern w:val="0"/>
          <w:sz w:val="24"/>
          <w:szCs w:val="21"/>
          <w:highlight w:val="none"/>
        </w:rPr>
      </w:pPr>
      <w:r>
        <w:rPr>
          <w:rFonts w:hint="eastAsia" w:ascii="宋体"/>
          <w:color w:val="auto"/>
          <w:highlight w:val="none"/>
        </w:rPr>
        <w:t>（3）各评分因素得分以评标委员会各成员的打分平均值确定，保留2位小数。评标委员会成员总数为7人及以上时，该平均值以去掉一个最高分和一个最低分后计算。</w:t>
      </w:r>
    </w:p>
    <w:p>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F8222"/>
    <w:multiLevelType w:val="singleLevel"/>
    <w:tmpl w:val="461F8222"/>
    <w:lvl w:ilvl="0" w:tentative="0">
      <w:start w:val="1"/>
      <w:numFmt w:val="decimal"/>
      <w:suff w:val="nothing"/>
      <w:lvlText w:val="%1、"/>
      <w:lvlJc w:val="left"/>
    </w:lvl>
  </w:abstractNum>
  <w:abstractNum w:abstractNumId="1">
    <w:nsid w:val="6F8D75E8"/>
    <w:multiLevelType w:val="singleLevel"/>
    <w:tmpl w:val="6F8D75E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052E5E47"/>
    <w:rsid w:val="32DD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Plain Text"/>
    <w:basedOn w:val="1"/>
    <w:qFormat/>
    <w:uiPriority w:val="0"/>
    <w:rPr>
      <w:rFonts w:ascii="宋体"/>
      <w:szCs w:val="21"/>
    </w:rPr>
  </w:style>
  <w:style w:type="character" w:customStyle="1" w:styleId="7">
    <w:name w:val="NormalCharacter"/>
    <w:link w:val="8"/>
    <w:qFormat/>
    <w:uiPriority w:val="0"/>
    <w:rPr>
      <w:kern w:val="0"/>
      <w:sz w:val="20"/>
      <w:szCs w:val="20"/>
    </w:rPr>
  </w:style>
  <w:style w:type="paragraph" w:customStyle="1" w:styleId="8">
    <w:name w:val="UserStyle_24"/>
    <w:basedOn w:val="1"/>
    <w:link w:val="7"/>
    <w:qFormat/>
    <w:uiPriority w:val="0"/>
    <w:pPr>
      <w:widowControl/>
      <w:spacing w:line="360" w:lineRule="auto"/>
      <w:ind w:firstLine="20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2023-10-19T10:11:00Z</dcterms:created>
  <dc:creator>Administrator</dc:creator>
  <cp:lastModifiedBy>李娜</cp:lastModifiedBy>
  <dcterms:modified xsi:type="dcterms:W3CDTF">2023-10-20T00:57:45Z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1ED51B28130A448490F4B6D035B16AF4_12</vt:lpwstr>
  </property>
</Properties>
</file>