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Times New Roman"/>
          <w:b/>
          <w:sz w:val="28"/>
          <w:szCs w:val="28"/>
        </w:rPr>
      </w:pPr>
      <w:r>
        <w:rPr>
          <w:rFonts w:hint="eastAsia" w:ascii="宋体" w:hAnsi="宋体" w:eastAsia="宋体" w:cs="Times New Roman"/>
          <w:b/>
          <w:sz w:val="24"/>
          <w:szCs w:val="24"/>
        </w:rPr>
        <w:t>附件</w:t>
      </w:r>
      <w:r>
        <w:rPr>
          <w:rFonts w:ascii="宋体" w:hAnsi="宋体" w:eastAsia="宋体" w:cs="Times New Roman"/>
          <w:b/>
          <w:sz w:val="24"/>
          <w:szCs w:val="24"/>
        </w:rPr>
        <w:t>1</w:t>
      </w:r>
      <w:r>
        <w:rPr>
          <w:rFonts w:hint="eastAsia" w:ascii="宋体" w:hAnsi="宋体" w:eastAsia="宋体" w:cs="Times New Roman"/>
          <w:b/>
          <w:sz w:val="24"/>
          <w:szCs w:val="24"/>
        </w:rPr>
        <w:t>：</w:t>
      </w:r>
      <w:r>
        <w:rPr>
          <w:rFonts w:hint="eastAsia" w:ascii="宋体" w:hAnsi="宋体" w:eastAsia="宋体" w:cs="Times New Roman"/>
          <w:b/>
          <w:sz w:val="24"/>
        </w:rPr>
        <w:t>资格审查条件</w:t>
      </w:r>
    </w:p>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附录1 资格审查条件（资质最低要求）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szCs w:val="21"/>
              </w:rPr>
            </w:pPr>
            <w:r>
              <w:rPr>
                <w:rFonts w:hint="eastAsia" w:ascii="宋体" w:hAnsi="宋体" w:eastAsia="宋体" w:cs="Times New Roman"/>
                <w:szCs w:val="21"/>
              </w:rPr>
              <w:t>具备独立法人资格，具有有效企业营业执照。</w:t>
            </w:r>
          </w:p>
        </w:tc>
      </w:tr>
    </w:tbl>
    <w:p>
      <w:pPr>
        <w:jc w:val="center"/>
        <w:rPr>
          <w:rFonts w:ascii="宋体" w:hAnsi="宋体" w:eastAsia="宋体" w:cs="Times New Roman"/>
          <w:b/>
          <w:sz w:val="28"/>
        </w:rPr>
      </w:pPr>
    </w:p>
    <w:p>
      <w:pPr>
        <w:keepNext/>
        <w:keepLines/>
        <w:spacing w:before="26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 xml:space="preserve">2 </w:t>
      </w:r>
      <w:r>
        <w:rPr>
          <w:rFonts w:hint="eastAsia" w:ascii="宋体" w:hAnsi="宋体" w:eastAsia="宋体" w:cs="Times New Roman"/>
          <w:b/>
          <w:kern w:val="0"/>
          <w:sz w:val="24"/>
          <w:szCs w:val="24"/>
        </w:rPr>
        <w:t>资格审查条件</w:t>
      </w:r>
      <w:r>
        <w:rPr>
          <w:rFonts w:ascii="宋体" w:hAnsi="宋体" w:eastAsia="宋体" w:cs="Times New Roman"/>
          <w:b/>
          <w:kern w:val="0"/>
          <w:sz w:val="24"/>
          <w:szCs w:val="24"/>
        </w:rPr>
        <w:t>(</w:t>
      </w:r>
      <w:r>
        <w:rPr>
          <w:rFonts w:hint="eastAsia" w:ascii="宋体" w:hAnsi="宋体" w:eastAsia="宋体" w:cs="Times New Roman"/>
          <w:b/>
          <w:kern w:val="0"/>
          <w:sz w:val="24"/>
          <w:szCs w:val="24"/>
        </w:rPr>
        <w:t>业绩最低要求</w:t>
      </w:r>
      <w:r>
        <w:rPr>
          <w:rFonts w:ascii="宋体" w:hAnsi="宋体" w:eastAsia="宋体" w:cs="Times New Roman"/>
          <w:b/>
          <w:kern w:val="0"/>
          <w:sz w:val="24"/>
          <w:szCs w:val="24"/>
        </w:rPr>
        <w:t>)</w:t>
      </w:r>
    </w:p>
    <w:tbl>
      <w:tblPr>
        <w:tblStyle w:val="4"/>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eastAsia="宋体" w:cs="Times New Roman"/>
              </w:rPr>
            </w:pPr>
            <w:r>
              <w:rPr>
                <w:rFonts w:hint="eastAsia" w:ascii="宋体" w:hAnsi="宋体" w:eastAsia="宋体" w:cs="Times New Roman"/>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eastAsia="宋体" w:cs="Times New Roman"/>
                <w:b/>
                <w:bCs/>
                <w:szCs w:val="21"/>
              </w:rPr>
            </w:pPr>
            <w:bookmarkStart w:id="0" w:name="_Hlk51692819"/>
            <w:bookmarkStart w:id="1" w:name="_Hlk50454153"/>
            <w:r>
              <w:rPr>
                <w:rFonts w:hint="eastAsia" w:ascii="宋体" w:hAnsi="宋体" w:eastAsia="宋体" w:cs="Times New Roman"/>
                <w:szCs w:val="21"/>
              </w:rPr>
              <w:t>投标人近</w:t>
            </w:r>
            <w:r>
              <w:rPr>
                <w:rFonts w:ascii="宋体" w:hAnsi="宋体" w:eastAsia="宋体" w:cs="Times New Roman"/>
                <w:szCs w:val="21"/>
              </w:rPr>
              <w:t>3</w:t>
            </w:r>
            <w:r>
              <w:rPr>
                <w:rFonts w:hint="eastAsia" w:ascii="宋体" w:hAnsi="宋体" w:eastAsia="宋体" w:cs="Times New Roman"/>
                <w:szCs w:val="21"/>
              </w:rPr>
              <w:t>年内（20</w:t>
            </w:r>
            <w:r>
              <w:rPr>
                <w:rFonts w:ascii="宋体" w:hAnsi="宋体" w:eastAsia="宋体" w:cs="Times New Roman"/>
                <w:szCs w:val="21"/>
              </w:rPr>
              <w:t>20</w:t>
            </w:r>
            <w:r>
              <w:rPr>
                <w:rFonts w:hint="eastAsia" w:ascii="宋体" w:hAnsi="宋体" w:eastAsia="宋体" w:cs="Times New Roman"/>
                <w:szCs w:val="21"/>
              </w:rPr>
              <w:t>年10月1日至今，以合同签订时间为准）至少承担过一项七氟丙烷灭火器检测项目业绩。</w:t>
            </w:r>
            <w:bookmarkEnd w:id="0"/>
            <w:bookmarkEnd w:id="1"/>
          </w:p>
        </w:tc>
      </w:tr>
    </w:tbl>
    <w:p>
      <w:pPr>
        <w:jc w:val="center"/>
        <w:rPr>
          <w:rFonts w:ascii="宋体" w:hAnsi="宋体" w:eastAsia="宋体" w:cs="Times New Roman"/>
          <w:b/>
          <w:sz w:val="24"/>
        </w:rPr>
      </w:pPr>
    </w:p>
    <w:p>
      <w:pPr>
        <w:keepNext/>
        <w:keepLines/>
        <w:spacing w:before="120" w:after="260" w:line="300" w:lineRule="exact"/>
        <w:jc w:val="center"/>
        <w:outlineLvl w:val="2"/>
        <w:rPr>
          <w:rFonts w:ascii="宋体" w:hAnsi="宋体" w:eastAsia="宋体" w:cs="Times New Roman"/>
          <w:b/>
          <w:kern w:val="0"/>
          <w:sz w:val="24"/>
          <w:szCs w:val="24"/>
        </w:rPr>
      </w:pPr>
      <w:r>
        <w:rPr>
          <w:rFonts w:hint="eastAsia" w:ascii="宋体" w:hAnsi="宋体" w:eastAsia="宋体" w:cs="Times New Roman"/>
          <w:b/>
          <w:kern w:val="0"/>
          <w:sz w:val="24"/>
          <w:szCs w:val="24"/>
        </w:rPr>
        <w:t>附录</w:t>
      </w:r>
      <w:r>
        <w:rPr>
          <w:rFonts w:ascii="宋体" w:hAnsi="宋体" w:eastAsia="宋体" w:cs="Times New Roman"/>
          <w:b/>
          <w:kern w:val="0"/>
          <w:sz w:val="24"/>
          <w:szCs w:val="24"/>
        </w:rPr>
        <w:t>3</w:t>
      </w:r>
      <w:r>
        <w:rPr>
          <w:rFonts w:hint="eastAsia" w:ascii="宋体" w:hAnsi="宋体" w:eastAsia="宋体" w:cs="Times New Roman"/>
          <w:b/>
          <w:kern w:val="0"/>
          <w:sz w:val="24"/>
          <w:szCs w:val="24"/>
        </w:rPr>
        <w:t xml:space="preserve"> 资格审查条件（信誉最低要求）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eastAsia="宋体" w:cs="Times New Roman"/>
              </w:rPr>
            </w:pPr>
            <w:r>
              <w:rPr>
                <w:rFonts w:hint="eastAsia" w:ascii="宋体" w:hAnsi="宋体" w:eastAsia="宋体" w:cs="Times New Roman"/>
              </w:rPr>
              <w:t>投标人在近1年内(20</w:t>
            </w:r>
            <w:r>
              <w:rPr>
                <w:rFonts w:ascii="宋体" w:hAnsi="宋体" w:eastAsia="宋体" w:cs="Times New Roman"/>
              </w:rPr>
              <w:t>22</w:t>
            </w:r>
            <w:r>
              <w:rPr>
                <w:rFonts w:hint="eastAsia" w:ascii="宋体" w:hAnsi="宋体" w:eastAsia="宋体" w:cs="Times New Roman"/>
              </w:rPr>
              <w:t>年10月1日至今)</w:t>
            </w:r>
            <w:r>
              <w:rPr>
                <w:rFonts w:hint="eastAsia" w:ascii="宋体" w:hAnsi="宋体" w:eastAsia="宋体" w:cs="Times New Roman"/>
                <w:szCs w:val="21"/>
              </w:rPr>
              <w:t>不曾在消防器材服务合同中违约而被驱逐或因投标人自身的原因而使消防器材服务合同被解除。</w:t>
            </w:r>
          </w:p>
        </w:tc>
      </w:tr>
    </w:tbl>
    <w:p>
      <w:pPr>
        <w:spacing w:line="360" w:lineRule="exact"/>
        <w:jc w:val="left"/>
        <w:rPr>
          <w:rFonts w:ascii="宋体" w:hAnsi="宋体" w:eastAsia="宋体" w:cs="Times New Roman"/>
          <w:b/>
          <w:sz w:val="24"/>
        </w:rPr>
      </w:pPr>
    </w:p>
    <w:p>
      <w:pPr>
        <w:spacing w:line="360" w:lineRule="exact"/>
        <w:jc w:val="left"/>
        <w:rPr>
          <w:rFonts w:ascii="宋体" w:hAnsi="宋体" w:eastAsia="宋体" w:cs="Times New Roman"/>
          <w:b/>
          <w:sz w:val="24"/>
        </w:rPr>
      </w:pPr>
    </w:p>
    <w:p>
      <w:pPr>
        <w:adjustRightInd w:val="0"/>
        <w:spacing w:line="400" w:lineRule="atLeast"/>
        <w:rPr>
          <w:rFonts w:ascii="宋体" w:hAnsi="宋体" w:eastAsia="宋体" w:cs="Times New Roman"/>
          <w:sz w:val="24"/>
          <w:szCs w:val="24"/>
        </w:rPr>
      </w:pPr>
      <w:r>
        <w:rPr>
          <w:rFonts w:ascii="宋体" w:hAnsi="宋体" w:eastAsia="宋体" w:cs="Times New Roman"/>
        </w:rPr>
        <w:br w:type="page"/>
      </w:r>
      <w:bookmarkStart w:id="2" w:name="_GoBack"/>
      <w:r>
        <w:rPr>
          <w:rFonts w:hint="eastAsia" w:ascii="宋体" w:hAnsi="宋体" w:eastAsia="宋体" w:cs="Times New Roman"/>
          <w:b/>
          <w:bCs/>
          <w:sz w:val="24"/>
          <w:szCs w:val="24"/>
        </w:rPr>
        <w:t>附件2：评标办法</w:t>
      </w:r>
      <w:bookmarkEnd w:id="2"/>
    </w:p>
    <w:p>
      <w:pPr>
        <w:rPr>
          <w:rFonts w:ascii="宋体" w:hAnsi="宋体" w:eastAsia="宋体" w:cs="Times New Roman"/>
          <w:bCs/>
          <w:kern w:val="0"/>
          <w:sz w:val="30"/>
          <w:szCs w:val="30"/>
        </w:rPr>
      </w:pPr>
      <w:r>
        <w:rPr>
          <w:rFonts w:hint="eastAsia" w:ascii="宋体" w:hAnsi="宋体" w:eastAsia="宋体" w:cs="Times New Roman"/>
        </w:rPr>
        <w:t>评标办法前附表</w:t>
      </w:r>
      <w:r>
        <w:rPr>
          <w:rFonts w:hint="eastAsia" w:ascii="宋体" w:hAnsi="宋体" w:eastAsia="宋体" w:cs="Times New Roman"/>
          <w:szCs w:val="21"/>
        </w:rPr>
        <w:t xml:space="preserve"> </w:t>
      </w:r>
    </w:p>
    <w:tbl>
      <w:tblPr>
        <w:tblStyle w:val="4"/>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本次评标采用综合评估法，评标委员会对满足招标文件实质性要求的投标文件，按照本章第2.2款规定的评分标准进行打分，并按得分由高到低顺序推荐1-</w:t>
            </w:r>
            <w:r>
              <w:rPr>
                <w:rFonts w:ascii="宋体" w:hAnsi="宋体" w:eastAsia="宋体" w:cs="Times New Roman"/>
                <w:szCs w:val="21"/>
              </w:rPr>
              <w:t>3</w:t>
            </w:r>
            <w:r>
              <w:rPr>
                <w:rFonts w:hint="eastAsia" w:ascii="宋体" w:hAnsi="宋体" w:eastAsia="宋体" w:cs="Times New Roman"/>
                <w:szCs w:val="21"/>
              </w:rPr>
              <w:t>名中标候选人；综合评分相等时，评标委员会依次按照以下优先顺序推荐中标候选人：</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（1）评标价低的投标人优先；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（2）技术得分较高的投标人优先；</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（3）满足资格审查条件(业绩最低要求)的</w:t>
            </w:r>
            <w:r>
              <w:rPr>
                <w:rFonts w:hint="eastAsia" w:ascii="宋体" w:hAnsi="宋体" w:eastAsia="宋体" w:cs="宋体"/>
                <w:bCs/>
                <w:szCs w:val="21"/>
              </w:rPr>
              <w:t>业绩</w:t>
            </w:r>
            <w:r>
              <w:rPr>
                <w:rFonts w:hint="eastAsia" w:ascii="宋体" w:hAnsi="宋体" w:eastAsia="宋体" w:cs="Times New Roman"/>
                <w:szCs w:val="21"/>
              </w:rPr>
              <w:t xml:space="preserve">累计金额高的优先。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2.1.1</w:t>
            </w:r>
          </w:p>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3</w:t>
            </w:r>
            <w:r>
              <w:rPr>
                <w:rFonts w:hint="eastAsia" w:ascii="宋体" w:hAnsi="宋体" w:eastAsia="宋体" w:cs="Times New Roman"/>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第一个信封（商务及技术文件）评审标准:</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（1）投标文件按照招标文件规定的格式、内容填写，字迹清晰可辨：</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a．投标函按招标文件规定填报了项目名称、补遗书编号（如有）、服务期限、质量要求及安全目标；</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b．投标文件组成齐全完整，内容均按规定填写。</w:t>
            </w:r>
          </w:p>
          <w:p>
            <w:pPr>
              <w:widowControl/>
              <w:spacing w:line="360" w:lineRule="exact"/>
              <w:ind w:firstLine="420" w:firstLineChars="200"/>
              <w:jc w:val="left"/>
              <w:rPr>
                <w:rFonts w:ascii="宋体" w:hAnsi="宋体" w:eastAsia="宋体" w:cs="Times New Roman"/>
                <w:szCs w:val="21"/>
              </w:rPr>
            </w:pPr>
            <w:r>
              <w:rPr>
                <w:rFonts w:hint="eastAsia" w:ascii="宋体" w:hAnsi="宋体" w:eastAsia="宋体" w:cs="Times New Roman"/>
                <w:szCs w:val="21"/>
              </w:rPr>
              <w:t>（2）投标文件上法定代表人或其委托代理人的签字、投标人的单位章盖章齐全，符合招标文件规定。</w:t>
            </w:r>
          </w:p>
          <w:p>
            <w:pPr>
              <w:tabs>
                <w:tab w:val="left" w:pos="3060"/>
              </w:tabs>
              <w:spacing w:line="320" w:lineRule="exact"/>
              <w:ind w:firstLine="420" w:firstLineChars="200"/>
              <w:rPr>
                <w:rFonts w:ascii="宋体" w:hAnsi="宋体" w:eastAsia="宋体" w:cs="Times New Roman"/>
                <w:szCs w:val="21"/>
              </w:rPr>
            </w:pPr>
            <w:r>
              <w:rPr>
                <w:rFonts w:hint="eastAsia" w:ascii="宋体" w:hAnsi="宋体" w:eastAsia="宋体" w:cs="Times New Roman"/>
                <w:szCs w:val="21"/>
              </w:rPr>
              <w:t>（3）投标人按照招标文件规定的金额、形式、时效和内容提供了投标保证金，并符合投标人须知前附表3.4.1项的相关规定。</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（6）投标人未以联合体形式投标。</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（7）同一投标人未提交两个以上不同的投标文件。</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8</w:t>
            </w:r>
            <w:r>
              <w:rPr>
                <w:rFonts w:hint="eastAsia" w:ascii="宋体" w:hAnsi="宋体" w:eastAsia="宋体" w:cs="Times New Roman"/>
                <w:szCs w:val="21"/>
              </w:rPr>
              <w:t>）投标文件中未出现有关投标报价的内容。</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9</w:t>
            </w:r>
            <w:r>
              <w:rPr>
                <w:rFonts w:hint="eastAsia" w:ascii="宋体" w:hAnsi="宋体" w:eastAsia="宋体" w:cs="Times New Roman"/>
                <w:szCs w:val="21"/>
              </w:rPr>
              <w:t>）投标文件载明的招标项目完成期限未超过招标文件规定的时限。</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10</w:t>
            </w:r>
            <w:r>
              <w:rPr>
                <w:rFonts w:hint="eastAsia" w:ascii="宋体" w:hAnsi="宋体" w:eastAsia="宋体" w:cs="Times New Roman"/>
                <w:szCs w:val="21"/>
              </w:rPr>
              <w:t>）投标人未对本项目进行分包。</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1</w:t>
            </w:r>
            <w:r>
              <w:rPr>
                <w:rFonts w:hint="eastAsia" w:ascii="宋体" w:hAnsi="宋体" w:eastAsia="宋体" w:cs="Times New Roman"/>
                <w:szCs w:val="21"/>
              </w:rPr>
              <w:t>）投标文件对招标文件的实质性要求和条件作出响应。</w:t>
            </w:r>
          </w:p>
          <w:p>
            <w:pPr>
              <w:tabs>
                <w:tab w:val="left" w:pos="3060"/>
              </w:tabs>
              <w:spacing w:line="360" w:lineRule="exact"/>
              <w:ind w:firstLine="525" w:firstLineChars="25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2</w:t>
            </w:r>
            <w:r>
              <w:rPr>
                <w:rFonts w:hint="eastAsia" w:ascii="宋体" w:hAnsi="宋体" w:eastAsia="宋体" w:cs="Times New Roman"/>
                <w:szCs w:val="21"/>
              </w:rPr>
              <w:t>）权利义务符合招标文件规定：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a.投标人应接受招标文件规定的风险划分原则，未提出新的风险划分办法；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b.投标人未增加发包人的责任范围，或减少投标人义务；</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c.投标人未提出不同的支付办法；</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d.投标人对合同纠纷、事故处理办法未提出异议；</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e.投标人在投标活动中无欺诈行为；</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f.投标人未对合同条款有重要保留。</w:t>
            </w:r>
          </w:p>
          <w:p>
            <w:pPr>
              <w:tabs>
                <w:tab w:val="left" w:pos="3060"/>
              </w:tabs>
              <w:spacing w:line="320" w:lineRule="exact"/>
              <w:rPr>
                <w:rFonts w:ascii="宋体" w:hAnsi="宋体" w:eastAsia="宋体" w:cs="Times New Roman"/>
                <w:b/>
                <w:szCs w:val="21"/>
              </w:rPr>
            </w:pPr>
            <w:r>
              <w:rPr>
                <w:rFonts w:hint="eastAsia" w:ascii="宋体" w:hAnsi="宋体" w:eastAsia="宋体" w:cs="Times New Roman"/>
                <w:b/>
                <w:szCs w:val="21"/>
              </w:rPr>
              <w:t>第二个信封（报价文件）评审标准：</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（1）投标文件按照招标文件规定的格式、内容填写，字迹清晰可辨：</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a.投标函按招标文件规定填报了项目名称、补遗书编号（如有）、投标价（包括大写金额和小写金额）；</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b．已</w:t>
            </w:r>
            <w:r>
              <w:rPr>
                <w:rFonts w:hint="eastAsia" w:ascii="宋体" w:hAnsi="宋体" w:eastAsia="宋体" w:cs="Times New Roman"/>
                <w:szCs w:val="21"/>
              </w:rPr>
              <w:t>标价</w:t>
            </w:r>
            <w:r>
              <w:rPr>
                <w:rFonts w:hint="eastAsia" w:ascii="宋体" w:hAnsi="宋体" w:eastAsia="宋体" w:cs="Times New Roman"/>
                <w:bCs/>
                <w:szCs w:val="21"/>
              </w:rPr>
              <w:t>清单说明文字与招标文件规定一致，未进行修改和删减；</w:t>
            </w:r>
          </w:p>
          <w:p>
            <w:pPr>
              <w:tabs>
                <w:tab w:val="left" w:pos="3060"/>
              </w:tabs>
              <w:spacing w:line="360" w:lineRule="exact"/>
              <w:ind w:firstLine="420" w:firstLineChars="200"/>
              <w:rPr>
                <w:rFonts w:ascii="宋体" w:hAnsi="宋体" w:eastAsia="宋体" w:cs="Times New Roman"/>
                <w:bCs/>
                <w:szCs w:val="21"/>
              </w:rPr>
            </w:pPr>
            <w:r>
              <w:rPr>
                <w:rFonts w:hint="eastAsia" w:ascii="宋体" w:hAnsi="宋体" w:eastAsia="宋体" w:cs="Times New Roman"/>
                <w:bCs/>
                <w:szCs w:val="21"/>
              </w:rPr>
              <w:t>c．投标文件组成齐全完整，内容均按规定填写。</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bCs/>
                <w:szCs w:val="21"/>
              </w:rPr>
              <w:t>（2）投标</w:t>
            </w:r>
            <w:r>
              <w:rPr>
                <w:rFonts w:hint="eastAsia" w:ascii="宋体" w:hAnsi="宋体" w:eastAsia="宋体" w:cs="Times New Roman"/>
                <w:szCs w:val="21"/>
              </w:rPr>
              <w:t>文件</w:t>
            </w:r>
            <w:r>
              <w:rPr>
                <w:rFonts w:hint="eastAsia" w:ascii="宋体" w:hAnsi="宋体" w:eastAsia="宋体" w:cs="Times New Roman"/>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（3）投标报价中的报价未超过招标文件设定的最高投标限价。</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（4）投标报价中报价的大写金额能够确定具体数值。</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（5）同一投标人未提交两个以上不同的投标报价。</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（6）</w:t>
            </w:r>
            <w:r>
              <w:rPr>
                <w:rFonts w:hint="eastAsia" w:ascii="宋体" w:hAnsi="宋体" w:eastAsia="宋体" w:cs="Times New Roman"/>
                <w:bCs/>
                <w:szCs w:val="21"/>
              </w:rPr>
              <w:t>已</w:t>
            </w:r>
            <w:r>
              <w:rPr>
                <w:rFonts w:hint="eastAsia" w:ascii="宋体" w:hAnsi="宋体" w:eastAsia="宋体" w:cs="Times New Roman"/>
                <w:szCs w:val="21"/>
              </w:rPr>
              <w:t>标价清单中的投标报价和投标函大写金额报价一致。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（1）投标人具备有效的营业执照、组织机构代码证（三证合一或五证合一的除外）和基本账户开户许可证或基本存款账户信息。</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（2）投标人的资质等级符合招标文件规定。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（3）投标人的业绩符合招标文件规定。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4</w:t>
            </w:r>
            <w:r>
              <w:rPr>
                <w:rFonts w:hint="eastAsia" w:ascii="宋体" w:hAnsi="宋体" w:eastAsia="宋体" w:cs="Times New Roman"/>
                <w:szCs w:val="21"/>
              </w:rPr>
              <w:t>）投标人的信誉符合招标文件规定。</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5</w:t>
            </w:r>
            <w:r>
              <w:rPr>
                <w:rFonts w:hint="eastAsia" w:ascii="宋体" w:hAnsi="宋体" w:eastAsia="宋体" w:cs="Times New Roman"/>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业 </w:t>
            </w:r>
            <w:r>
              <w:rPr>
                <w:rFonts w:ascii="宋体" w:hAnsi="宋体" w:eastAsia="宋体" w:cs="Times New Roman"/>
                <w:szCs w:val="21"/>
              </w:rPr>
              <w:t xml:space="preserve">   </w:t>
            </w:r>
            <w:r>
              <w:rPr>
                <w:rFonts w:hint="eastAsia" w:ascii="宋体" w:hAnsi="宋体" w:eastAsia="宋体" w:cs="Times New Roman"/>
                <w:szCs w:val="21"/>
              </w:rPr>
              <w:t xml:space="preserve">绩：       </w:t>
            </w:r>
            <w:r>
              <w:rPr>
                <w:rFonts w:ascii="宋体" w:hAnsi="宋体" w:eastAsia="宋体" w:cs="Times New Roman"/>
                <w:szCs w:val="21"/>
              </w:rPr>
              <w:t>20</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 xml:space="preserve">服务方案：       </w:t>
            </w:r>
            <w:r>
              <w:rPr>
                <w:rFonts w:ascii="宋体" w:hAnsi="宋体" w:eastAsia="宋体" w:cs="Times New Roman"/>
                <w:szCs w:val="21"/>
              </w:rPr>
              <w:t>70</w:t>
            </w:r>
            <w:r>
              <w:rPr>
                <w:rFonts w:hint="eastAsia" w:ascii="宋体" w:hAnsi="宋体" w:eastAsia="宋体" w:cs="Times New Roman"/>
                <w:szCs w:val="21"/>
              </w:rPr>
              <w:t>分</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 标 价：       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eastAsia="宋体" w:cs="Times New Roman"/>
                <w:szCs w:val="21"/>
              </w:rPr>
            </w:pPr>
            <w:r>
              <w:rPr>
                <w:rFonts w:hint="eastAsia" w:ascii="宋体" w:hAnsi="宋体" w:eastAsia="宋体" w:cs="Times New Roman"/>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cs="Times New Roman"/>
                <w:szCs w:val="21"/>
              </w:rPr>
            </w:pPr>
            <w:r>
              <w:rPr>
                <w:rFonts w:hint="eastAsia" w:ascii="宋体" w:hAnsi="宋体" w:eastAsia="宋体" w:cs="Times New Roman"/>
                <w:szCs w:val="21"/>
              </w:rPr>
              <w:t xml:space="preserve">评标基准价的计算： </w:t>
            </w:r>
          </w:p>
          <w:p>
            <w:pPr>
              <w:tabs>
                <w:tab w:val="left" w:pos="3060"/>
              </w:tabs>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(1)评标价的确定：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评标价=投标函文字报价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(2)评标价平均值的计算：</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(3)评标基准价的确定：</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评标价平均值直接作为评标基准价。</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评标基准价保留小数点后两位，小数点后第三位四舍五入。</w:t>
            </w:r>
          </w:p>
          <w:p>
            <w:pPr>
              <w:spacing w:line="360" w:lineRule="exact"/>
              <w:ind w:firstLine="420" w:firstLineChars="200"/>
              <w:rPr>
                <w:rFonts w:ascii="宋体" w:hAnsi="宋体" w:eastAsia="宋体" w:cs="Times New Roman"/>
                <w:szCs w:val="21"/>
              </w:rPr>
            </w:pPr>
            <w:r>
              <w:rPr>
                <w:rFonts w:hint="eastAsia" w:ascii="宋体" w:hAnsi="宋体" w:eastAsia="宋体" w:cs="Times New Roman"/>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eastAsia="宋体" w:cs="Times New Roman"/>
              </w:rPr>
            </w:pPr>
            <w:r>
              <w:rPr>
                <w:rFonts w:hint="eastAsia" w:ascii="宋体" w:hAnsi="宋体" w:eastAsia="宋体" w:cs="Times New Roman"/>
              </w:rPr>
              <w:t>在评标过程中，评标委员会应对以下信息进行查询：</w:t>
            </w:r>
          </w:p>
          <w:p>
            <w:pPr>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评标委员会评标时在“信用中国网站（http://www.creditchina.gov.cn/)”进行查询，若投标人存在被列入“失信被执行人名单、异常经营名录（或经营异常名录信息查询）、税收违法黑名单（或重大税收违法失信主体）、政府采购严重违法失信行为记录名单”情形的（均不含分公司），评标委员会应否决其投标。</w:t>
            </w:r>
          </w:p>
          <w:p>
            <w:pPr>
              <w:spacing w:line="360" w:lineRule="exact"/>
              <w:ind w:firstLine="420" w:firstLineChars="200"/>
              <w:rPr>
                <w:rFonts w:ascii="Times New Roman" w:hAnsi="Times New Roman" w:eastAsia="宋体" w:cs="Times New Roman"/>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szCs w:val="21"/>
              </w:rPr>
            </w:pPr>
            <w:r>
              <w:rPr>
                <w:rFonts w:hint="eastAsia" w:ascii="宋体" w:hAnsi="宋体" w:eastAsia="宋体" w:cs="Times New Roman"/>
                <w:szCs w:val="21"/>
              </w:rPr>
              <w:t>需要补充的其他内容：无</w:t>
            </w:r>
          </w:p>
        </w:tc>
      </w:tr>
    </w:tbl>
    <w:p>
      <w:pPr>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具体评分标准如下：</w:t>
      </w:r>
    </w:p>
    <w:tbl>
      <w:tblPr>
        <w:tblStyle w:val="4"/>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154" w:type="dxa"/>
            <w:gridSpan w:val="2"/>
            <w:vAlign w:val="center"/>
          </w:tcPr>
          <w:p>
            <w:pPr>
              <w:jc w:val="center"/>
              <w:rPr>
                <w:rFonts w:ascii="宋体" w:hAnsi="宋体" w:eastAsia="宋体" w:cs="Times New Roman"/>
                <w:szCs w:val="21"/>
              </w:rPr>
            </w:pPr>
            <w:r>
              <w:rPr>
                <w:rFonts w:hint="eastAsia" w:ascii="宋体" w:hAnsi="宋体" w:eastAsia="宋体" w:cs="Times New Roman"/>
                <w:szCs w:val="21"/>
              </w:rPr>
              <w:t>评审项目</w:t>
            </w:r>
          </w:p>
        </w:tc>
        <w:tc>
          <w:tcPr>
            <w:tcW w:w="843" w:type="dxa"/>
            <w:vAlign w:val="center"/>
          </w:tcPr>
          <w:p>
            <w:pPr>
              <w:jc w:val="center"/>
              <w:rPr>
                <w:rFonts w:ascii="宋体" w:hAnsi="宋体" w:eastAsia="宋体" w:cs="Times New Roman"/>
                <w:szCs w:val="21"/>
              </w:rPr>
            </w:pPr>
            <w:r>
              <w:rPr>
                <w:rFonts w:hint="eastAsia" w:ascii="宋体" w:hAnsi="宋体" w:eastAsia="宋体" w:cs="Times New Roman"/>
                <w:szCs w:val="21"/>
              </w:rPr>
              <w:t>标准分</w:t>
            </w:r>
          </w:p>
        </w:tc>
        <w:tc>
          <w:tcPr>
            <w:tcW w:w="5978" w:type="dxa"/>
            <w:vAlign w:val="center"/>
          </w:tcPr>
          <w:p>
            <w:pPr>
              <w:jc w:val="center"/>
              <w:rPr>
                <w:rFonts w:ascii="宋体" w:hAnsi="宋体" w:eastAsia="宋体" w:cs="Times New Roman"/>
                <w:szCs w:val="21"/>
              </w:rPr>
            </w:pPr>
            <w:r>
              <w:rPr>
                <w:rFonts w:hint="eastAsia" w:ascii="宋体" w:hAnsi="宋体" w:eastAsia="宋体" w:cs="Times New Roman"/>
                <w:szCs w:val="21"/>
              </w:rPr>
              <w:t>评</w:t>
            </w:r>
            <w:r>
              <w:rPr>
                <w:rFonts w:ascii="宋体" w:hAnsi="宋体" w:eastAsia="宋体" w:cs="Times New Roman"/>
                <w:szCs w:val="21"/>
              </w:rPr>
              <w:t xml:space="preserve">     </w:t>
            </w:r>
            <w:r>
              <w:rPr>
                <w:rFonts w:hint="eastAsia" w:ascii="宋体" w:hAnsi="宋体" w:eastAsia="宋体" w:cs="Times New Roman"/>
                <w:szCs w:val="21"/>
              </w:rPr>
              <w:t>分</w:t>
            </w:r>
            <w:r>
              <w:rPr>
                <w:rFonts w:ascii="宋体" w:hAnsi="宋体" w:eastAsia="宋体" w:cs="Times New Roman"/>
                <w:szCs w:val="21"/>
              </w:rPr>
              <w:t xml:space="preserve">     </w:t>
            </w:r>
            <w:r>
              <w:rPr>
                <w:rFonts w:hint="eastAsia" w:ascii="宋体" w:hAnsi="宋体" w:eastAsia="宋体" w:cs="Times New Roman"/>
                <w:szCs w:val="21"/>
              </w:rPr>
              <w:t>标</w:t>
            </w:r>
            <w:r>
              <w:rPr>
                <w:rFonts w:ascii="宋体" w:hAnsi="宋体" w:eastAsia="宋体" w:cs="Times New Roman"/>
                <w:szCs w:val="21"/>
              </w:rPr>
              <w:t xml:space="preserve">     </w:t>
            </w:r>
            <w:r>
              <w:rPr>
                <w:rFonts w:hint="eastAsia" w:ascii="宋体" w:hAnsi="宋体" w:eastAsia="宋体" w:cs="Times New Roman"/>
                <w:szCs w:val="21"/>
              </w:rPr>
              <w:t>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（1）</w:t>
            </w:r>
          </w:p>
        </w:tc>
        <w:tc>
          <w:tcPr>
            <w:tcW w:w="2154" w:type="dxa"/>
            <w:gridSpan w:val="2"/>
            <w:vAlign w:val="center"/>
          </w:tcPr>
          <w:p>
            <w:pPr>
              <w:snapToGrid w:val="0"/>
              <w:jc w:val="center"/>
              <w:rPr>
                <w:rFonts w:ascii="宋体" w:hAnsi="宋体" w:eastAsia="宋体" w:cs="宋体"/>
                <w:bCs/>
                <w:szCs w:val="21"/>
              </w:rPr>
            </w:pPr>
            <w:r>
              <w:rPr>
                <w:rFonts w:hint="eastAsia" w:ascii="宋体" w:hAnsi="宋体" w:eastAsia="宋体" w:cs="宋体"/>
                <w:bCs/>
                <w:szCs w:val="21"/>
              </w:rPr>
              <w:t>业绩</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分</w:t>
            </w:r>
          </w:p>
        </w:tc>
        <w:tc>
          <w:tcPr>
            <w:tcW w:w="5978" w:type="dxa"/>
            <w:vAlign w:val="center"/>
          </w:tcPr>
          <w:p>
            <w:pPr>
              <w:snapToGrid w:val="0"/>
              <w:rPr>
                <w:rFonts w:ascii="宋体" w:hAnsi="宋体" w:eastAsia="宋体" w:cs="Times New Roman"/>
                <w:szCs w:val="21"/>
              </w:rPr>
            </w:pPr>
            <w:r>
              <w:rPr>
                <w:rFonts w:hint="eastAsia" w:ascii="宋体" w:hAnsi="宋体" w:eastAsia="宋体" w:cs="Times New Roman"/>
                <w:szCs w:val="21"/>
              </w:rPr>
              <w:t>满足资格审查条件(业绩最低要求)得</w:t>
            </w:r>
            <w:r>
              <w:rPr>
                <w:rFonts w:ascii="宋体" w:hAnsi="宋体" w:eastAsia="宋体" w:cs="Times New Roman"/>
                <w:szCs w:val="21"/>
              </w:rPr>
              <w:t>12</w:t>
            </w:r>
            <w:r>
              <w:rPr>
                <w:rFonts w:hint="eastAsia" w:ascii="宋体" w:hAnsi="宋体" w:eastAsia="宋体" w:cs="Times New Roman"/>
                <w:szCs w:val="21"/>
              </w:rPr>
              <w:t>分；</w:t>
            </w:r>
          </w:p>
          <w:p>
            <w:pPr>
              <w:snapToGrid w:val="0"/>
              <w:rPr>
                <w:rFonts w:ascii="宋体" w:hAnsi="宋体" w:eastAsia="宋体" w:cs="宋体"/>
                <w:bCs/>
                <w:szCs w:val="21"/>
              </w:rPr>
            </w:pPr>
            <w:r>
              <w:rPr>
                <w:rFonts w:hint="eastAsia" w:ascii="宋体" w:hAnsi="宋体" w:eastAsia="宋体" w:cs="Times New Roman"/>
                <w:szCs w:val="21"/>
              </w:rPr>
              <w:t>每增加一项满足资格审查条件(业绩最低要求)的</w:t>
            </w:r>
            <w:r>
              <w:rPr>
                <w:rFonts w:hint="eastAsia" w:ascii="宋体" w:hAnsi="宋体" w:eastAsia="宋体" w:cs="宋体"/>
                <w:bCs/>
                <w:szCs w:val="21"/>
              </w:rPr>
              <w:t>业绩加</w:t>
            </w:r>
            <w:r>
              <w:rPr>
                <w:rFonts w:ascii="宋体" w:hAnsi="宋体" w:eastAsia="宋体" w:cs="宋体"/>
                <w:bCs/>
                <w:szCs w:val="21"/>
              </w:rPr>
              <w:t>4</w:t>
            </w:r>
            <w:r>
              <w:rPr>
                <w:rFonts w:hint="eastAsia" w:ascii="宋体" w:hAnsi="宋体" w:eastAsia="宋体" w:cs="宋体"/>
                <w:bCs/>
                <w:szCs w:val="21"/>
              </w:rPr>
              <w:t>分，最高加</w:t>
            </w:r>
            <w:r>
              <w:rPr>
                <w:rFonts w:ascii="宋体" w:hAnsi="宋体" w:eastAsia="宋体" w:cs="宋体"/>
                <w:bCs/>
                <w:szCs w:val="21"/>
              </w:rPr>
              <w:t>8</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606" w:hRule="exact"/>
          <w:jc w:val="center"/>
        </w:trPr>
        <w:tc>
          <w:tcPr>
            <w:tcW w:w="735" w:type="dxa"/>
            <w:vMerge w:val="restart"/>
            <w:tcBorders>
              <w:right w:val="single" w:color="auto" w:sz="2" w:space="0"/>
            </w:tcBorders>
            <w:vAlign w:val="center"/>
          </w:tcPr>
          <w:p>
            <w:pPr>
              <w:snapToGrid w:val="0"/>
              <w:jc w:val="center"/>
              <w:rPr>
                <w:rFonts w:ascii="宋体" w:hAnsi="宋体" w:eastAsia="宋体" w:cs="宋体"/>
                <w:bCs/>
                <w:w w:val="90"/>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2</w:t>
            </w:r>
            <w:r>
              <w:rPr>
                <w:rFonts w:hint="eastAsia" w:ascii="宋体" w:hAnsi="宋体" w:eastAsia="宋体" w:cs="宋体"/>
                <w:bCs/>
                <w:w w:val="90"/>
                <w:szCs w:val="21"/>
              </w:rPr>
              <w:t>）</w:t>
            </w:r>
          </w:p>
        </w:tc>
        <w:tc>
          <w:tcPr>
            <w:tcW w:w="1030" w:type="dxa"/>
            <w:vMerge w:val="restart"/>
            <w:tcBorders>
              <w:left w:val="single" w:color="auto" w:sz="2" w:space="0"/>
              <w:right w:val="single" w:color="auto" w:sz="2" w:space="0"/>
            </w:tcBorders>
            <w:vAlign w:val="center"/>
          </w:tcPr>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服务方案</w:t>
            </w:r>
          </w:p>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w:t>
            </w:r>
            <w:r>
              <w:rPr>
                <w:rFonts w:ascii="宋体" w:hAnsi="宋体" w:eastAsia="宋体" w:cs="宋体"/>
                <w:bCs/>
                <w:szCs w:val="21"/>
              </w:rPr>
              <w:t>70</w:t>
            </w:r>
            <w:r>
              <w:rPr>
                <w:rFonts w:hint="eastAsia" w:ascii="宋体" w:hAnsi="宋体" w:eastAsia="宋体" w:cs="宋体"/>
                <w:bCs/>
                <w:szCs w:val="21"/>
              </w:rPr>
              <w:t>分）</w:t>
            </w:r>
          </w:p>
        </w:tc>
        <w:tc>
          <w:tcPr>
            <w:tcW w:w="1124" w:type="dxa"/>
            <w:tcBorders>
              <w:left w:val="single" w:color="auto" w:sz="2" w:space="0"/>
            </w:tcBorders>
            <w:vAlign w:val="center"/>
          </w:tcPr>
          <w:p>
            <w:pPr>
              <w:snapToGrid w:val="0"/>
              <w:spacing w:before="156" w:beforeLines="50" w:after="156" w:afterLines="50"/>
              <w:jc w:val="center"/>
              <w:rPr>
                <w:rFonts w:ascii="宋体" w:hAnsi="宋体" w:eastAsia="宋体" w:cs="宋体"/>
                <w:bCs/>
                <w:szCs w:val="21"/>
              </w:rPr>
            </w:pPr>
            <w:r>
              <w:rPr>
                <w:rFonts w:hint="eastAsia" w:ascii="宋体" w:hAnsi="宋体" w:eastAsia="宋体" w:cs="宋体"/>
                <w:bCs/>
                <w:szCs w:val="21"/>
              </w:rPr>
              <w:t>项目的供货及年检方案、方法与技术措施</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20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第一档，实施计划科学合理，总体方案完整、内容齐全，有针对性，得</w:t>
            </w:r>
            <w:r>
              <w:rPr>
                <w:rFonts w:ascii="宋体" w:hAnsi="宋体" w:eastAsia="宋体" w:cs="宋体"/>
                <w:bCs/>
                <w:szCs w:val="21"/>
              </w:rPr>
              <w:t>16</w:t>
            </w:r>
            <w:r>
              <w:rPr>
                <w:rFonts w:hint="eastAsia" w:ascii="宋体" w:hAnsi="宋体" w:eastAsia="宋体" w:cs="宋体"/>
                <w:bCs/>
                <w:szCs w:val="21"/>
              </w:rPr>
              <w:t>-</w:t>
            </w:r>
            <w:r>
              <w:rPr>
                <w:rFonts w:ascii="宋体" w:hAnsi="宋体" w:eastAsia="宋体" w:cs="宋体"/>
                <w:bCs/>
                <w:szCs w:val="21"/>
              </w:rPr>
              <w:t>20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第二档，实施计划较科学合理，总体方案较完整，得</w:t>
            </w:r>
            <w:r>
              <w:rPr>
                <w:rFonts w:ascii="宋体" w:hAnsi="宋体" w:eastAsia="宋体" w:cs="宋体"/>
                <w:bCs/>
                <w:szCs w:val="21"/>
              </w:rPr>
              <w:t>12</w:t>
            </w:r>
            <w:r>
              <w:rPr>
                <w:rFonts w:hint="eastAsia" w:ascii="宋体" w:hAnsi="宋体" w:eastAsia="宋体" w:cs="宋体"/>
                <w:bCs/>
                <w:szCs w:val="21"/>
              </w:rPr>
              <w:t>-</w:t>
            </w:r>
            <w:r>
              <w:rPr>
                <w:rFonts w:ascii="宋体" w:hAnsi="宋体" w:eastAsia="宋体" w:cs="宋体"/>
                <w:bCs/>
                <w:szCs w:val="21"/>
              </w:rPr>
              <w:t>16</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第三档，实施计划基本合理，总体方案过于简单，得</w:t>
            </w:r>
            <w:r>
              <w:rPr>
                <w:rFonts w:ascii="宋体" w:hAnsi="宋体" w:eastAsia="宋体" w:cs="宋体"/>
                <w:bCs/>
                <w:szCs w:val="21"/>
              </w:rPr>
              <w:t>12</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项目保证体系及保证措施</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15</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第一档，实施计划科学合理，总体方案完整、内容齐全，有针对性，得</w:t>
            </w:r>
            <w:r>
              <w:rPr>
                <w:rFonts w:ascii="宋体" w:hAnsi="宋体" w:eastAsia="宋体" w:cs="宋体"/>
                <w:bCs/>
                <w:szCs w:val="21"/>
              </w:rPr>
              <w:t>12</w:t>
            </w:r>
            <w:r>
              <w:rPr>
                <w:rFonts w:hint="eastAsia" w:ascii="宋体" w:hAnsi="宋体" w:eastAsia="宋体" w:cs="宋体"/>
                <w:bCs/>
                <w:szCs w:val="21"/>
              </w:rPr>
              <w:t>-</w:t>
            </w:r>
            <w:r>
              <w:rPr>
                <w:rFonts w:ascii="宋体" w:hAnsi="宋体" w:eastAsia="宋体" w:cs="宋体"/>
                <w:bCs/>
                <w:szCs w:val="21"/>
              </w:rPr>
              <w:t>15</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第二档，实施计划较科学合理，总体方案较完整，得</w:t>
            </w:r>
            <w:r>
              <w:rPr>
                <w:rFonts w:ascii="宋体" w:hAnsi="宋体" w:eastAsia="宋体" w:cs="宋体"/>
                <w:bCs/>
                <w:szCs w:val="21"/>
              </w:rPr>
              <w:t>9</w:t>
            </w:r>
            <w:r>
              <w:rPr>
                <w:rFonts w:hint="eastAsia" w:ascii="宋体" w:hAnsi="宋体" w:eastAsia="宋体" w:cs="宋体"/>
                <w:bCs/>
                <w:szCs w:val="21"/>
              </w:rPr>
              <w:t>-</w:t>
            </w:r>
            <w:r>
              <w:rPr>
                <w:rFonts w:ascii="宋体" w:hAnsi="宋体" w:eastAsia="宋体" w:cs="宋体"/>
                <w:bCs/>
                <w:szCs w:val="21"/>
              </w:rPr>
              <w:t>12</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第三档，实施计划基本合理，总体方案过于简单，得</w:t>
            </w:r>
            <w:r>
              <w:rPr>
                <w:rFonts w:ascii="宋体" w:hAnsi="宋体" w:eastAsia="宋体" w:cs="宋体"/>
                <w:bCs/>
                <w:szCs w:val="21"/>
              </w:rPr>
              <w:t>9</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项目质量管理体系及保证措施</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15</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第一档，科学合理，内容详细，得</w:t>
            </w:r>
            <w:r>
              <w:rPr>
                <w:rFonts w:ascii="宋体" w:hAnsi="宋体" w:eastAsia="宋体" w:cs="宋体"/>
                <w:bCs/>
                <w:szCs w:val="21"/>
              </w:rPr>
              <w:t>12-15</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第二档，较科学合理，内容较详细，得</w:t>
            </w:r>
            <w:r>
              <w:rPr>
                <w:rFonts w:ascii="宋体" w:hAnsi="宋体" w:eastAsia="宋体" w:cs="宋体"/>
                <w:bCs/>
                <w:szCs w:val="21"/>
              </w:rPr>
              <w:t>9-12</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第三档，基本合理，内容过于简单，得</w:t>
            </w:r>
            <w:r>
              <w:rPr>
                <w:rFonts w:ascii="宋体" w:hAnsi="宋体" w:eastAsia="宋体" w:cs="宋体"/>
                <w:bCs/>
                <w:szCs w:val="21"/>
              </w:rPr>
              <w:t>9</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应急保证能力服务方案</w:t>
            </w:r>
          </w:p>
        </w:tc>
        <w:tc>
          <w:tcPr>
            <w:tcW w:w="843" w:type="dxa"/>
            <w:vAlign w:val="center"/>
          </w:tcPr>
          <w:p>
            <w:pPr>
              <w:snapToGrid w:val="0"/>
              <w:jc w:val="center"/>
              <w:rPr>
                <w:rFonts w:ascii="宋体" w:hAnsi="宋体" w:eastAsia="宋体" w:cs="宋体"/>
                <w:bCs/>
                <w:szCs w:val="21"/>
              </w:rPr>
            </w:pPr>
            <w:r>
              <w:rPr>
                <w:rFonts w:hint="eastAsia" w:ascii="宋体" w:hAnsi="宋体" w:eastAsia="宋体" w:cs="宋体"/>
                <w:bCs/>
                <w:szCs w:val="21"/>
              </w:rPr>
              <w:t>10分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第一档，科学合理、完善可行、有针对性，得</w:t>
            </w:r>
            <w:r>
              <w:rPr>
                <w:rFonts w:ascii="宋体" w:hAnsi="宋体" w:eastAsia="宋体" w:cs="宋体"/>
                <w:bCs/>
                <w:szCs w:val="21"/>
              </w:rPr>
              <w:t>8-10</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第二档，较科学、较完善可行、较有针对性，得</w:t>
            </w:r>
            <w:r>
              <w:rPr>
                <w:rFonts w:ascii="宋体" w:hAnsi="宋体" w:eastAsia="宋体" w:cs="宋体"/>
                <w:bCs/>
                <w:szCs w:val="21"/>
              </w:rPr>
              <w:t>6-8</w:t>
            </w:r>
            <w:r>
              <w:rPr>
                <w:rFonts w:hint="eastAsia" w:ascii="宋体" w:hAnsi="宋体" w:eastAsia="宋体" w:cs="宋体"/>
                <w:bCs/>
                <w:szCs w:val="21"/>
              </w:rPr>
              <w:t>分；</w:t>
            </w:r>
          </w:p>
          <w:p>
            <w:pPr>
              <w:snapToGrid w:val="0"/>
              <w:rPr>
                <w:rFonts w:ascii="宋体" w:hAnsi="宋体" w:eastAsia="宋体" w:cs="宋体"/>
                <w:bCs/>
                <w:szCs w:val="21"/>
              </w:rPr>
            </w:pPr>
            <w:r>
              <w:rPr>
                <w:rFonts w:hint="eastAsia" w:ascii="宋体" w:hAnsi="宋体" w:eastAsia="宋体" w:cs="宋体"/>
                <w:bCs/>
                <w:szCs w:val="21"/>
              </w:rPr>
              <w:t>第三档，保证措施一般，得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158" w:hRule="exact"/>
          <w:jc w:val="center"/>
        </w:trPr>
        <w:tc>
          <w:tcPr>
            <w:tcW w:w="735" w:type="dxa"/>
            <w:vMerge w:val="continue"/>
            <w:tcBorders>
              <w:right w:val="single" w:color="auto" w:sz="2" w:space="0"/>
            </w:tcBorders>
            <w:vAlign w:val="center"/>
          </w:tcPr>
          <w:p>
            <w:pPr>
              <w:snapToGrid w:val="0"/>
              <w:jc w:val="center"/>
              <w:rPr>
                <w:rFonts w:ascii="宋体" w:hAnsi="宋体" w:eastAsia="宋体" w:cs="宋体"/>
                <w:bCs/>
                <w:w w:val="90"/>
                <w:szCs w:val="21"/>
              </w:rPr>
            </w:pPr>
          </w:p>
        </w:tc>
        <w:tc>
          <w:tcPr>
            <w:tcW w:w="1030" w:type="dxa"/>
            <w:vMerge w:val="continue"/>
            <w:tcBorders>
              <w:left w:val="single" w:color="auto" w:sz="2" w:space="0"/>
              <w:right w:val="single" w:color="auto" w:sz="2" w:space="0"/>
            </w:tcBorders>
            <w:vAlign w:val="center"/>
          </w:tcPr>
          <w:p>
            <w:pPr>
              <w:snapToGrid w:val="0"/>
              <w:jc w:val="center"/>
              <w:rPr>
                <w:rFonts w:ascii="宋体" w:hAnsi="宋体" w:eastAsia="宋体" w:cs="宋体"/>
                <w:bCs/>
                <w:szCs w:val="21"/>
              </w:rPr>
            </w:pPr>
          </w:p>
        </w:tc>
        <w:tc>
          <w:tcPr>
            <w:tcW w:w="1124" w:type="dxa"/>
            <w:tcBorders>
              <w:left w:val="single" w:color="auto" w:sz="2" w:space="0"/>
            </w:tcBorders>
            <w:vAlign w:val="center"/>
          </w:tcPr>
          <w:p>
            <w:pPr>
              <w:snapToGrid w:val="0"/>
              <w:jc w:val="center"/>
              <w:rPr>
                <w:rFonts w:ascii="宋体" w:hAnsi="宋体" w:eastAsia="宋体" w:cs="宋体"/>
                <w:bCs/>
                <w:szCs w:val="21"/>
              </w:rPr>
            </w:pPr>
            <w:r>
              <w:rPr>
                <w:rFonts w:hint="eastAsia" w:ascii="宋体" w:hAnsi="宋体" w:eastAsia="宋体" w:cs="宋体"/>
                <w:bCs/>
                <w:szCs w:val="21"/>
              </w:rPr>
              <w:t>服务承诺</w:t>
            </w:r>
          </w:p>
        </w:tc>
        <w:tc>
          <w:tcPr>
            <w:tcW w:w="843" w:type="dxa"/>
            <w:vAlign w:val="center"/>
          </w:tcPr>
          <w:p>
            <w:pPr>
              <w:snapToGrid w:val="0"/>
              <w:jc w:val="center"/>
              <w:rPr>
                <w:rFonts w:ascii="宋体" w:hAnsi="宋体" w:eastAsia="宋体" w:cs="宋体"/>
                <w:bCs/>
                <w:szCs w:val="21"/>
              </w:rPr>
            </w:pPr>
            <w:r>
              <w:rPr>
                <w:rFonts w:ascii="宋体" w:hAnsi="宋体" w:eastAsia="宋体" w:cs="宋体"/>
                <w:bCs/>
                <w:szCs w:val="21"/>
              </w:rPr>
              <w:t>10</w:t>
            </w:r>
            <w:r>
              <w:rPr>
                <w:rFonts w:hint="eastAsia" w:ascii="宋体" w:hAnsi="宋体" w:eastAsia="宋体" w:cs="宋体"/>
                <w:bCs/>
                <w:szCs w:val="21"/>
              </w:rPr>
              <w:t>分</w:t>
            </w:r>
          </w:p>
        </w:tc>
        <w:tc>
          <w:tcPr>
            <w:tcW w:w="5978" w:type="dxa"/>
            <w:vAlign w:val="center"/>
          </w:tcPr>
          <w:p>
            <w:pPr>
              <w:snapToGrid w:val="0"/>
              <w:rPr>
                <w:rFonts w:ascii="宋体" w:hAnsi="宋体" w:eastAsia="宋体" w:cs="宋体"/>
                <w:bCs/>
                <w:szCs w:val="21"/>
              </w:rPr>
            </w:pPr>
            <w:r>
              <w:rPr>
                <w:rFonts w:hint="eastAsia" w:ascii="宋体" w:hAnsi="宋体" w:eastAsia="宋体" w:cs="宋体"/>
                <w:bCs/>
                <w:szCs w:val="21"/>
              </w:rPr>
              <w:t>第一档，服务承诺系统全面、科学合理，得8-10分；</w:t>
            </w:r>
          </w:p>
          <w:p>
            <w:pPr>
              <w:snapToGrid w:val="0"/>
              <w:rPr>
                <w:rFonts w:ascii="宋体" w:hAnsi="宋体" w:eastAsia="宋体" w:cs="宋体"/>
                <w:bCs/>
                <w:szCs w:val="21"/>
              </w:rPr>
            </w:pPr>
            <w:r>
              <w:rPr>
                <w:rFonts w:hint="eastAsia" w:ascii="宋体" w:hAnsi="宋体" w:eastAsia="宋体" w:cs="宋体"/>
                <w:bCs/>
                <w:szCs w:val="21"/>
              </w:rPr>
              <w:t>第二档，服务承诺较完整、较科学，得6-8分；</w:t>
            </w:r>
          </w:p>
          <w:p>
            <w:pPr>
              <w:snapToGrid w:val="0"/>
              <w:rPr>
                <w:rFonts w:ascii="宋体" w:hAnsi="宋体" w:eastAsia="宋体" w:cs="宋体"/>
                <w:bCs/>
                <w:szCs w:val="21"/>
              </w:rPr>
            </w:pPr>
            <w:r>
              <w:rPr>
                <w:rFonts w:hint="eastAsia" w:ascii="宋体" w:hAnsi="宋体" w:eastAsia="宋体" w:cs="宋体"/>
                <w:bCs/>
                <w:szCs w:val="21"/>
              </w:rPr>
              <w:t>第三档，服务承诺基本合理，得</w:t>
            </w:r>
            <w:r>
              <w:rPr>
                <w:rFonts w:ascii="宋体" w:hAnsi="宋体" w:eastAsia="宋体" w:cs="宋体"/>
                <w:bCs/>
                <w:szCs w:val="21"/>
              </w:rPr>
              <w:t>6</w:t>
            </w:r>
            <w:r>
              <w:rPr>
                <w:rFonts w:hint="eastAsia" w:ascii="宋体" w:hAnsi="宋体" w:eastAsia="宋体" w:cs="宋体"/>
                <w:bCs/>
                <w:szCs w:val="21"/>
              </w:rPr>
              <w:t>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pPr>
              <w:jc w:val="center"/>
              <w:rPr>
                <w:rFonts w:ascii="宋体" w:hAnsi="宋体" w:eastAsia="宋体" w:cs="宋体"/>
                <w:bCs/>
                <w:szCs w:val="21"/>
              </w:rPr>
            </w:pPr>
            <w:r>
              <w:rPr>
                <w:rFonts w:ascii="宋体" w:hAnsi="宋体" w:eastAsia="宋体" w:cs="宋体"/>
                <w:bCs/>
                <w:w w:val="90"/>
                <w:szCs w:val="21"/>
              </w:rPr>
              <w:t>2.2.4</w:t>
            </w:r>
            <w:r>
              <w:rPr>
                <w:rFonts w:hint="eastAsia" w:ascii="宋体" w:hAnsi="宋体" w:eastAsia="宋体" w:cs="宋体"/>
                <w:bCs/>
                <w:w w:val="90"/>
                <w:szCs w:val="21"/>
              </w:rPr>
              <w:t>（</w:t>
            </w:r>
            <w:r>
              <w:rPr>
                <w:rFonts w:ascii="宋体" w:hAnsi="宋体" w:eastAsia="宋体" w:cs="宋体"/>
                <w:bCs/>
                <w:w w:val="90"/>
                <w:szCs w:val="21"/>
              </w:rPr>
              <w:t>3</w:t>
            </w:r>
            <w:r>
              <w:rPr>
                <w:rFonts w:hint="eastAsia" w:ascii="宋体" w:hAnsi="宋体" w:eastAsia="宋体" w:cs="宋体"/>
                <w:bCs/>
                <w:w w:val="90"/>
                <w:szCs w:val="21"/>
              </w:rPr>
              <w:t>）</w:t>
            </w:r>
          </w:p>
        </w:tc>
        <w:tc>
          <w:tcPr>
            <w:tcW w:w="2154" w:type="dxa"/>
            <w:gridSpan w:val="2"/>
            <w:tcBorders>
              <w:left w:val="single" w:color="auto" w:sz="2" w:space="0"/>
            </w:tcBorders>
            <w:vAlign w:val="center"/>
          </w:tcPr>
          <w:p>
            <w:pPr>
              <w:jc w:val="center"/>
              <w:rPr>
                <w:rFonts w:ascii="宋体" w:hAnsi="宋体" w:eastAsia="宋体" w:cs="宋体"/>
                <w:bCs/>
                <w:szCs w:val="21"/>
              </w:rPr>
            </w:pPr>
            <w:r>
              <w:rPr>
                <w:rFonts w:hint="eastAsia" w:ascii="宋体" w:hAnsi="宋体" w:eastAsia="宋体" w:cs="宋体"/>
                <w:bCs/>
                <w:szCs w:val="21"/>
              </w:rPr>
              <w:t>评标价</w:t>
            </w:r>
          </w:p>
        </w:tc>
        <w:tc>
          <w:tcPr>
            <w:tcW w:w="843" w:type="dxa"/>
            <w:vAlign w:val="center"/>
          </w:tcPr>
          <w:p>
            <w:pPr>
              <w:jc w:val="center"/>
              <w:rPr>
                <w:rFonts w:ascii="宋体" w:hAnsi="宋体" w:eastAsia="宋体" w:cs="宋体"/>
                <w:bCs/>
                <w:szCs w:val="21"/>
              </w:rPr>
            </w:pPr>
            <w:r>
              <w:rPr>
                <w:rFonts w:hint="eastAsia" w:ascii="宋体" w:hAnsi="宋体" w:eastAsia="宋体" w:cs="宋体"/>
                <w:bCs/>
                <w:szCs w:val="21"/>
              </w:rPr>
              <w:t>1</w:t>
            </w:r>
            <w:r>
              <w:rPr>
                <w:rFonts w:ascii="宋体" w:hAnsi="宋体" w:eastAsia="宋体" w:cs="宋体"/>
                <w:bCs/>
                <w:szCs w:val="21"/>
              </w:rPr>
              <w:t>0</w:t>
            </w:r>
            <w:r>
              <w:rPr>
                <w:rFonts w:hint="eastAsia" w:ascii="宋体" w:hAnsi="宋体" w:eastAsia="宋体" w:cs="宋体"/>
                <w:bCs/>
                <w:szCs w:val="21"/>
              </w:rPr>
              <w:t>分</w:t>
            </w:r>
          </w:p>
        </w:tc>
        <w:tc>
          <w:tcPr>
            <w:tcW w:w="5978" w:type="dxa"/>
            <w:vAlign w:val="center"/>
          </w:tcPr>
          <w:p>
            <w:pPr>
              <w:rPr>
                <w:rFonts w:ascii="宋体" w:hAnsi="宋体" w:eastAsia="宋体" w:cs="Times New Roman"/>
                <w:szCs w:val="21"/>
              </w:rPr>
            </w:pPr>
            <w:r>
              <w:rPr>
                <w:rFonts w:hint="eastAsia" w:ascii="宋体" w:hAnsi="宋体" w:eastAsia="宋体" w:cs="Times New Roman"/>
                <w:szCs w:val="21"/>
              </w:rPr>
              <w:t>评标价得分计算公式示例：</w:t>
            </w:r>
          </w:p>
          <w:p>
            <w:pPr>
              <w:ind w:firstLine="243" w:firstLineChars="116"/>
              <w:rPr>
                <w:rFonts w:ascii="宋体" w:hAnsi="宋体" w:eastAsia="宋体" w:cs="Times New Roman"/>
                <w:szCs w:val="21"/>
              </w:rPr>
            </w:pPr>
            <w:r>
              <w:rPr>
                <w:rFonts w:hint="eastAsia" w:ascii="宋体" w:hAnsi="宋体" w:eastAsia="宋体" w:cs="Times New Roman"/>
                <w:szCs w:val="21"/>
              </w:rPr>
              <w:t>（1）如果投标人的评标价＞评标基准价，则评标价得分=F-（投标人评标价-评标基准价）/评标基准价×100×E1；</w:t>
            </w:r>
          </w:p>
          <w:p>
            <w:pPr>
              <w:ind w:firstLine="243" w:firstLineChars="116"/>
              <w:rPr>
                <w:rFonts w:ascii="宋体" w:hAnsi="宋体" w:eastAsia="宋体" w:cs="Times New Roman"/>
                <w:szCs w:val="21"/>
              </w:rPr>
            </w:pPr>
            <w:r>
              <w:rPr>
                <w:rFonts w:hint="eastAsia" w:ascii="宋体" w:hAnsi="宋体" w:eastAsia="宋体" w:cs="Times New Roman"/>
                <w:szCs w:val="21"/>
              </w:rPr>
              <w:t>（2）如果投标人的评标价≤评标基准价，则评标价得分=F+(投标人评标价-评标基准价)/评标基准价×100×E2。</w:t>
            </w:r>
          </w:p>
          <w:p>
            <w:pPr>
              <w:ind w:firstLine="243" w:firstLineChars="116"/>
              <w:rPr>
                <w:rFonts w:ascii="宋体" w:hAnsi="宋体" w:eastAsia="宋体" w:cs="宋体"/>
                <w:bCs/>
                <w:szCs w:val="21"/>
              </w:rPr>
            </w:pPr>
            <w:r>
              <w:rPr>
                <w:rFonts w:hint="eastAsia" w:ascii="宋体" w:hAnsi="宋体" w:eastAsia="宋体" w:cs="Times New Roman"/>
                <w:szCs w:val="21"/>
              </w:rPr>
              <w:t>其中，F=10；E1=0.</w:t>
            </w:r>
            <w:r>
              <w:rPr>
                <w:rFonts w:ascii="宋体" w:hAnsi="宋体" w:eastAsia="宋体" w:cs="Times New Roman"/>
                <w:szCs w:val="21"/>
              </w:rPr>
              <w:t>2</w:t>
            </w:r>
            <w:r>
              <w:rPr>
                <w:rFonts w:hint="eastAsia" w:ascii="宋体" w:hAnsi="宋体" w:eastAsia="宋体" w:cs="Times New Roman"/>
                <w:szCs w:val="21"/>
              </w:rPr>
              <w:t>；E2=0.</w:t>
            </w:r>
            <w:r>
              <w:rPr>
                <w:rFonts w:ascii="宋体" w:hAnsi="宋体" w:eastAsia="宋体" w:cs="Times New Roman"/>
                <w:szCs w:val="21"/>
              </w:rPr>
              <w:t>1</w:t>
            </w:r>
            <w:r>
              <w:rPr>
                <w:rFonts w:hint="eastAsia" w:ascii="宋体" w:hAnsi="宋体" w:eastAsia="宋体" w:cs="Times New Roman"/>
                <w:szCs w:val="21"/>
              </w:rPr>
              <w:t>；评标价最低得分为0分。</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pPr>
              <w:jc w:val="center"/>
              <w:rPr>
                <w:rFonts w:ascii="宋体" w:hAnsi="宋体" w:eastAsia="宋体" w:cs="宋体"/>
                <w:bCs/>
                <w:szCs w:val="21"/>
              </w:rPr>
            </w:pPr>
            <w:r>
              <w:rPr>
                <w:rFonts w:hint="eastAsia" w:ascii="宋体" w:hAnsi="宋体" w:eastAsia="宋体" w:cs="宋体"/>
                <w:bCs/>
                <w:szCs w:val="21"/>
              </w:rPr>
              <w:t>合计</w:t>
            </w:r>
          </w:p>
        </w:tc>
        <w:tc>
          <w:tcPr>
            <w:tcW w:w="843" w:type="dxa"/>
            <w:vAlign w:val="center"/>
          </w:tcPr>
          <w:p>
            <w:pPr>
              <w:jc w:val="center"/>
              <w:rPr>
                <w:rFonts w:ascii="宋体" w:hAnsi="宋体" w:eastAsia="宋体" w:cs="宋体"/>
                <w:bCs/>
                <w:szCs w:val="21"/>
              </w:rPr>
            </w:pPr>
            <w:r>
              <w:rPr>
                <w:rFonts w:ascii="宋体" w:hAnsi="宋体" w:eastAsia="宋体" w:cs="宋体"/>
                <w:bCs/>
                <w:szCs w:val="21"/>
              </w:rPr>
              <w:t>100</w:t>
            </w:r>
            <w:r>
              <w:rPr>
                <w:rFonts w:hint="eastAsia" w:ascii="宋体" w:hAnsi="宋体" w:eastAsia="宋体" w:cs="宋体"/>
                <w:bCs/>
                <w:szCs w:val="21"/>
              </w:rPr>
              <w:t>分</w:t>
            </w:r>
          </w:p>
        </w:tc>
        <w:tc>
          <w:tcPr>
            <w:tcW w:w="5978" w:type="dxa"/>
            <w:vAlign w:val="center"/>
          </w:tcPr>
          <w:p>
            <w:pPr>
              <w:jc w:val="center"/>
              <w:rPr>
                <w:rFonts w:ascii="宋体" w:hAnsi="宋体" w:eastAsia="宋体" w:cs="宋体"/>
                <w:bCs/>
                <w:szCs w:val="21"/>
              </w:rPr>
            </w:pPr>
          </w:p>
        </w:tc>
      </w:tr>
    </w:tbl>
    <w:p>
      <w:pPr>
        <w:spacing w:line="312" w:lineRule="auto"/>
        <w:rPr>
          <w:rFonts w:ascii="宋体" w:hAnsi="宋体" w:eastAsia="宋体" w:cs="Times New Roman"/>
          <w:szCs w:val="21"/>
        </w:rPr>
      </w:pPr>
      <w:r>
        <w:rPr>
          <w:rFonts w:hint="eastAsia" w:ascii="宋体" w:hAnsi="宋体" w:eastAsia="宋体" w:cs="Times New Roman"/>
          <w:szCs w:val="21"/>
        </w:rPr>
        <w:t>注：1、各分项得分为各评委打分算术平均值，评委打分平均值保留两位小数，第三位四舍五入。</w:t>
      </w:r>
    </w:p>
    <w:p>
      <w:pPr>
        <w:spacing w:line="312" w:lineRule="auto"/>
        <w:ind w:firstLine="420" w:firstLineChars="200"/>
        <w:rPr>
          <w:rFonts w:ascii="宋体" w:hAnsi="宋体" w:eastAsia="宋体" w:cs="Times New Roman"/>
          <w:sz w:val="20"/>
          <w:szCs w:val="20"/>
        </w:rPr>
      </w:pPr>
      <w:r>
        <w:rPr>
          <w:rFonts w:hint="eastAsia" w:ascii="宋体" w:hAnsi="宋体" w:eastAsia="宋体" w:cs="Times New Roman"/>
          <w:szCs w:val="21"/>
        </w:rPr>
        <w:t>2、服务方案缺项则该项得0分。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D03E09"/>
    <w:rsid w:val="003F6476"/>
    <w:rsid w:val="00641CB7"/>
    <w:rsid w:val="00D03E09"/>
    <w:rsid w:val="00D66E79"/>
    <w:rsid w:val="00DF417B"/>
    <w:rsid w:val="00F00004"/>
    <w:rsid w:val="30137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777</Words>
  <Characters>4432</Characters>
  <Lines>36</Lines>
  <Paragraphs>10</Paragraphs>
  <TotalTime>1</TotalTime>
  <ScaleCrop>false</ScaleCrop>
  <LinksUpToDate>false</LinksUpToDate>
  <CharactersWithSpaces>5199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2023-10-16T00:37:00Z</dcterms:created>
  <dc:creator>office</dc:creator>
  <cp:lastModifiedBy>李娜</cp:lastModifiedBy>
  <dcterms:modified xsi:type="dcterms:W3CDTF">2023-10-16T00:57:55Z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30FA7E797D374609BE6DBA6968C3B635_12</vt:lpwstr>
  </property>
</Properties>
</file>