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宋体" w:hAnsi="宋体"/>
          <w:b w:val="0"/>
          <w:sz w:val="24"/>
        </w:rPr>
      </w:pPr>
      <w:bookmarkStart w:id="0" w:name="_Toc2375"/>
      <w:bookmarkStart w:id="1" w:name="_Toc134792338"/>
      <w:bookmarkStart w:id="2" w:name="OLE_LINK1"/>
      <w:bookmarkStart w:id="3" w:name="_Hlk147824971"/>
      <w:bookmarkStart w:id="18" w:name="_GoBack"/>
      <w:bookmarkEnd w:id="18"/>
      <w:r>
        <w:rPr>
          <w:rFonts w:hint="eastAsia" w:ascii="黑体" w:hAnsi="黑体" w:eastAsia="黑体"/>
          <w:sz w:val="28"/>
          <w:szCs w:val="28"/>
        </w:rPr>
        <w:t>附件1：资格审查条件</w:t>
      </w:r>
      <w:bookmarkEnd w:id="0"/>
      <w:bookmarkEnd w:id="1"/>
    </w:p>
    <w:p>
      <w:pPr>
        <w:adjustRightInd w:val="0"/>
        <w:snapToGrid w:val="0"/>
        <w:spacing w:line="360" w:lineRule="auto"/>
        <w:jc w:val="center"/>
        <w:rPr>
          <w:b/>
          <w:bCs/>
          <w:snapToGrid w:val="0"/>
          <w:kern w:val="0"/>
        </w:rPr>
      </w:pPr>
      <w:r>
        <w:rPr>
          <w:b/>
          <w:bCs/>
          <w:snapToGrid w:val="0"/>
          <w:kern w:val="0"/>
        </w:rPr>
        <w:t>附录1 资格审查条件（资质最低要求）</w:t>
      </w:r>
    </w:p>
    <w:tbl>
      <w:tblPr>
        <w:tblStyle w:val="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071" w:type="dxa"/>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9071" w:type="dxa"/>
            <w:vAlign w:val="center"/>
          </w:tcPr>
          <w:p>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（1）具有独立企业法人资格，持有有效的企业营业执照；</w:t>
            </w:r>
          </w:p>
          <w:p>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（2）具有</w:t>
            </w:r>
            <w:r>
              <w:rPr>
                <w:rFonts w:hint="eastAsia"/>
                <w:snapToGrid w:val="0"/>
                <w:kern w:val="0"/>
                <w:sz w:val="21"/>
                <w:szCs w:val="21"/>
              </w:rPr>
              <w:t>住建</w:t>
            </w:r>
            <w:r>
              <w:rPr>
                <w:snapToGrid w:val="0"/>
                <w:kern w:val="0"/>
                <w:sz w:val="21"/>
                <w:szCs w:val="21"/>
              </w:rPr>
              <w:t>行政主管部门颁发的电力工程施工总承包</w:t>
            </w:r>
            <w:r>
              <w:rPr>
                <w:rFonts w:hint="eastAsia"/>
                <w:snapToGrid w:val="0"/>
                <w:kern w:val="0"/>
                <w:sz w:val="21"/>
                <w:szCs w:val="21"/>
              </w:rPr>
              <w:t>三</w:t>
            </w:r>
            <w:r>
              <w:rPr>
                <w:snapToGrid w:val="0"/>
                <w:kern w:val="0"/>
                <w:sz w:val="21"/>
                <w:szCs w:val="21"/>
              </w:rPr>
              <w:t>级及以上资质；</w:t>
            </w:r>
          </w:p>
          <w:p>
            <w:pPr>
              <w:widowControl/>
              <w:autoSpaceDE w:val="0"/>
              <w:autoSpaceDN w:val="0"/>
              <w:adjustRightInd w:val="0"/>
              <w:snapToGrid w:val="0"/>
              <w:spacing w:line="0" w:lineRule="atLeast"/>
              <w:textAlignment w:val="baseline"/>
              <w:rPr>
                <w:snapToGrid w:val="0"/>
                <w:kern w:val="0"/>
                <w:sz w:val="21"/>
                <w:szCs w:val="21"/>
              </w:rPr>
            </w:pPr>
            <w:r>
              <w:rPr>
                <w:rFonts w:hint="eastAsia"/>
                <w:snapToGrid w:val="0"/>
                <w:kern w:val="0"/>
                <w:sz w:val="21"/>
                <w:szCs w:val="21"/>
              </w:rPr>
              <w:t>（3）具有承装（修、试）电力设施许可证，其中承装类、承修类、承试类均为五级及以上资质。</w:t>
            </w:r>
          </w:p>
          <w:p>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（4）具有有效的安全生产许可证。</w:t>
            </w:r>
          </w:p>
        </w:tc>
      </w:tr>
    </w:tbl>
    <w:p>
      <w:pPr>
        <w:adjustRightInd w:val="0"/>
        <w:snapToGrid w:val="0"/>
        <w:spacing w:line="360" w:lineRule="auto"/>
        <w:jc w:val="center"/>
        <w:rPr>
          <w:b/>
          <w:bCs/>
          <w:snapToGrid w:val="0"/>
          <w:kern w:val="0"/>
        </w:rPr>
      </w:pPr>
    </w:p>
    <w:p>
      <w:pPr>
        <w:jc w:val="center"/>
      </w:pPr>
      <w:r>
        <w:rPr>
          <w:b/>
        </w:rPr>
        <w:t>附录2 资格审查条件(财务最低要求)</w:t>
      </w:r>
    </w:p>
    <w:tbl>
      <w:tblPr>
        <w:tblStyle w:val="9"/>
        <w:tblW w:w="916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9164" w:type="dxa"/>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1" w:hRule="atLeast"/>
          <w:jc w:val="center"/>
        </w:trPr>
        <w:tc>
          <w:tcPr>
            <w:tcW w:w="9164" w:type="dxa"/>
            <w:vAlign w:val="center"/>
          </w:tcPr>
          <w:p>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承诺为本合同所提供的营运资金(以经会计事务所或审计机构审计的最新财务报表2022年</w:t>
            </w:r>
            <w:r>
              <w:rPr>
                <w:rFonts w:hint="eastAsia"/>
                <w:snapToGrid w:val="0"/>
                <w:kern w:val="0"/>
                <w:sz w:val="21"/>
                <w:szCs w:val="21"/>
              </w:rPr>
              <w:t>度</w:t>
            </w:r>
            <w:r>
              <w:rPr>
                <w:snapToGrid w:val="0"/>
                <w:kern w:val="0"/>
                <w:sz w:val="21"/>
                <w:szCs w:val="21"/>
              </w:rPr>
              <w:t>中：营运资金＝流动资产－流动负债，以年末数计算)以及为本项目而专门开具的银行信贷证明总和不得少于500万元。</w:t>
            </w:r>
          </w:p>
        </w:tc>
      </w:tr>
    </w:tbl>
    <w:p>
      <w:pPr>
        <w:pStyle w:val="5"/>
      </w:pPr>
    </w:p>
    <w:p>
      <w:pPr>
        <w:adjustRightInd w:val="0"/>
        <w:snapToGrid w:val="0"/>
        <w:spacing w:line="360" w:lineRule="auto"/>
        <w:jc w:val="center"/>
        <w:rPr>
          <w:b/>
          <w:bCs/>
          <w:snapToGrid w:val="0"/>
          <w:kern w:val="0"/>
        </w:rPr>
      </w:pPr>
      <w:r>
        <w:rPr>
          <w:b/>
          <w:bCs/>
          <w:snapToGrid w:val="0"/>
          <w:kern w:val="0"/>
        </w:rPr>
        <w:t>附录3 资格审查条件（业绩最低要求）</w:t>
      </w:r>
    </w:p>
    <w:tbl>
      <w:tblPr>
        <w:tblStyle w:val="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9071" w:type="dxa"/>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9071" w:type="dxa"/>
            <w:vAlign w:val="center"/>
          </w:tcPr>
          <w:p>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近5年内（2018年10月1日</w:t>
            </w:r>
            <w:r>
              <w:rPr>
                <w:rFonts w:hint="eastAsia"/>
                <w:snapToGrid w:val="0"/>
                <w:kern w:val="0"/>
                <w:sz w:val="21"/>
                <w:szCs w:val="21"/>
              </w:rPr>
              <w:t>至投标截止时间</w:t>
            </w:r>
            <w:r>
              <w:rPr>
                <w:snapToGrid w:val="0"/>
                <w:kern w:val="0"/>
                <w:sz w:val="21"/>
                <w:szCs w:val="21"/>
              </w:rPr>
              <w:t>，以竣工日期为准），</w:t>
            </w:r>
            <w:r>
              <w:rPr>
                <w:rFonts w:hint="eastAsia"/>
                <w:snapToGrid w:val="0"/>
                <w:kern w:val="0"/>
                <w:sz w:val="21"/>
                <w:szCs w:val="21"/>
              </w:rPr>
              <w:t>至少完成过</w:t>
            </w:r>
            <w:r>
              <w:rPr>
                <w:snapToGrid w:val="0"/>
                <w:kern w:val="0"/>
                <w:sz w:val="21"/>
                <w:szCs w:val="21"/>
              </w:rPr>
              <w:t>1</w:t>
            </w:r>
            <w:r>
              <w:rPr>
                <w:rFonts w:hint="eastAsia"/>
                <w:snapToGrid w:val="0"/>
                <w:kern w:val="0"/>
                <w:sz w:val="21"/>
                <w:szCs w:val="21"/>
              </w:rPr>
              <w:t>项装机容量不小于10MW且已完成并网的光伏发电项目的施工业绩。</w:t>
            </w:r>
          </w:p>
          <w:p>
            <w:pPr>
              <w:widowControl/>
              <w:autoSpaceDE w:val="0"/>
              <w:autoSpaceDN w:val="0"/>
              <w:adjustRightInd w:val="0"/>
              <w:snapToGrid w:val="0"/>
              <w:spacing w:line="0" w:lineRule="atLeast"/>
              <w:textAlignment w:val="baseline"/>
              <w:rPr>
                <w:snapToGrid w:val="0"/>
                <w:kern w:val="0"/>
                <w:sz w:val="21"/>
                <w:szCs w:val="21"/>
              </w:rPr>
            </w:pPr>
            <w:r>
              <w:rPr>
                <w:rFonts w:hint="eastAsia"/>
                <w:snapToGrid w:val="0"/>
                <w:kern w:val="0"/>
                <w:sz w:val="21"/>
                <w:szCs w:val="21"/>
              </w:rPr>
              <w:t>注：施工业绩包括设计施工总承包业绩（所附业绩证明资料中能体现其中光伏发电项目施工的工作内容）或单独施工业绩。</w:t>
            </w:r>
          </w:p>
        </w:tc>
      </w:tr>
    </w:tbl>
    <w:p>
      <w:pPr>
        <w:adjustRightInd w:val="0"/>
        <w:snapToGrid w:val="0"/>
        <w:spacing w:line="360" w:lineRule="auto"/>
        <w:jc w:val="center"/>
        <w:rPr>
          <w:b/>
          <w:bCs/>
          <w:snapToGrid w:val="0"/>
          <w:kern w:val="0"/>
        </w:rPr>
      </w:pPr>
    </w:p>
    <w:p>
      <w:pPr>
        <w:adjustRightInd w:val="0"/>
        <w:snapToGrid w:val="0"/>
        <w:spacing w:line="360" w:lineRule="auto"/>
        <w:jc w:val="center"/>
        <w:rPr>
          <w:b/>
          <w:bCs/>
          <w:snapToGrid w:val="0"/>
          <w:kern w:val="0"/>
        </w:rPr>
      </w:pPr>
      <w:r>
        <w:rPr>
          <w:b/>
          <w:bCs/>
          <w:snapToGrid w:val="0"/>
          <w:kern w:val="0"/>
        </w:rPr>
        <w:t>附录4 资格审查条件（信誉最低要求）</w:t>
      </w:r>
    </w:p>
    <w:tbl>
      <w:tblPr>
        <w:tblStyle w:val="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9071" w:type="dxa"/>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9071" w:type="dxa"/>
            <w:vAlign w:val="center"/>
          </w:tcPr>
          <w:p>
            <w:pPr>
              <w:widowControl/>
              <w:autoSpaceDE w:val="0"/>
              <w:autoSpaceDN w:val="0"/>
              <w:adjustRightInd w:val="0"/>
              <w:snapToGrid w:val="0"/>
              <w:spacing w:line="0" w:lineRule="atLeast"/>
              <w:textAlignment w:val="baseline"/>
              <w:rPr>
                <w:snapToGrid w:val="0"/>
                <w:kern w:val="0"/>
                <w:sz w:val="21"/>
                <w:szCs w:val="21"/>
              </w:rPr>
            </w:pPr>
            <w:r>
              <w:rPr>
                <w:snapToGrid w:val="0"/>
                <w:kern w:val="0"/>
                <w:sz w:val="21"/>
                <w:szCs w:val="21"/>
              </w:rPr>
              <w:t>投标人在近1年内（2022年10月1日</w:t>
            </w:r>
            <w:r>
              <w:rPr>
                <w:rFonts w:hint="eastAsia"/>
                <w:snapToGrid w:val="0"/>
                <w:kern w:val="0"/>
                <w:sz w:val="21"/>
                <w:szCs w:val="21"/>
              </w:rPr>
              <w:t>至投标截止时间</w:t>
            </w:r>
            <w:r>
              <w:rPr>
                <w:snapToGrid w:val="0"/>
                <w:kern w:val="0"/>
                <w:sz w:val="21"/>
                <w:szCs w:val="21"/>
              </w:rPr>
              <w:t>）不曾在</w:t>
            </w:r>
            <w:r>
              <w:rPr>
                <w:rFonts w:hint="eastAsia"/>
                <w:snapToGrid w:val="0"/>
                <w:kern w:val="0"/>
                <w:sz w:val="21"/>
                <w:szCs w:val="21"/>
              </w:rPr>
              <w:t>光伏发电</w:t>
            </w:r>
            <w:r>
              <w:rPr>
                <w:snapToGrid w:val="0"/>
                <w:kern w:val="0"/>
                <w:sz w:val="21"/>
                <w:szCs w:val="21"/>
              </w:rPr>
              <w:t>工程合同中违约而被驱逐或因投标人自身的原因而使</w:t>
            </w:r>
            <w:r>
              <w:rPr>
                <w:rFonts w:hint="eastAsia"/>
                <w:snapToGrid w:val="0"/>
                <w:kern w:val="0"/>
                <w:sz w:val="21"/>
                <w:szCs w:val="21"/>
              </w:rPr>
              <w:t>光伏发电</w:t>
            </w:r>
            <w:r>
              <w:rPr>
                <w:snapToGrid w:val="0"/>
                <w:kern w:val="0"/>
                <w:sz w:val="21"/>
                <w:szCs w:val="21"/>
              </w:rPr>
              <w:t>工程合同被解除。</w:t>
            </w:r>
          </w:p>
        </w:tc>
      </w:tr>
    </w:tbl>
    <w:p>
      <w:pPr>
        <w:adjustRightInd w:val="0"/>
        <w:snapToGrid w:val="0"/>
        <w:spacing w:line="360" w:lineRule="auto"/>
        <w:jc w:val="center"/>
        <w:rPr>
          <w:b/>
          <w:bCs/>
          <w:snapToGrid w:val="0"/>
          <w:kern w:val="0"/>
        </w:rPr>
      </w:pPr>
    </w:p>
    <w:p>
      <w:pPr>
        <w:adjustRightInd w:val="0"/>
        <w:snapToGrid w:val="0"/>
        <w:spacing w:line="360" w:lineRule="auto"/>
        <w:jc w:val="center"/>
        <w:rPr>
          <w:b/>
          <w:bCs/>
          <w:snapToGrid w:val="0"/>
          <w:kern w:val="0"/>
        </w:rPr>
      </w:pPr>
      <w:r>
        <w:rPr>
          <w:b/>
          <w:bCs/>
          <w:snapToGrid w:val="0"/>
          <w:kern w:val="0"/>
        </w:rPr>
        <w:t>附录5 资格审查条件（项目经理最低要求）</w:t>
      </w:r>
    </w:p>
    <w:tbl>
      <w:tblPr>
        <w:tblStyle w:val="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567"/>
        <w:gridCol w:w="5954"/>
        <w:gridCol w:w="14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34" w:type="dxa"/>
            <w:tcBorders>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岗位</w:t>
            </w:r>
          </w:p>
        </w:tc>
        <w:tc>
          <w:tcPr>
            <w:tcW w:w="567" w:type="dxa"/>
            <w:tcBorders>
              <w:left w:val="single" w:color="000000" w:sz="4" w:space="0"/>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数量</w:t>
            </w:r>
          </w:p>
        </w:tc>
        <w:tc>
          <w:tcPr>
            <w:tcW w:w="5954" w:type="dxa"/>
            <w:tcBorders>
              <w:left w:val="single" w:color="000000" w:sz="4" w:space="0"/>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资格标准</w:t>
            </w:r>
          </w:p>
        </w:tc>
        <w:tc>
          <w:tcPr>
            <w:tcW w:w="1416" w:type="dxa"/>
            <w:tcBorders>
              <w:lef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jc w:val="center"/>
        </w:trPr>
        <w:tc>
          <w:tcPr>
            <w:tcW w:w="1134" w:type="dxa"/>
            <w:tcBorders>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项目经理</w:t>
            </w:r>
          </w:p>
        </w:tc>
        <w:tc>
          <w:tcPr>
            <w:tcW w:w="567" w:type="dxa"/>
            <w:tcBorders>
              <w:left w:val="single" w:color="000000" w:sz="4" w:space="0"/>
              <w:right w:val="single" w:color="000000" w:sz="4" w:space="0"/>
            </w:tcBorders>
            <w:vAlign w:val="center"/>
          </w:tcPr>
          <w:p>
            <w:pPr>
              <w:autoSpaceDE w:val="0"/>
              <w:autoSpaceDN w:val="0"/>
              <w:adjustRightInd w:val="0"/>
              <w:snapToGrid w:val="0"/>
              <w:spacing w:line="0" w:lineRule="atLeast"/>
              <w:jc w:val="center"/>
              <w:rPr>
                <w:snapToGrid w:val="0"/>
                <w:kern w:val="0"/>
                <w:sz w:val="21"/>
                <w:szCs w:val="21"/>
              </w:rPr>
            </w:pPr>
            <w:r>
              <w:rPr>
                <w:snapToGrid w:val="0"/>
                <w:kern w:val="0"/>
                <w:sz w:val="21"/>
                <w:szCs w:val="21"/>
              </w:rPr>
              <w:t>1</w:t>
            </w:r>
          </w:p>
        </w:tc>
        <w:tc>
          <w:tcPr>
            <w:tcW w:w="5954" w:type="dxa"/>
            <w:tcBorders>
              <w:left w:val="single" w:color="000000" w:sz="4" w:space="0"/>
              <w:right w:val="single" w:color="000000" w:sz="4" w:space="0"/>
            </w:tcBorders>
            <w:vAlign w:val="center"/>
          </w:tcPr>
          <w:p>
            <w:pPr>
              <w:autoSpaceDE w:val="0"/>
              <w:autoSpaceDN w:val="0"/>
              <w:adjustRightInd w:val="0"/>
              <w:snapToGrid w:val="0"/>
              <w:spacing w:line="0" w:lineRule="atLeast"/>
              <w:rPr>
                <w:snapToGrid w:val="0"/>
                <w:kern w:val="0"/>
                <w:sz w:val="21"/>
                <w:szCs w:val="21"/>
              </w:rPr>
            </w:pPr>
            <w:r>
              <w:rPr>
                <w:snapToGrid w:val="0"/>
                <w:kern w:val="0"/>
                <w:sz w:val="21"/>
                <w:szCs w:val="21"/>
              </w:rPr>
              <w:t>具有“电力工程”相关专业的高级专业技术职称证书；具有有效的</w:t>
            </w:r>
            <w:r>
              <w:rPr>
                <w:rFonts w:hint="eastAsia"/>
                <w:snapToGrid w:val="0"/>
                <w:kern w:val="0"/>
                <w:sz w:val="21"/>
                <w:szCs w:val="21"/>
              </w:rPr>
              <w:t>二</w:t>
            </w:r>
            <w:r>
              <w:rPr>
                <w:snapToGrid w:val="0"/>
                <w:kern w:val="0"/>
                <w:sz w:val="21"/>
                <w:szCs w:val="21"/>
              </w:rPr>
              <w:t>级</w:t>
            </w:r>
            <w:r>
              <w:rPr>
                <w:rFonts w:hint="eastAsia"/>
                <w:snapToGrid w:val="0"/>
                <w:kern w:val="0"/>
                <w:sz w:val="21"/>
                <w:szCs w:val="21"/>
              </w:rPr>
              <w:t>及以上</w:t>
            </w:r>
            <w:r>
              <w:rPr>
                <w:snapToGrid w:val="0"/>
                <w:kern w:val="0"/>
                <w:sz w:val="21"/>
                <w:szCs w:val="21"/>
              </w:rPr>
              <w:t>建造师执业资格注册证书（机电工程专业）；相关证书的注册单位须与投标人单位名称一致；</w:t>
            </w:r>
          </w:p>
          <w:p>
            <w:pPr>
              <w:autoSpaceDE w:val="0"/>
              <w:autoSpaceDN w:val="0"/>
              <w:adjustRightInd w:val="0"/>
              <w:snapToGrid w:val="0"/>
              <w:spacing w:line="0" w:lineRule="atLeast"/>
              <w:rPr>
                <w:snapToGrid w:val="0"/>
                <w:kern w:val="0"/>
                <w:sz w:val="21"/>
                <w:szCs w:val="21"/>
              </w:rPr>
            </w:pPr>
            <w:r>
              <w:rPr>
                <w:snapToGrid w:val="0"/>
                <w:kern w:val="0"/>
                <w:sz w:val="21"/>
                <w:szCs w:val="21"/>
              </w:rPr>
              <w:t>具有</w:t>
            </w:r>
            <w:r>
              <w:rPr>
                <w:rFonts w:hint="eastAsia"/>
                <w:snapToGrid w:val="0"/>
                <w:kern w:val="0"/>
                <w:sz w:val="21"/>
                <w:szCs w:val="21"/>
              </w:rPr>
              <w:t>住建</w:t>
            </w:r>
            <w:r>
              <w:rPr>
                <w:snapToGrid w:val="0"/>
                <w:kern w:val="0"/>
                <w:sz w:val="21"/>
                <w:szCs w:val="21"/>
              </w:rPr>
              <w:t>行政主管部门颁发的有效的《安全生产考核合格证书》（B类），安全生产考核合格证书的登记单位须与投标人单位名称一致；</w:t>
            </w:r>
          </w:p>
          <w:p>
            <w:pPr>
              <w:autoSpaceDE w:val="0"/>
              <w:autoSpaceDN w:val="0"/>
              <w:adjustRightInd w:val="0"/>
              <w:snapToGrid w:val="0"/>
              <w:spacing w:line="0" w:lineRule="atLeast"/>
              <w:rPr>
                <w:snapToGrid w:val="0"/>
                <w:kern w:val="0"/>
                <w:sz w:val="21"/>
                <w:szCs w:val="21"/>
              </w:rPr>
            </w:pPr>
            <w:r>
              <w:rPr>
                <w:snapToGrid w:val="0"/>
                <w:kern w:val="0"/>
                <w:sz w:val="21"/>
                <w:szCs w:val="21"/>
              </w:rPr>
              <w:t>近5年（2018年10月1日</w:t>
            </w:r>
            <w:r>
              <w:rPr>
                <w:rFonts w:hint="eastAsia"/>
                <w:snapToGrid w:val="0"/>
                <w:kern w:val="0"/>
                <w:sz w:val="21"/>
                <w:szCs w:val="21"/>
              </w:rPr>
              <w:t>至投标截止时间</w:t>
            </w:r>
            <w:r>
              <w:rPr>
                <w:snapToGrid w:val="0"/>
                <w:kern w:val="0"/>
                <w:sz w:val="21"/>
                <w:szCs w:val="21"/>
              </w:rPr>
              <w:t>，以工程竣工日期为准）</w:t>
            </w:r>
            <w:r>
              <w:rPr>
                <w:rFonts w:hint="eastAsia"/>
                <w:snapToGrid w:val="0"/>
                <w:kern w:val="0"/>
                <w:sz w:val="21"/>
                <w:szCs w:val="21"/>
              </w:rPr>
              <w:t>至少担任过1项装机容量不小于10MW且已完成并网的光伏发电项目施工的项目经理（或项目副经理或项目总工）</w:t>
            </w:r>
            <w:r>
              <w:rPr>
                <w:snapToGrid w:val="0"/>
                <w:kern w:val="0"/>
                <w:sz w:val="21"/>
                <w:szCs w:val="21"/>
              </w:rPr>
              <w:t>。</w:t>
            </w:r>
          </w:p>
          <w:p>
            <w:pPr>
              <w:pStyle w:val="5"/>
              <w:rPr>
                <w:sz w:val="21"/>
                <w:szCs w:val="21"/>
              </w:rPr>
            </w:pPr>
            <w:r>
              <w:rPr>
                <w:sz w:val="21"/>
                <w:szCs w:val="21"/>
              </w:rPr>
              <w:t>注：项目经理业绩包括设计施工总承包业绩（所附业绩证明资料中能体现其中光伏发电项目施工的工作内容及拟投入项目经理在工作中担任的职务）或单独施工业绩。</w:t>
            </w:r>
          </w:p>
        </w:tc>
        <w:tc>
          <w:tcPr>
            <w:tcW w:w="1416" w:type="dxa"/>
            <w:tcBorders>
              <w:left w:val="single" w:color="000000" w:sz="4" w:space="0"/>
            </w:tcBorders>
            <w:vAlign w:val="center"/>
          </w:tcPr>
          <w:p>
            <w:pPr>
              <w:autoSpaceDE w:val="0"/>
              <w:autoSpaceDN w:val="0"/>
              <w:adjustRightInd w:val="0"/>
              <w:snapToGrid w:val="0"/>
              <w:spacing w:line="0" w:lineRule="atLeast"/>
              <w:rPr>
                <w:snapToGrid w:val="0"/>
                <w:kern w:val="0"/>
                <w:sz w:val="21"/>
                <w:szCs w:val="21"/>
              </w:rPr>
            </w:pPr>
            <w:r>
              <w:rPr>
                <w:snapToGrid w:val="0"/>
                <w:kern w:val="0"/>
                <w:sz w:val="21"/>
                <w:szCs w:val="21"/>
              </w:rPr>
              <w:t>目前未在其他项目上任职，或虽在其他项目上任职但能够从其他项目撤离并能在本项目履约</w:t>
            </w:r>
          </w:p>
        </w:tc>
      </w:tr>
    </w:tbl>
    <w:p>
      <w:pPr>
        <w:pStyle w:val="2"/>
        <w:spacing w:before="0" w:after="0" w:line="360" w:lineRule="auto"/>
        <w:rPr>
          <w:rFonts w:ascii="黑体" w:hAnsi="黑体" w:eastAsia="黑体"/>
          <w:sz w:val="28"/>
          <w:szCs w:val="28"/>
        </w:rPr>
      </w:pPr>
      <w:r>
        <w:rPr>
          <w:b w:val="0"/>
        </w:rPr>
        <w:br w:type="page"/>
      </w:r>
      <w:bookmarkStart w:id="4" w:name="_Toc134792340"/>
      <w:r>
        <w:rPr>
          <w:rFonts w:hint="eastAsia" w:ascii="黑体" w:hAnsi="黑体" w:eastAsia="黑体"/>
          <w:sz w:val="28"/>
          <w:szCs w:val="28"/>
        </w:rPr>
        <w:t>附件</w:t>
      </w:r>
      <w:r>
        <w:rPr>
          <w:rFonts w:ascii="黑体" w:hAnsi="黑体" w:eastAsia="黑体"/>
          <w:sz w:val="28"/>
          <w:szCs w:val="28"/>
        </w:rPr>
        <w:t>2</w:t>
      </w:r>
      <w:r>
        <w:rPr>
          <w:rFonts w:hint="eastAsia" w:ascii="黑体" w:hAnsi="黑体" w:eastAsia="黑体"/>
          <w:sz w:val="28"/>
          <w:szCs w:val="28"/>
        </w:rPr>
        <w:t>：评标办法</w:t>
      </w:r>
      <w:bookmarkEnd w:id="4"/>
    </w:p>
    <w:bookmarkEnd w:id="2"/>
    <w:p>
      <w:pPr>
        <w:tabs>
          <w:tab w:val="left" w:pos="0"/>
        </w:tabs>
        <w:spacing w:line="360" w:lineRule="auto"/>
        <w:jc w:val="center"/>
        <w:rPr>
          <w:rFonts w:ascii="宋体" w:hAnsi="宋体" w:cs="仿宋"/>
          <w:b/>
          <w:bCs/>
          <w:color w:val="000000"/>
          <w:szCs w:val="24"/>
        </w:rPr>
      </w:pPr>
      <w:bookmarkStart w:id="5" w:name="_Toc445382083"/>
      <w:bookmarkStart w:id="6" w:name="_Toc134878969"/>
      <w:bookmarkStart w:id="7" w:name="_Toc445222503"/>
      <w:bookmarkStart w:id="8" w:name="_Toc444271617"/>
      <w:bookmarkStart w:id="9" w:name="_Toc134792893"/>
      <w:bookmarkStart w:id="10" w:name="_Toc134899107"/>
      <w:bookmarkStart w:id="11" w:name="_Toc134792342"/>
      <w:bookmarkStart w:id="12" w:name="_Toc134892623"/>
      <w:bookmarkStart w:id="13" w:name="_Toc531949858"/>
      <w:bookmarkStart w:id="14" w:name="_Toc444088432"/>
      <w:bookmarkStart w:id="15" w:name="_Toc134792410"/>
      <w:bookmarkStart w:id="16" w:name="_Toc134896400"/>
      <w:r>
        <w:rPr>
          <w:rFonts w:hint="eastAsia" w:ascii="宋体" w:hAnsi="宋体" w:cs="仿宋"/>
          <w:b/>
          <w:bCs/>
          <w:color w:val="000000"/>
          <w:szCs w:val="24"/>
        </w:rPr>
        <w:t>评标办法前附表</w:t>
      </w:r>
      <w:bookmarkEnd w:id="5"/>
      <w:bookmarkEnd w:id="6"/>
      <w:bookmarkEnd w:id="7"/>
      <w:bookmarkEnd w:id="8"/>
      <w:bookmarkEnd w:id="9"/>
      <w:bookmarkEnd w:id="10"/>
      <w:bookmarkEnd w:id="11"/>
      <w:bookmarkEnd w:id="12"/>
      <w:bookmarkEnd w:id="13"/>
      <w:bookmarkEnd w:id="14"/>
      <w:bookmarkEnd w:id="15"/>
      <w:bookmarkEnd w:id="16"/>
    </w:p>
    <w:tbl>
      <w:tblPr>
        <w:tblStyle w:val="9"/>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1200"/>
        <w:gridCol w:w="1493"/>
        <w:gridCol w:w="709"/>
        <w:gridCol w:w="3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vAlign w:val="center"/>
          </w:tcPr>
          <w:p>
            <w:pPr>
              <w:spacing w:line="276" w:lineRule="auto"/>
              <w:jc w:val="center"/>
              <w:rPr>
                <w:rFonts w:ascii="宋体" w:hAnsi="宋体"/>
                <w:sz w:val="21"/>
                <w:szCs w:val="21"/>
              </w:rPr>
            </w:pPr>
            <w:r>
              <w:rPr>
                <w:rFonts w:hint="eastAsia" w:ascii="宋体" w:hAnsi="宋体"/>
                <w:sz w:val="21"/>
                <w:szCs w:val="21"/>
              </w:rPr>
              <w:t>条款号</w:t>
            </w:r>
          </w:p>
        </w:tc>
        <w:tc>
          <w:tcPr>
            <w:tcW w:w="1134" w:type="dxa"/>
            <w:vAlign w:val="center"/>
          </w:tcPr>
          <w:p>
            <w:pPr>
              <w:spacing w:line="276" w:lineRule="auto"/>
              <w:jc w:val="center"/>
              <w:rPr>
                <w:rFonts w:ascii="宋体" w:hAnsi="宋体"/>
                <w:sz w:val="21"/>
                <w:szCs w:val="21"/>
              </w:rPr>
            </w:pPr>
            <w:r>
              <w:rPr>
                <w:rFonts w:hint="eastAsia" w:ascii="宋体" w:hAnsi="宋体"/>
                <w:sz w:val="21"/>
                <w:szCs w:val="21"/>
              </w:rPr>
              <w:t>条款名称</w:t>
            </w:r>
          </w:p>
        </w:tc>
        <w:tc>
          <w:tcPr>
            <w:tcW w:w="7363" w:type="dxa"/>
            <w:gridSpan w:val="4"/>
            <w:vAlign w:val="center"/>
          </w:tcPr>
          <w:p>
            <w:pPr>
              <w:spacing w:line="276" w:lineRule="auto"/>
              <w:jc w:val="center"/>
              <w:rPr>
                <w:rFonts w:ascii="宋体" w:hAnsi="宋体"/>
                <w:sz w:val="21"/>
                <w:szCs w:val="21"/>
              </w:rPr>
            </w:pPr>
            <w:r>
              <w:rPr>
                <w:rFonts w:hint="eastAsia" w:ascii="宋体" w:hAnsi="宋体"/>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rFonts w:ascii="宋体" w:hAnsi="宋体"/>
                <w:sz w:val="21"/>
                <w:szCs w:val="21"/>
              </w:rPr>
            </w:pPr>
            <w:r>
              <w:rPr>
                <w:rFonts w:hint="eastAsia" w:ascii="宋体" w:hAnsi="宋体"/>
                <w:sz w:val="21"/>
                <w:szCs w:val="21"/>
              </w:rPr>
              <w:t>1</w:t>
            </w:r>
          </w:p>
        </w:tc>
        <w:tc>
          <w:tcPr>
            <w:tcW w:w="1134" w:type="dxa"/>
            <w:vAlign w:val="center"/>
          </w:tcPr>
          <w:p>
            <w:pPr>
              <w:spacing w:line="276" w:lineRule="auto"/>
              <w:jc w:val="center"/>
              <w:rPr>
                <w:rFonts w:ascii="宋体" w:hAnsi="宋体"/>
                <w:sz w:val="21"/>
                <w:szCs w:val="21"/>
              </w:rPr>
            </w:pPr>
            <w:r>
              <w:rPr>
                <w:rFonts w:hint="eastAsia" w:ascii="宋体" w:hAnsi="宋体"/>
                <w:sz w:val="21"/>
                <w:szCs w:val="21"/>
              </w:rPr>
              <w:t>评标办法</w:t>
            </w:r>
          </w:p>
        </w:tc>
        <w:tc>
          <w:tcPr>
            <w:tcW w:w="7363" w:type="dxa"/>
            <w:gridSpan w:val="4"/>
            <w:vAlign w:val="center"/>
          </w:tcPr>
          <w:p>
            <w:pPr>
              <w:tabs>
                <w:tab w:val="left" w:pos="3060"/>
              </w:tabs>
              <w:snapToGrid w:val="0"/>
              <w:spacing w:line="276" w:lineRule="auto"/>
              <w:rPr>
                <w:rFonts w:ascii="宋体" w:hAnsi="宋体"/>
                <w:kern w:val="2"/>
                <w:sz w:val="21"/>
                <w:szCs w:val="21"/>
              </w:rPr>
            </w:pPr>
            <w:r>
              <w:rPr>
                <w:rFonts w:hint="eastAsia" w:ascii="宋体" w:hAnsi="宋体"/>
                <w:kern w:val="2"/>
                <w:sz w:val="21"/>
                <w:szCs w:val="21"/>
              </w:rPr>
              <w:t>本次评标采用综合评分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tabs>
                <w:tab w:val="left" w:pos="3060"/>
              </w:tabs>
              <w:snapToGrid w:val="0"/>
              <w:spacing w:line="276" w:lineRule="auto"/>
              <w:rPr>
                <w:rFonts w:ascii="宋体" w:hAnsi="宋体"/>
                <w:kern w:val="2"/>
                <w:sz w:val="21"/>
                <w:szCs w:val="21"/>
              </w:rPr>
            </w:pPr>
            <w:r>
              <w:rPr>
                <w:rFonts w:hint="eastAsia" w:ascii="宋体" w:hAnsi="宋体"/>
                <w:kern w:val="2"/>
                <w:sz w:val="21"/>
                <w:szCs w:val="21"/>
              </w:rPr>
              <w:t>（1）评标价低的投标人优先；</w:t>
            </w:r>
          </w:p>
          <w:p>
            <w:pPr>
              <w:tabs>
                <w:tab w:val="left" w:pos="3060"/>
              </w:tabs>
              <w:snapToGrid w:val="0"/>
              <w:spacing w:line="276" w:lineRule="auto"/>
              <w:rPr>
                <w:rFonts w:ascii="宋体" w:hAnsi="宋体"/>
                <w:kern w:val="2"/>
                <w:sz w:val="21"/>
                <w:szCs w:val="21"/>
              </w:rPr>
            </w:pPr>
            <w:r>
              <w:rPr>
                <w:rFonts w:hint="eastAsia" w:ascii="宋体" w:hAnsi="宋体"/>
                <w:kern w:val="2"/>
                <w:sz w:val="21"/>
                <w:szCs w:val="21"/>
              </w:rPr>
              <w:t>（2）暗标技术部分评分较高的投标人优先；</w:t>
            </w:r>
          </w:p>
          <w:p>
            <w:pPr>
              <w:spacing w:line="276" w:lineRule="auto"/>
              <w:ind w:right="113"/>
              <w:rPr>
                <w:rFonts w:ascii="宋体" w:hAnsi="宋体"/>
                <w:kern w:val="2"/>
                <w:sz w:val="21"/>
                <w:szCs w:val="21"/>
              </w:rPr>
            </w:pPr>
            <w:r>
              <w:rPr>
                <w:rFonts w:hint="eastAsia" w:ascii="宋体" w:hAnsi="宋体"/>
                <w:kern w:val="2"/>
                <w:sz w:val="21"/>
                <w:szCs w:val="21"/>
              </w:rPr>
              <w:t>（3）满足资格审查条件（业绩最低要求）要求的施工业绩累计合同金额高的优先。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rFonts w:ascii="宋体" w:hAnsi="宋体"/>
                <w:sz w:val="21"/>
                <w:szCs w:val="21"/>
              </w:rPr>
            </w:pPr>
            <w:r>
              <w:rPr>
                <w:rFonts w:hint="eastAsia" w:ascii="宋体" w:hAnsi="宋体"/>
                <w:sz w:val="21"/>
                <w:szCs w:val="21"/>
              </w:rPr>
              <w:t>2.1.1</w:t>
            </w:r>
          </w:p>
          <w:p>
            <w:pPr>
              <w:spacing w:line="276" w:lineRule="auto"/>
              <w:jc w:val="center"/>
              <w:rPr>
                <w:rFonts w:ascii="宋体" w:hAnsi="宋体"/>
                <w:sz w:val="21"/>
                <w:szCs w:val="21"/>
              </w:rPr>
            </w:pPr>
            <w:r>
              <w:rPr>
                <w:rFonts w:hint="eastAsia" w:ascii="宋体" w:hAnsi="宋体"/>
                <w:sz w:val="21"/>
                <w:szCs w:val="21"/>
              </w:rPr>
              <w:t>2.1.3</w:t>
            </w:r>
          </w:p>
        </w:tc>
        <w:tc>
          <w:tcPr>
            <w:tcW w:w="1134" w:type="dxa"/>
            <w:vAlign w:val="center"/>
          </w:tcPr>
          <w:p>
            <w:pPr>
              <w:spacing w:line="276" w:lineRule="auto"/>
              <w:jc w:val="center"/>
              <w:rPr>
                <w:rFonts w:ascii="宋体" w:hAnsi="宋体"/>
                <w:sz w:val="21"/>
                <w:szCs w:val="21"/>
              </w:rPr>
            </w:pPr>
            <w:r>
              <w:rPr>
                <w:rFonts w:hint="eastAsia" w:ascii="宋体" w:hAnsi="宋体"/>
                <w:sz w:val="21"/>
                <w:szCs w:val="21"/>
              </w:rPr>
              <w:t>形式评审与响应性评审标准</w:t>
            </w:r>
          </w:p>
        </w:tc>
        <w:tc>
          <w:tcPr>
            <w:tcW w:w="7363" w:type="dxa"/>
            <w:gridSpan w:val="4"/>
          </w:tcPr>
          <w:p>
            <w:pPr>
              <w:spacing w:line="276" w:lineRule="auto"/>
              <w:jc w:val="left"/>
              <w:rPr>
                <w:rFonts w:ascii="宋体" w:hAnsi="宋体"/>
                <w:b/>
                <w:bCs/>
                <w:spacing w:val="-4"/>
                <w:sz w:val="21"/>
                <w:szCs w:val="21"/>
              </w:rPr>
            </w:pPr>
            <w:r>
              <w:rPr>
                <w:rFonts w:hint="eastAsia" w:ascii="宋体" w:hAnsi="宋体"/>
                <w:b/>
                <w:bCs/>
                <w:spacing w:val="-4"/>
                <w:sz w:val="21"/>
                <w:szCs w:val="21"/>
              </w:rPr>
              <w:t>第一个信封（商务文件）评审标准:</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（1）投标文件按照招标文件规定的格式、内容填写，字迹清晰可辨：</w:t>
            </w:r>
          </w:p>
          <w:p>
            <w:pPr>
              <w:spacing w:line="276" w:lineRule="auto"/>
              <w:ind w:firstLine="505" w:firstLineChars="250"/>
              <w:jc w:val="left"/>
              <w:rPr>
                <w:rFonts w:ascii="宋体" w:hAnsi="宋体"/>
                <w:spacing w:val="-4"/>
                <w:sz w:val="21"/>
                <w:szCs w:val="21"/>
              </w:rPr>
            </w:pPr>
            <w:r>
              <w:rPr>
                <w:rFonts w:hint="eastAsia" w:ascii="宋体" w:hAnsi="宋体"/>
                <w:spacing w:val="-4"/>
                <w:sz w:val="21"/>
                <w:szCs w:val="21"/>
              </w:rPr>
              <w:t>a.</w:t>
            </w:r>
            <w:r>
              <w:rPr>
                <w:rFonts w:hint="eastAsia" w:ascii="宋体" w:hAnsi="宋体" w:cs="宋体"/>
                <w:kern w:val="2"/>
                <w:sz w:val="21"/>
                <w:szCs w:val="21"/>
              </w:rPr>
              <w:t xml:space="preserve"> </w:t>
            </w:r>
            <w:r>
              <w:rPr>
                <w:rFonts w:hint="eastAsia" w:ascii="宋体" w:hAnsi="宋体"/>
                <w:spacing w:val="-4"/>
                <w:sz w:val="21"/>
                <w:szCs w:val="21"/>
              </w:rPr>
              <w:t>投标函按招标文件规定填报了项目名称、补遗书编号（如有）、工程质量、安全目标、工期、项目经理等信息；</w:t>
            </w:r>
          </w:p>
          <w:p>
            <w:pPr>
              <w:spacing w:line="276" w:lineRule="auto"/>
              <w:ind w:firstLine="505" w:firstLineChars="250"/>
              <w:jc w:val="left"/>
              <w:rPr>
                <w:rFonts w:ascii="宋体" w:hAnsi="宋体"/>
                <w:spacing w:val="-4"/>
                <w:sz w:val="21"/>
                <w:szCs w:val="21"/>
              </w:rPr>
            </w:pPr>
            <w:r>
              <w:rPr>
                <w:rFonts w:hint="eastAsia" w:ascii="宋体" w:hAnsi="宋体"/>
                <w:spacing w:val="-4"/>
                <w:sz w:val="21"/>
                <w:szCs w:val="21"/>
              </w:rPr>
              <w:t>b</w:t>
            </w:r>
            <w:r>
              <w:rPr>
                <w:rFonts w:ascii="宋体" w:hAnsi="宋体"/>
                <w:spacing w:val="-4"/>
                <w:sz w:val="21"/>
                <w:szCs w:val="21"/>
              </w:rPr>
              <w:t>.</w:t>
            </w:r>
            <w:r>
              <w:rPr>
                <w:rFonts w:hint="eastAsia" w:ascii="宋体" w:hAnsi="宋体"/>
                <w:spacing w:val="-4"/>
                <w:sz w:val="21"/>
                <w:szCs w:val="21"/>
              </w:rPr>
              <w:t>投标函附录的所有数据均符合招标文件规定；</w:t>
            </w:r>
          </w:p>
          <w:p>
            <w:pPr>
              <w:spacing w:line="276" w:lineRule="auto"/>
              <w:ind w:firstLine="505" w:firstLineChars="250"/>
              <w:jc w:val="left"/>
              <w:rPr>
                <w:rFonts w:ascii="宋体" w:hAnsi="宋体"/>
                <w:spacing w:val="-4"/>
                <w:sz w:val="21"/>
                <w:szCs w:val="21"/>
              </w:rPr>
            </w:pPr>
            <w:r>
              <w:rPr>
                <w:rFonts w:ascii="宋体" w:hAnsi="宋体"/>
                <w:spacing w:val="-4"/>
                <w:sz w:val="21"/>
                <w:szCs w:val="21"/>
              </w:rPr>
              <w:t>c</w:t>
            </w:r>
            <w:r>
              <w:rPr>
                <w:rFonts w:hint="eastAsia" w:ascii="宋体" w:hAnsi="宋体"/>
                <w:spacing w:val="-4"/>
                <w:sz w:val="21"/>
                <w:szCs w:val="21"/>
              </w:rPr>
              <w:t>.投标文件组成齐全完整，内容均按规定填写。</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（2）投标文件上法定代表人或其授权代理人的签字、投标人的单位章盖章齐全，符合招标文件规定。</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（3）投标人按照招标文件规定的金额、形式、时效和内容提供了投标保证金：</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a.投标保证金金额符合招标文件规定的金额，且投标保证金有效期不少于投标有效期；</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b.若投标保证金采用电汇或转账形式提交，投标人应在递交投标文件截止时间之前，将投标保证金由投标人的基本账户转入招标人指定账户；</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c.若投标保证金采用保函形式提交，开具的保函满足招标文件要求；</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d</w:t>
            </w:r>
            <w:r>
              <w:rPr>
                <w:rFonts w:ascii="宋体" w:hAnsi="宋体"/>
                <w:spacing w:val="-4"/>
                <w:sz w:val="21"/>
                <w:szCs w:val="21"/>
              </w:rPr>
              <w:t>.</w:t>
            </w:r>
            <w:r>
              <w:rPr>
                <w:rFonts w:hint="eastAsia" w:ascii="宋体" w:hAnsi="宋体"/>
                <w:spacing w:val="-4"/>
                <w:sz w:val="21"/>
                <w:szCs w:val="21"/>
              </w:rPr>
              <w:t>若投标保证金采用保证保险形式提交，开具的保证保险满足招标文件要求。</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（4）投标人法定代表人授权委托代理人签署投标文件的，提供了授权委托书，符合招标文件规定。</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（5）投标人法定代表人若亲自签署投标文件的，提供了法定代表人身份证明，符合招标文件规定。</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w:t>
            </w:r>
            <w:r>
              <w:rPr>
                <w:rFonts w:ascii="宋体" w:hAnsi="宋体"/>
                <w:spacing w:val="-4"/>
                <w:sz w:val="21"/>
                <w:szCs w:val="21"/>
              </w:rPr>
              <w:t>6</w:t>
            </w:r>
            <w:r>
              <w:rPr>
                <w:rFonts w:hint="eastAsia" w:ascii="宋体" w:hAnsi="宋体"/>
                <w:spacing w:val="-4"/>
                <w:sz w:val="21"/>
                <w:szCs w:val="21"/>
              </w:rPr>
              <w:t>）投标人未以联合体形式投标。</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w:t>
            </w:r>
            <w:r>
              <w:rPr>
                <w:rFonts w:ascii="宋体" w:hAnsi="宋体"/>
                <w:spacing w:val="-4"/>
                <w:sz w:val="21"/>
                <w:szCs w:val="21"/>
              </w:rPr>
              <w:t>7</w:t>
            </w:r>
            <w:r>
              <w:rPr>
                <w:rFonts w:hint="eastAsia" w:ascii="宋体" w:hAnsi="宋体"/>
                <w:spacing w:val="-4"/>
                <w:sz w:val="21"/>
                <w:szCs w:val="21"/>
              </w:rPr>
              <w:t>）投标人如有分包计划，符合招标文件第二章“投标人须知”第1.11款规定，且按招标文件第九章“投标文件格式”的要求填写了“拟分包项目情况表”。</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（8）同一投标人未提交两个以上不同的投标文件。</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（9）投标文件中未出现有关投标报价的内容。</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（10）投标文件载明的招标项目完成期限符合招标文件规定。</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（11）投标文件对招标文件的实质性要求和条件作出响应。</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（12）权利义务符合招标文件规定：</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a.投标人应接受招标文件规定的风险划分原则，未提出新的风险划分办法；</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b.投标人未增加发包人的责任范围，或减少投标人义务；</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c.投标人未提出不同的工程验收、计量、支付办法；</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d.投标人对合同纠纷、事故处理办法未提出异议；</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e.投标人在投标活动中无欺诈行为；</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f.投标人未对合同条款有重要保留。</w:t>
            </w:r>
          </w:p>
          <w:p>
            <w:pPr>
              <w:spacing w:line="276" w:lineRule="auto"/>
              <w:jc w:val="left"/>
              <w:rPr>
                <w:szCs w:val="21"/>
              </w:rPr>
            </w:pPr>
            <w:r>
              <w:rPr>
                <w:rFonts w:ascii="宋体" w:hAnsi="宋体"/>
                <w:b/>
                <w:bCs/>
                <w:spacing w:val="-4"/>
                <w:sz w:val="21"/>
                <w:szCs w:val="21"/>
              </w:rPr>
              <w:t>第一个信封（</w:t>
            </w:r>
            <w:r>
              <w:rPr>
                <w:rFonts w:hint="eastAsia" w:ascii="宋体" w:hAnsi="宋体"/>
                <w:b/>
                <w:bCs/>
                <w:spacing w:val="-4"/>
                <w:sz w:val="21"/>
                <w:szCs w:val="21"/>
              </w:rPr>
              <w:t>技术文件</w:t>
            </w:r>
            <w:r>
              <w:rPr>
                <w:rFonts w:ascii="宋体" w:hAnsi="宋体"/>
                <w:b/>
                <w:bCs/>
                <w:spacing w:val="-4"/>
                <w:sz w:val="21"/>
                <w:szCs w:val="21"/>
              </w:rPr>
              <w:t>）评审标准：</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（1）</w:t>
            </w:r>
            <w:r>
              <w:rPr>
                <w:rFonts w:ascii="宋体" w:hAnsi="宋体" w:cs="宋体"/>
                <w:kern w:val="2"/>
                <w:sz w:val="21"/>
                <w:szCs w:val="21"/>
              </w:rPr>
              <w:t>暗标部分按照招标文件对暗标编制的相关规定编制</w:t>
            </w:r>
            <w:r>
              <w:rPr>
                <w:rFonts w:hint="eastAsia" w:ascii="宋体" w:hAnsi="宋体" w:cs="宋体"/>
                <w:kern w:val="2"/>
                <w:sz w:val="21"/>
                <w:szCs w:val="21"/>
              </w:rPr>
              <w:t>，具体详见投标人须知前附表</w:t>
            </w:r>
            <w:r>
              <w:rPr>
                <w:rFonts w:ascii="宋体" w:hAnsi="宋体" w:cs="宋体"/>
                <w:kern w:val="2"/>
                <w:sz w:val="21"/>
                <w:szCs w:val="21"/>
              </w:rPr>
              <w:t>3.7.3</w:t>
            </w:r>
            <w:r>
              <w:rPr>
                <w:rFonts w:hint="eastAsia" w:ascii="宋体" w:hAnsi="宋体" w:cs="宋体"/>
                <w:kern w:val="2"/>
                <w:sz w:val="21"/>
                <w:szCs w:val="21"/>
              </w:rPr>
              <w:t>（7）。</w:t>
            </w:r>
          </w:p>
          <w:p>
            <w:pPr>
              <w:spacing w:line="276" w:lineRule="auto"/>
              <w:jc w:val="left"/>
              <w:rPr>
                <w:rFonts w:ascii="宋体" w:hAnsi="宋体"/>
                <w:b/>
                <w:bCs/>
                <w:spacing w:val="-4"/>
                <w:sz w:val="21"/>
                <w:szCs w:val="21"/>
              </w:rPr>
            </w:pPr>
            <w:r>
              <w:rPr>
                <w:rFonts w:hint="eastAsia" w:ascii="宋体" w:hAnsi="宋体"/>
                <w:b/>
                <w:bCs/>
                <w:spacing w:val="-4"/>
                <w:sz w:val="21"/>
                <w:szCs w:val="21"/>
              </w:rPr>
              <w:t>第二个信封（报价文件）评审标准：</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1</w:t>
            </w:r>
            <w:r>
              <w:rPr>
                <w:rFonts w:hint="eastAsia" w:ascii="宋体" w:hAnsi="宋体" w:cs="宋体"/>
                <w:kern w:val="2"/>
                <w:sz w:val="21"/>
                <w:szCs w:val="21"/>
              </w:rPr>
              <w:t>）</w:t>
            </w:r>
            <w:r>
              <w:rPr>
                <w:rFonts w:hint="eastAsia" w:ascii="宋体" w:hAnsi="宋体"/>
                <w:spacing w:val="-4"/>
                <w:kern w:val="2"/>
                <w:sz w:val="21"/>
                <w:szCs w:val="21"/>
              </w:rPr>
              <w:t>投标文件按照招标文件规定的格式、内容填写，字迹清晰可辨，内容齐全完整</w:t>
            </w:r>
            <w:r>
              <w:rPr>
                <w:rFonts w:hint="eastAsia" w:ascii="宋体" w:hAnsi="宋体" w:cs="宋体"/>
                <w:kern w:val="2"/>
                <w:sz w:val="21"/>
                <w:szCs w:val="21"/>
              </w:rPr>
              <w:t>；</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a．投标函按照招标文件规定填报了项目名称、补遗书编号（如有）、投标价（包括大写金额和小写金额）。</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b．已标价工程量清单说明文字与招标文件规定一致，未进行实质性修改和删减；</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c．投标文件组成齐全完整，内容均按规定填写。</w:t>
            </w:r>
          </w:p>
          <w:p>
            <w:pPr>
              <w:spacing w:line="276" w:lineRule="auto"/>
              <w:ind w:firstLine="386" w:firstLineChars="184"/>
              <w:jc w:val="left"/>
              <w:rPr>
                <w:rFonts w:ascii="宋体" w:hAnsi="宋体" w:cs="宋体"/>
                <w:bCs/>
                <w:kern w:val="2"/>
                <w:sz w:val="21"/>
                <w:szCs w:val="21"/>
              </w:rPr>
            </w:pPr>
            <w:r>
              <w:rPr>
                <w:rFonts w:hint="eastAsia" w:ascii="宋体" w:hAnsi="宋体" w:cs="宋体"/>
                <w:kern w:val="2"/>
                <w:sz w:val="21"/>
                <w:szCs w:val="21"/>
              </w:rPr>
              <w:t>（</w:t>
            </w:r>
            <w:r>
              <w:rPr>
                <w:rFonts w:ascii="宋体" w:hAnsi="宋体" w:cs="宋体"/>
                <w:kern w:val="2"/>
                <w:sz w:val="21"/>
                <w:szCs w:val="21"/>
              </w:rPr>
              <w:t>2</w:t>
            </w:r>
            <w:r>
              <w:rPr>
                <w:rFonts w:hint="eastAsia" w:ascii="宋体" w:hAnsi="宋体" w:cs="宋体"/>
                <w:kern w:val="2"/>
                <w:sz w:val="21"/>
                <w:szCs w:val="21"/>
              </w:rPr>
              <w:t>）</w:t>
            </w:r>
            <w:r>
              <w:rPr>
                <w:rFonts w:hint="eastAsia" w:ascii="宋体" w:hAnsi="宋体"/>
                <w:spacing w:val="-4"/>
                <w:sz w:val="21"/>
                <w:szCs w:val="21"/>
              </w:rPr>
              <w:t>投标文件上法定代表人或其授权代理人的签字、投标人的单位章盖章齐全，符合招标文件规定</w:t>
            </w:r>
            <w:r>
              <w:rPr>
                <w:rFonts w:hint="eastAsia" w:ascii="宋体" w:hAnsi="宋体" w:cs="宋体"/>
                <w:kern w:val="2"/>
                <w:sz w:val="21"/>
                <w:szCs w:val="21"/>
              </w:rPr>
              <w:t>；</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3</w:t>
            </w:r>
            <w:r>
              <w:rPr>
                <w:rFonts w:hint="eastAsia" w:ascii="宋体" w:hAnsi="宋体" w:cs="宋体"/>
                <w:kern w:val="2"/>
                <w:sz w:val="21"/>
                <w:szCs w:val="21"/>
              </w:rPr>
              <w:t>）</w:t>
            </w:r>
            <w:r>
              <w:rPr>
                <w:rFonts w:hint="eastAsia" w:ascii="宋体" w:hAnsi="宋体"/>
                <w:spacing w:val="-4"/>
                <w:kern w:val="2"/>
                <w:sz w:val="21"/>
                <w:szCs w:val="21"/>
              </w:rPr>
              <w:t>投标报价未超过招标文件设定的最高投标限价</w:t>
            </w:r>
            <w:r>
              <w:rPr>
                <w:rFonts w:hint="eastAsia" w:ascii="宋体" w:hAnsi="宋体" w:cs="宋体"/>
                <w:kern w:val="2"/>
                <w:sz w:val="21"/>
                <w:szCs w:val="21"/>
              </w:rPr>
              <w:t>；</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4</w:t>
            </w:r>
            <w:r>
              <w:rPr>
                <w:rFonts w:hint="eastAsia" w:ascii="宋体" w:hAnsi="宋体" w:cs="宋体"/>
                <w:kern w:val="2"/>
                <w:sz w:val="21"/>
                <w:szCs w:val="21"/>
              </w:rPr>
              <w:t>）投标报价的大写金额能够确定具体数值；</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5</w:t>
            </w:r>
            <w:r>
              <w:rPr>
                <w:rFonts w:hint="eastAsia" w:ascii="宋体" w:hAnsi="宋体" w:cs="宋体"/>
                <w:kern w:val="2"/>
                <w:sz w:val="21"/>
                <w:szCs w:val="21"/>
              </w:rPr>
              <w:t>）</w:t>
            </w:r>
            <w:r>
              <w:rPr>
                <w:rFonts w:hint="eastAsia" w:ascii="宋体" w:hAnsi="宋体"/>
                <w:spacing w:val="-4"/>
                <w:sz w:val="21"/>
                <w:szCs w:val="21"/>
              </w:rPr>
              <w:t>同一投标人未提交两个以上不同的投标报价</w:t>
            </w:r>
            <w:r>
              <w:rPr>
                <w:rFonts w:hint="eastAsia" w:ascii="宋体" w:hAnsi="宋体" w:cs="宋体"/>
                <w:kern w:val="2"/>
                <w:sz w:val="21"/>
                <w:szCs w:val="21"/>
              </w:rPr>
              <w:t>；</w:t>
            </w:r>
          </w:p>
          <w:p>
            <w:pPr>
              <w:spacing w:line="276" w:lineRule="auto"/>
              <w:ind w:firstLine="386" w:firstLineChars="184"/>
              <w:jc w:val="left"/>
              <w:rPr>
                <w:rFonts w:ascii="宋体" w:hAnsi="宋体" w:cs="宋体"/>
                <w:kern w:val="2"/>
                <w:sz w:val="21"/>
                <w:szCs w:val="21"/>
              </w:rPr>
            </w:pPr>
            <w:bookmarkStart w:id="17" w:name="_Hlk134901354"/>
            <w:r>
              <w:rPr>
                <w:rFonts w:hint="eastAsia" w:ascii="宋体" w:hAnsi="宋体" w:cs="宋体"/>
                <w:kern w:val="2"/>
                <w:sz w:val="21"/>
                <w:szCs w:val="21"/>
              </w:rPr>
              <w:t>（</w:t>
            </w:r>
            <w:r>
              <w:rPr>
                <w:rFonts w:ascii="宋体" w:hAnsi="宋体" w:cs="宋体"/>
                <w:kern w:val="2"/>
                <w:sz w:val="21"/>
                <w:szCs w:val="21"/>
              </w:rPr>
              <w:t>6</w:t>
            </w:r>
            <w:r>
              <w:rPr>
                <w:rFonts w:hint="eastAsia" w:ascii="宋体" w:hAnsi="宋体" w:cs="宋体"/>
                <w:kern w:val="2"/>
                <w:sz w:val="21"/>
                <w:szCs w:val="21"/>
              </w:rPr>
              <w:t>）</w:t>
            </w:r>
            <w:r>
              <w:rPr>
                <w:rFonts w:ascii="宋体" w:hAnsi="宋体" w:cs="宋体"/>
                <w:kern w:val="2"/>
                <w:sz w:val="21"/>
                <w:szCs w:val="21"/>
              </w:rPr>
              <w:t>投标人未提交调价函</w:t>
            </w:r>
            <w:r>
              <w:rPr>
                <w:rFonts w:hint="eastAsia" w:ascii="宋体" w:hAnsi="宋体" w:cs="宋体"/>
                <w:kern w:val="2"/>
                <w:sz w:val="21"/>
                <w:szCs w:val="21"/>
              </w:rPr>
              <w:t>。</w:t>
            </w:r>
          </w:p>
          <w:bookmarkEnd w:id="17"/>
          <w:p>
            <w:pPr>
              <w:spacing w:line="276" w:lineRule="auto"/>
              <w:ind w:firstLine="420" w:firstLineChars="200"/>
              <w:jc w:val="left"/>
              <w:rPr>
                <w:rFonts w:ascii="宋体" w:hAnsi="宋体"/>
                <w:spacing w:val="-4"/>
                <w:sz w:val="21"/>
                <w:szCs w:val="21"/>
              </w:rPr>
            </w:pPr>
            <w:r>
              <w:rPr>
                <w:rFonts w:ascii="宋体" w:hAnsi="宋体" w:cs="宋体"/>
                <w:kern w:val="2"/>
                <w:sz w:val="21"/>
                <w:szCs w:val="21"/>
              </w:rPr>
              <w:t>（7）</w:t>
            </w:r>
            <w:r>
              <w:rPr>
                <w:rFonts w:hint="eastAsia" w:ascii="宋体" w:hAnsi="宋体" w:cs="宋体"/>
                <w:kern w:val="2"/>
                <w:sz w:val="21"/>
                <w:szCs w:val="21"/>
              </w:rPr>
              <w:t>投标人填写完毕的工程量清单未对招标人提供的工程量固化清单电子文件中的数据、格式和运算定义进行修改；工程量清单中的投标报价和投标函大写金额报价一致</w:t>
            </w:r>
            <w:r>
              <w:rPr>
                <w:rFonts w:hint="eastAsia" w:ascii="宋体" w:hAnsi="宋体"/>
                <w:spacing w:val="-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rFonts w:ascii="宋体" w:hAnsi="宋体"/>
                <w:sz w:val="21"/>
                <w:szCs w:val="21"/>
              </w:rPr>
            </w:pPr>
            <w:r>
              <w:rPr>
                <w:rFonts w:hint="eastAsia" w:ascii="宋体" w:hAnsi="宋体"/>
                <w:sz w:val="21"/>
                <w:szCs w:val="21"/>
              </w:rPr>
              <w:t>2.1.2</w:t>
            </w:r>
          </w:p>
        </w:tc>
        <w:tc>
          <w:tcPr>
            <w:tcW w:w="1134" w:type="dxa"/>
            <w:vAlign w:val="center"/>
          </w:tcPr>
          <w:p>
            <w:pPr>
              <w:spacing w:line="276" w:lineRule="auto"/>
              <w:jc w:val="center"/>
              <w:rPr>
                <w:rFonts w:ascii="宋体" w:hAnsi="宋体"/>
                <w:sz w:val="21"/>
                <w:szCs w:val="21"/>
              </w:rPr>
            </w:pPr>
            <w:r>
              <w:rPr>
                <w:rFonts w:hint="eastAsia" w:ascii="宋体" w:hAnsi="宋体"/>
                <w:sz w:val="21"/>
                <w:szCs w:val="21"/>
              </w:rPr>
              <w:t>资格评审标准</w:t>
            </w:r>
          </w:p>
        </w:tc>
        <w:tc>
          <w:tcPr>
            <w:tcW w:w="7363" w:type="dxa"/>
            <w:gridSpan w:val="4"/>
          </w:tcPr>
          <w:p>
            <w:pPr>
              <w:spacing w:line="276" w:lineRule="auto"/>
              <w:ind w:firstLine="420" w:firstLineChars="200"/>
              <w:jc w:val="left"/>
              <w:rPr>
                <w:rFonts w:ascii="宋体" w:hAnsi="宋体"/>
                <w:bCs/>
                <w:sz w:val="21"/>
                <w:szCs w:val="21"/>
              </w:rPr>
            </w:pPr>
            <w:r>
              <w:rPr>
                <w:rFonts w:hint="eastAsia" w:ascii="宋体" w:hAnsi="宋体"/>
                <w:sz w:val="21"/>
                <w:szCs w:val="21"/>
              </w:rPr>
              <w:t>（1）投标</w:t>
            </w:r>
            <w:r>
              <w:rPr>
                <w:rFonts w:hint="eastAsia" w:ascii="宋体" w:hAnsi="宋体"/>
                <w:bCs/>
                <w:sz w:val="21"/>
                <w:szCs w:val="21"/>
              </w:rPr>
              <w:t>人具备有效的营业执照、资质证书、安全生产许可证和基本账户开户许可证（或基本存款账户信息）。</w:t>
            </w:r>
          </w:p>
          <w:p>
            <w:pPr>
              <w:spacing w:line="276" w:lineRule="auto"/>
              <w:ind w:firstLine="420" w:firstLineChars="200"/>
              <w:jc w:val="left"/>
              <w:rPr>
                <w:rFonts w:ascii="宋体" w:hAnsi="宋体"/>
                <w:bCs/>
                <w:sz w:val="21"/>
                <w:szCs w:val="21"/>
              </w:rPr>
            </w:pPr>
            <w:r>
              <w:rPr>
                <w:rFonts w:hint="eastAsia" w:ascii="宋体" w:hAnsi="宋体"/>
                <w:bCs/>
                <w:sz w:val="21"/>
                <w:szCs w:val="21"/>
              </w:rPr>
              <w:t>（2）投标人的资质等级符合招标文件规定。</w:t>
            </w:r>
          </w:p>
          <w:p>
            <w:pPr>
              <w:spacing w:line="276" w:lineRule="auto"/>
              <w:ind w:firstLine="420" w:firstLineChars="200"/>
              <w:jc w:val="left"/>
              <w:rPr>
                <w:rFonts w:ascii="宋体" w:hAnsi="宋体"/>
                <w:bCs/>
                <w:sz w:val="21"/>
                <w:szCs w:val="21"/>
              </w:rPr>
            </w:pPr>
            <w:r>
              <w:rPr>
                <w:rFonts w:hint="eastAsia" w:ascii="宋体" w:hAnsi="宋体"/>
                <w:bCs/>
                <w:sz w:val="21"/>
                <w:szCs w:val="21"/>
              </w:rPr>
              <w:t>（3）投标人的财务状况符合招标文件规定。</w:t>
            </w:r>
          </w:p>
          <w:p>
            <w:pPr>
              <w:spacing w:line="276" w:lineRule="auto"/>
              <w:ind w:firstLine="420" w:firstLineChars="200"/>
              <w:jc w:val="left"/>
              <w:rPr>
                <w:rFonts w:ascii="宋体" w:hAnsi="宋体"/>
                <w:bCs/>
                <w:sz w:val="21"/>
                <w:szCs w:val="21"/>
              </w:rPr>
            </w:pPr>
            <w:r>
              <w:rPr>
                <w:rFonts w:hint="eastAsia" w:ascii="宋体" w:hAnsi="宋体"/>
                <w:bCs/>
                <w:sz w:val="21"/>
                <w:szCs w:val="21"/>
              </w:rPr>
              <w:t>（4）投标人的业绩符合招标文件规定。</w:t>
            </w:r>
          </w:p>
          <w:p>
            <w:pPr>
              <w:spacing w:line="276" w:lineRule="auto"/>
              <w:ind w:firstLine="420" w:firstLineChars="200"/>
              <w:jc w:val="left"/>
              <w:rPr>
                <w:rFonts w:ascii="宋体" w:hAnsi="宋体"/>
                <w:bCs/>
                <w:sz w:val="21"/>
                <w:szCs w:val="21"/>
              </w:rPr>
            </w:pPr>
            <w:r>
              <w:rPr>
                <w:rFonts w:hint="eastAsia" w:ascii="宋体" w:hAnsi="宋体"/>
                <w:bCs/>
                <w:sz w:val="21"/>
                <w:szCs w:val="21"/>
              </w:rPr>
              <w:t>（5）投标人的信誉符合招标文件规定。</w:t>
            </w:r>
          </w:p>
          <w:p>
            <w:pPr>
              <w:spacing w:line="276" w:lineRule="auto"/>
              <w:ind w:firstLine="420" w:firstLineChars="200"/>
              <w:jc w:val="left"/>
              <w:rPr>
                <w:rFonts w:ascii="宋体" w:hAnsi="宋体"/>
                <w:bCs/>
                <w:sz w:val="21"/>
                <w:szCs w:val="21"/>
              </w:rPr>
            </w:pPr>
            <w:r>
              <w:rPr>
                <w:rFonts w:hint="eastAsia" w:ascii="宋体" w:hAnsi="宋体"/>
                <w:bCs/>
                <w:sz w:val="21"/>
                <w:szCs w:val="21"/>
              </w:rPr>
              <w:t>（6）投标人的项目经理资格符合招标文件规定。</w:t>
            </w:r>
          </w:p>
          <w:p>
            <w:pPr>
              <w:spacing w:line="276" w:lineRule="auto"/>
              <w:ind w:firstLine="420" w:firstLineChars="200"/>
              <w:jc w:val="left"/>
              <w:rPr>
                <w:rFonts w:ascii="宋体" w:hAnsi="宋体"/>
                <w:bCs/>
                <w:sz w:val="21"/>
                <w:szCs w:val="21"/>
              </w:rPr>
            </w:pPr>
            <w:r>
              <w:rPr>
                <w:rFonts w:hint="eastAsia" w:ascii="宋体" w:hAnsi="宋体"/>
                <w:bCs/>
                <w:sz w:val="21"/>
                <w:szCs w:val="21"/>
              </w:rPr>
              <w:t>（7）投标人不存在第二章“投标人须知”第 1.4.3 项或第 1.4.4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rFonts w:ascii="宋体" w:hAnsi="宋体"/>
                <w:sz w:val="21"/>
                <w:szCs w:val="21"/>
              </w:rPr>
            </w:pPr>
            <w:r>
              <w:rPr>
                <w:rFonts w:hint="eastAsia" w:ascii="宋体" w:hAnsi="宋体"/>
                <w:sz w:val="21"/>
                <w:szCs w:val="21"/>
              </w:rPr>
              <w:t>2.2.1</w:t>
            </w:r>
          </w:p>
        </w:tc>
        <w:tc>
          <w:tcPr>
            <w:tcW w:w="1134" w:type="dxa"/>
            <w:vAlign w:val="center"/>
          </w:tcPr>
          <w:p>
            <w:pPr>
              <w:snapToGrid w:val="0"/>
              <w:spacing w:line="276" w:lineRule="auto"/>
              <w:ind w:right="113"/>
              <w:jc w:val="center"/>
              <w:rPr>
                <w:rFonts w:ascii="宋体" w:hAnsi="宋体"/>
                <w:sz w:val="21"/>
                <w:szCs w:val="21"/>
              </w:rPr>
            </w:pPr>
            <w:r>
              <w:rPr>
                <w:rFonts w:hint="eastAsia" w:ascii="宋体" w:hAnsi="宋体"/>
                <w:sz w:val="21"/>
                <w:szCs w:val="21"/>
              </w:rPr>
              <w:t>分值构成（总分100分）</w:t>
            </w:r>
          </w:p>
        </w:tc>
        <w:tc>
          <w:tcPr>
            <w:tcW w:w="7363" w:type="dxa"/>
            <w:gridSpan w:val="4"/>
            <w:vAlign w:val="center"/>
          </w:tcPr>
          <w:p>
            <w:pPr>
              <w:spacing w:line="276" w:lineRule="auto"/>
              <w:jc w:val="left"/>
              <w:rPr>
                <w:rFonts w:ascii="宋体" w:hAnsi="宋体"/>
                <w:sz w:val="21"/>
                <w:szCs w:val="21"/>
              </w:rPr>
            </w:pPr>
            <w:r>
              <w:rPr>
                <w:rFonts w:hint="eastAsia" w:ascii="宋体" w:hAnsi="宋体"/>
                <w:sz w:val="21"/>
                <w:szCs w:val="21"/>
              </w:rPr>
              <w:t>本款修改为：</w:t>
            </w:r>
          </w:p>
          <w:p>
            <w:pPr>
              <w:spacing w:line="276" w:lineRule="auto"/>
              <w:jc w:val="left"/>
              <w:rPr>
                <w:rFonts w:ascii="宋体" w:hAnsi="宋体"/>
                <w:b/>
                <w:bCs/>
                <w:sz w:val="21"/>
                <w:szCs w:val="21"/>
              </w:rPr>
            </w:pPr>
            <w:r>
              <w:rPr>
                <w:rFonts w:hint="eastAsia" w:ascii="宋体" w:hAnsi="宋体"/>
                <w:b/>
                <w:bCs/>
                <w:sz w:val="21"/>
                <w:szCs w:val="21"/>
              </w:rPr>
              <w:t>第一个信封（商务及技术文件）评分分值构成：</w:t>
            </w:r>
          </w:p>
          <w:p>
            <w:pPr>
              <w:spacing w:line="276" w:lineRule="auto"/>
              <w:jc w:val="left"/>
              <w:rPr>
                <w:rFonts w:ascii="宋体" w:hAnsi="宋体"/>
                <w:sz w:val="21"/>
                <w:szCs w:val="21"/>
              </w:rPr>
            </w:pPr>
            <w:r>
              <w:rPr>
                <w:rFonts w:hint="eastAsia" w:ascii="宋体" w:hAnsi="宋体"/>
                <w:sz w:val="21"/>
                <w:szCs w:val="21"/>
              </w:rPr>
              <w:t>（1）施工组织设计：</w:t>
            </w:r>
            <w:r>
              <w:rPr>
                <w:rFonts w:ascii="宋体" w:hAnsi="宋体"/>
                <w:sz w:val="21"/>
                <w:szCs w:val="21"/>
              </w:rPr>
              <w:t>20</w:t>
            </w:r>
            <w:r>
              <w:rPr>
                <w:rFonts w:hint="eastAsia" w:ascii="宋体" w:hAnsi="宋体"/>
                <w:sz w:val="21"/>
                <w:szCs w:val="21"/>
              </w:rPr>
              <w:t>分</w:t>
            </w:r>
          </w:p>
          <w:p>
            <w:pPr>
              <w:spacing w:line="276" w:lineRule="auto"/>
              <w:jc w:val="left"/>
              <w:rPr>
                <w:rFonts w:ascii="宋体" w:hAnsi="宋体"/>
                <w:sz w:val="21"/>
                <w:szCs w:val="21"/>
              </w:rPr>
            </w:pPr>
            <w:r>
              <w:rPr>
                <w:rFonts w:hint="eastAsia" w:ascii="宋体" w:hAnsi="宋体"/>
                <w:sz w:val="21"/>
                <w:szCs w:val="21"/>
              </w:rPr>
              <w:t>（2）主要人员：</w:t>
            </w:r>
            <w:r>
              <w:rPr>
                <w:rFonts w:ascii="宋体" w:hAnsi="宋体"/>
                <w:sz w:val="21"/>
                <w:szCs w:val="21"/>
              </w:rPr>
              <w:t>10</w:t>
            </w:r>
            <w:r>
              <w:rPr>
                <w:rFonts w:hint="eastAsia" w:ascii="宋体" w:hAnsi="宋体"/>
                <w:sz w:val="21"/>
                <w:szCs w:val="21"/>
              </w:rPr>
              <w:t>分</w:t>
            </w:r>
          </w:p>
          <w:p>
            <w:pPr>
              <w:spacing w:line="276" w:lineRule="auto"/>
              <w:jc w:val="left"/>
              <w:rPr>
                <w:rFonts w:ascii="宋体" w:hAnsi="宋体"/>
                <w:sz w:val="21"/>
                <w:szCs w:val="21"/>
              </w:rPr>
            </w:pPr>
            <w:r>
              <w:rPr>
                <w:rFonts w:hint="eastAsia" w:ascii="宋体" w:hAnsi="宋体"/>
                <w:sz w:val="21"/>
                <w:szCs w:val="21"/>
              </w:rPr>
              <w:t>（</w:t>
            </w:r>
            <w:r>
              <w:rPr>
                <w:rFonts w:ascii="宋体" w:hAnsi="宋体"/>
                <w:sz w:val="21"/>
                <w:szCs w:val="21"/>
              </w:rPr>
              <w:t>3</w:t>
            </w:r>
            <w:r>
              <w:rPr>
                <w:rFonts w:hint="eastAsia" w:ascii="宋体" w:hAnsi="宋体"/>
                <w:sz w:val="21"/>
                <w:szCs w:val="21"/>
              </w:rPr>
              <w:t>）其他评分因素：</w:t>
            </w:r>
            <w:r>
              <w:rPr>
                <w:rFonts w:ascii="宋体" w:hAnsi="宋体"/>
                <w:sz w:val="21"/>
                <w:szCs w:val="21"/>
              </w:rPr>
              <w:t>10</w:t>
            </w:r>
            <w:r>
              <w:rPr>
                <w:rFonts w:hint="eastAsia" w:ascii="宋体" w:hAnsi="宋体"/>
                <w:sz w:val="21"/>
                <w:szCs w:val="21"/>
              </w:rPr>
              <w:t>分</w:t>
            </w:r>
          </w:p>
          <w:p>
            <w:pPr>
              <w:spacing w:line="276" w:lineRule="auto"/>
              <w:jc w:val="left"/>
              <w:rPr>
                <w:rFonts w:ascii="宋体" w:hAnsi="宋体"/>
                <w:b/>
                <w:bCs/>
                <w:sz w:val="21"/>
                <w:szCs w:val="21"/>
              </w:rPr>
            </w:pPr>
            <w:r>
              <w:rPr>
                <w:rFonts w:hint="eastAsia" w:ascii="宋体" w:hAnsi="宋体"/>
                <w:b/>
                <w:bCs/>
                <w:sz w:val="21"/>
                <w:szCs w:val="21"/>
              </w:rPr>
              <w:t>第二个信封（报价文件）评分分值构成：</w:t>
            </w:r>
          </w:p>
          <w:p>
            <w:pPr>
              <w:spacing w:line="276" w:lineRule="auto"/>
              <w:jc w:val="left"/>
              <w:rPr>
                <w:rFonts w:ascii="宋体" w:hAnsi="宋体"/>
                <w:sz w:val="21"/>
                <w:szCs w:val="21"/>
              </w:rPr>
            </w:pPr>
            <w:r>
              <w:rPr>
                <w:rFonts w:hint="eastAsia" w:ascii="宋体" w:hAnsi="宋体"/>
                <w:sz w:val="21"/>
                <w:szCs w:val="21"/>
              </w:rPr>
              <w:t>（5）评标价：</w:t>
            </w:r>
            <w:r>
              <w:rPr>
                <w:rFonts w:ascii="宋体" w:hAnsi="宋体"/>
                <w:sz w:val="21"/>
                <w:szCs w:val="21"/>
              </w:rPr>
              <w:t>6</w:t>
            </w:r>
            <w:r>
              <w:rPr>
                <w:rFonts w:hint="eastAsia" w:ascii="宋体" w:hAnsi="宋体"/>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rFonts w:ascii="宋体" w:hAnsi="宋体"/>
                <w:sz w:val="21"/>
                <w:szCs w:val="21"/>
              </w:rPr>
            </w:pPr>
            <w:r>
              <w:rPr>
                <w:rFonts w:hint="eastAsia" w:ascii="宋体" w:hAnsi="宋体"/>
                <w:sz w:val="21"/>
                <w:szCs w:val="21"/>
              </w:rPr>
              <w:t>2.2.2</w:t>
            </w:r>
          </w:p>
        </w:tc>
        <w:tc>
          <w:tcPr>
            <w:tcW w:w="1134" w:type="dxa"/>
            <w:vAlign w:val="center"/>
          </w:tcPr>
          <w:p>
            <w:pPr>
              <w:spacing w:line="276" w:lineRule="auto"/>
              <w:jc w:val="center"/>
              <w:rPr>
                <w:rFonts w:ascii="宋体" w:hAnsi="宋体"/>
                <w:sz w:val="21"/>
                <w:szCs w:val="21"/>
              </w:rPr>
            </w:pPr>
            <w:r>
              <w:rPr>
                <w:rFonts w:hint="eastAsia" w:ascii="宋体" w:hAnsi="宋体"/>
                <w:sz w:val="21"/>
                <w:szCs w:val="21"/>
              </w:rPr>
              <w:t>评标基准价计算方法</w:t>
            </w:r>
          </w:p>
        </w:tc>
        <w:tc>
          <w:tcPr>
            <w:tcW w:w="7363" w:type="dxa"/>
            <w:gridSpan w:val="4"/>
            <w:vAlign w:val="center"/>
          </w:tcPr>
          <w:p>
            <w:pPr>
              <w:spacing w:line="276" w:lineRule="auto"/>
              <w:jc w:val="left"/>
              <w:rPr>
                <w:rFonts w:ascii="宋体" w:hAnsi="宋体"/>
                <w:spacing w:val="-4"/>
                <w:kern w:val="2"/>
                <w:sz w:val="21"/>
                <w:szCs w:val="21"/>
              </w:rPr>
            </w:pPr>
            <w:r>
              <w:rPr>
                <w:rFonts w:hint="eastAsia" w:ascii="宋体" w:hAnsi="宋体"/>
                <w:spacing w:val="-4"/>
                <w:kern w:val="2"/>
                <w:sz w:val="21"/>
                <w:szCs w:val="21"/>
              </w:rPr>
              <w:t>在开标现场，招标人将当场计算并宣布评标基准价。</w:t>
            </w:r>
          </w:p>
          <w:p>
            <w:pPr>
              <w:spacing w:line="276" w:lineRule="auto"/>
              <w:ind w:firstLine="404" w:firstLineChars="200"/>
              <w:jc w:val="left"/>
              <w:rPr>
                <w:rFonts w:ascii="宋体" w:hAnsi="宋体"/>
                <w:spacing w:val="-4"/>
                <w:kern w:val="2"/>
                <w:sz w:val="21"/>
                <w:szCs w:val="21"/>
              </w:rPr>
            </w:pPr>
            <w:r>
              <w:rPr>
                <w:rFonts w:hint="eastAsia" w:ascii="宋体" w:hAnsi="宋体"/>
                <w:spacing w:val="-4"/>
                <w:kern w:val="2"/>
                <w:sz w:val="21"/>
                <w:szCs w:val="21"/>
              </w:rPr>
              <w:t>（1）评标价的确定：评标价=投标函文字报价</w:t>
            </w:r>
          </w:p>
          <w:p>
            <w:pPr>
              <w:spacing w:line="276" w:lineRule="auto"/>
              <w:ind w:firstLine="404" w:firstLineChars="200"/>
              <w:jc w:val="left"/>
              <w:rPr>
                <w:rFonts w:ascii="宋体" w:hAnsi="宋体"/>
                <w:spacing w:val="-4"/>
                <w:kern w:val="2"/>
                <w:sz w:val="21"/>
                <w:szCs w:val="21"/>
              </w:rPr>
            </w:pPr>
            <w:r>
              <w:rPr>
                <w:rFonts w:hint="eastAsia" w:ascii="宋体" w:hAnsi="宋体"/>
                <w:spacing w:val="-4"/>
                <w:kern w:val="2"/>
                <w:sz w:val="21"/>
                <w:szCs w:val="21"/>
              </w:rPr>
              <w:t>（2）评标价平均值的计算：</w:t>
            </w:r>
          </w:p>
          <w:p>
            <w:pPr>
              <w:spacing w:line="276" w:lineRule="auto"/>
              <w:ind w:firstLine="357" w:firstLineChars="177"/>
              <w:rPr>
                <w:rFonts w:ascii="宋体" w:hAnsi="宋体"/>
                <w:spacing w:val="-4"/>
                <w:kern w:val="2"/>
                <w:sz w:val="21"/>
                <w:szCs w:val="21"/>
              </w:rPr>
            </w:pPr>
            <w:r>
              <w:rPr>
                <w:rFonts w:hint="eastAsia" w:ascii="宋体" w:hAnsi="宋体"/>
                <w:spacing w:val="-4"/>
                <w:kern w:val="2"/>
                <w:sz w:val="21"/>
                <w:szCs w:val="21"/>
              </w:rPr>
              <w:t>除按第二章“投标人须知”第5.2.4项规定开标现场被宣布为不进入评标基准价计算的投标报价之外的投标人评标价，所有投标人的评标价去掉n1个最高评标价和n2个最低评标价后的算术平均值即为评标价平均值：</w:t>
            </w:r>
          </w:p>
          <w:p>
            <w:pPr>
              <w:spacing w:line="276" w:lineRule="auto"/>
              <w:ind w:firstLine="357" w:firstLineChars="177"/>
              <w:rPr>
                <w:rFonts w:ascii="宋体" w:hAnsi="宋体"/>
                <w:spacing w:val="-4"/>
                <w:kern w:val="2"/>
                <w:sz w:val="21"/>
                <w:szCs w:val="21"/>
              </w:rPr>
            </w:pPr>
            <w:r>
              <w:rPr>
                <w:rFonts w:hint="eastAsia" w:ascii="宋体" w:hAnsi="宋体"/>
                <w:spacing w:val="-4"/>
                <w:kern w:val="2"/>
                <w:sz w:val="21"/>
                <w:szCs w:val="21"/>
              </w:rPr>
              <w:t>如果参与评标价平均值计算的投标人数量＜6家时，n1=</w:t>
            </w:r>
            <w:r>
              <w:rPr>
                <w:rFonts w:ascii="宋体" w:hAnsi="宋体"/>
                <w:spacing w:val="-4"/>
                <w:kern w:val="2"/>
                <w:sz w:val="21"/>
                <w:szCs w:val="21"/>
              </w:rPr>
              <w:t>0</w:t>
            </w:r>
            <w:r>
              <w:rPr>
                <w:rFonts w:hint="eastAsia" w:ascii="宋体" w:hAnsi="宋体"/>
                <w:spacing w:val="-4"/>
                <w:kern w:val="2"/>
                <w:sz w:val="21"/>
                <w:szCs w:val="21"/>
              </w:rPr>
              <w:t>，n2=</w:t>
            </w:r>
            <w:r>
              <w:rPr>
                <w:rFonts w:ascii="宋体" w:hAnsi="宋体"/>
                <w:spacing w:val="-4"/>
                <w:kern w:val="2"/>
                <w:sz w:val="21"/>
                <w:szCs w:val="21"/>
              </w:rPr>
              <w:t>0</w:t>
            </w:r>
            <w:r>
              <w:rPr>
                <w:rFonts w:hint="eastAsia" w:ascii="宋体" w:hAnsi="宋体"/>
                <w:spacing w:val="-4"/>
                <w:kern w:val="2"/>
                <w:sz w:val="21"/>
                <w:szCs w:val="21"/>
              </w:rPr>
              <w:t>；</w:t>
            </w:r>
          </w:p>
          <w:p>
            <w:pPr>
              <w:spacing w:line="276" w:lineRule="auto"/>
              <w:ind w:firstLine="357" w:firstLineChars="177"/>
              <w:rPr>
                <w:rFonts w:ascii="宋体" w:hAnsi="宋体"/>
                <w:spacing w:val="-4"/>
                <w:kern w:val="2"/>
                <w:sz w:val="21"/>
                <w:szCs w:val="21"/>
              </w:rPr>
            </w:pPr>
            <w:r>
              <w:rPr>
                <w:rFonts w:hint="eastAsia" w:ascii="宋体" w:hAnsi="宋体"/>
                <w:spacing w:val="-4"/>
                <w:kern w:val="2"/>
                <w:sz w:val="21"/>
                <w:szCs w:val="21"/>
              </w:rPr>
              <w:t>6家≤参与评标价平均值计算的投标人数量＜10家时，n1=</w:t>
            </w:r>
            <w:r>
              <w:rPr>
                <w:rFonts w:ascii="宋体" w:hAnsi="宋体"/>
                <w:spacing w:val="-4"/>
                <w:kern w:val="2"/>
                <w:sz w:val="21"/>
                <w:szCs w:val="21"/>
              </w:rPr>
              <w:t>1</w:t>
            </w:r>
            <w:r>
              <w:rPr>
                <w:rFonts w:hint="eastAsia" w:ascii="宋体" w:hAnsi="宋体"/>
                <w:spacing w:val="-4"/>
                <w:kern w:val="2"/>
                <w:sz w:val="21"/>
                <w:szCs w:val="21"/>
              </w:rPr>
              <w:t>，n2=</w:t>
            </w:r>
            <w:r>
              <w:rPr>
                <w:rFonts w:ascii="宋体" w:hAnsi="宋体"/>
                <w:spacing w:val="-4"/>
                <w:kern w:val="2"/>
                <w:sz w:val="21"/>
                <w:szCs w:val="21"/>
              </w:rPr>
              <w:t>1</w:t>
            </w:r>
            <w:r>
              <w:rPr>
                <w:rFonts w:hint="eastAsia" w:ascii="宋体" w:hAnsi="宋体"/>
                <w:spacing w:val="-4"/>
                <w:kern w:val="2"/>
                <w:sz w:val="21"/>
                <w:szCs w:val="21"/>
              </w:rPr>
              <w:t>；</w:t>
            </w:r>
          </w:p>
          <w:p>
            <w:pPr>
              <w:spacing w:line="276" w:lineRule="auto"/>
              <w:ind w:firstLine="357" w:firstLineChars="177"/>
              <w:rPr>
                <w:rFonts w:ascii="宋体" w:hAnsi="宋体"/>
                <w:spacing w:val="-4"/>
                <w:sz w:val="21"/>
                <w:szCs w:val="21"/>
              </w:rPr>
            </w:pPr>
            <w:r>
              <w:rPr>
                <w:rFonts w:hint="eastAsia" w:ascii="宋体" w:hAnsi="宋体"/>
                <w:spacing w:val="-4"/>
                <w:sz w:val="21"/>
                <w:szCs w:val="21"/>
              </w:rPr>
              <w:t>10家≤参与评标价平均值计算的投标人数量＜20家时，</w:t>
            </w:r>
            <w:r>
              <w:rPr>
                <w:rFonts w:hint="eastAsia" w:ascii="宋体" w:hAnsi="宋体"/>
                <w:spacing w:val="-4"/>
                <w:kern w:val="2"/>
                <w:sz w:val="21"/>
                <w:szCs w:val="21"/>
              </w:rPr>
              <w:t>n1=</w:t>
            </w:r>
            <w:r>
              <w:rPr>
                <w:rFonts w:ascii="宋体" w:hAnsi="宋体"/>
                <w:spacing w:val="-4"/>
                <w:kern w:val="2"/>
                <w:sz w:val="21"/>
                <w:szCs w:val="21"/>
              </w:rPr>
              <w:t>2</w:t>
            </w:r>
            <w:r>
              <w:rPr>
                <w:rFonts w:hint="eastAsia" w:ascii="宋体" w:hAnsi="宋体"/>
                <w:spacing w:val="-4"/>
                <w:kern w:val="2"/>
                <w:sz w:val="21"/>
                <w:szCs w:val="21"/>
              </w:rPr>
              <w:t>，n2=</w:t>
            </w:r>
            <w:r>
              <w:rPr>
                <w:rFonts w:ascii="宋体" w:hAnsi="宋体"/>
                <w:spacing w:val="-4"/>
                <w:kern w:val="2"/>
                <w:sz w:val="21"/>
                <w:szCs w:val="21"/>
              </w:rPr>
              <w:t>2</w:t>
            </w:r>
            <w:r>
              <w:rPr>
                <w:rFonts w:hint="eastAsia" w:ascii="宋体" w:hAnsi="宋体"/>
                <w:spacing w:val="-4"/>
                <w:sz w:val="21"/>
                <w:szCs w:val="21"/>
              </w:rPr>
              <w:t>；</w:t>
            </w:r>
          </w:p>
          <w:p>
            <w:pPr>
              <w:spacing w:line="276" w:lineRule="auto"/>
              <w:ind w:firstLine="357" w:firstLineChars="177"/>
              <w:rPr>
                <w:rFonts w:ascii="宋体" w:hAnsi="宋体"/>
                <w:spacing w:val="-4"/>
                <w:kern w:val="2"/>
                <w:sz w:val="21"/>
                <w:szCs w:val="21"/>
              </w:rPr>
            </w:pPr>
            <w:r>
              <w:rPr>
                <w:rFonts w:hint="eastAsia" w:ascii="宋体" w:hAnsi="宋体"/>
                <w:spacing w:val="-4"/>
                <w:sz w:val="21"/>
                <w:szCs w:val="21"/>
              </w:rPr>
              <w:t>参与评标价平均值计算的投标人数量＞20家时，</w:t>
            </w:r>
            <w:r>
              <w:rPr>
                <w:rFonts w:hint="eastAsia" w:ascii="宋体" w:hAnsi="宋体"/>
                <w:spacing w:val="-4"/>
                <w:kern w:val="2"/>
                <w:sz w:val="21"/>
                <w:szCs w:val="21"/>
              </w:rPr>
              <w:t>n1=</w:t>
            </w:r>
            <w:r>
              <w:rPr>
                <w:rFonts w:ascii="宋体" w:hAnsi="宋体"/>
                <w:spacing w:val="-4"/>
                <w:kern w:val="2"/>
                <w:sz w:val="21"/>
                <w:szCs w:val="21"/>
              </w:rPr>
              <w:t>3</w:t>
            </w:r>
            <w:r>
              <w:rPr>
                <w:rFonts w:hint="eastAsia" w:ascii="宋体" w:hAnsi="宋体"/>
                <w:spacing w:val="-4"/>
                <w:kern w:val="2"/>
                <w:sz w:val="21"/>
                <w:szCs w:val="21"/>
              </w:rPr>
              <w:t>，n2=</w:t>
            </w:r>
            <w:r>
              <w:rPr>
                <w:rFonts w:ascii="宋体" w:hAnsi="宋体"/>
                <w:spacing w:val="-4"/>
                <w:kern w:val="2"/>
                <w:sz w:val="21"/>
                <w:szCs w:val="21"/>
              </w:rPr>
              <w:t>3</w:t>
            </w:r>
          </w:p>
          <w:p>
            <w:pPr>
              <w:spacing w:line="276" w:lineRule="auto"/>
              <w:ind w:firstLine="404" w:firstLineChars="200"/>
              <w:jc w:val="left"/>
              <w:rPr>
                <w:rFonts w:ascii="宋体" w:hAnsi="宋体"/>
                <w:spacing w:val="-4"/>
                <w:kern w:val="2"/>
                <w:sz w:val="21"/>
                <w:szCs w:val="21"/>
                <w:lang w:val="en-GB"/>
              </w:rPr>
            </w:pPr>
            <w:r>
              <w:rPr>
                <w:rFonts w:hint="eastAsia" w:ascii="宋体" w:hAnsi="宋体"/>
                <w:spacing w:val="-4"/>
                <w:kern w:val="2"/>
                <w:sz w:val="21"/>
                <w:szCs w:val="21"/>
              </w:rPr>
              <w:t>（3）评标基准价的确定：评标价平均值直接作为评标基准价。</w:t>
            </w:r>
          </w:p>
          <w:p>
            <w:pPr>
              <w:spacing w:line="276" w:lineRule="auto"/>
              <w:ind w:firstLine="404" w:firstLineChars="200"/>
              <w:jc w:val="left"/>
              <w:rPr>
                <w:rFonts w:ascii="宋体" w:hAnsi="宋体"/>
                <w:spacing w:val="-4"/>
                <w:kern w:val="2"/>
                <w:sz w:val="21"/>
                <w:szCs w:val="21"/>
              </w:rPr>
            </w:pPr>
            <w:r>
              <w:rPr>
                <w:rFonts w:hint="eastAsia" w:ascii="宋体" w:hAnsi="宋体"/>
                <w:spacing w:val="-4"/>
                <w:kern w:val="2"/>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spacing w:line="276" w:lineRule="auto"/>
              <w:ind w:firstLine="404" w:firstLineChars="200"/>
              <w:jc w:val="left"/>
              <w:rPr>
                <w:rFonts w:ascii="宋体" w:hAnsi="宋体"/>
                <w:color w:val="00B0F0"/>
                <w:spacing w:val="-4"/>
                <w:sz w:val="21"/>
                <w:szCs w:val="21"/>
              </w:rPr>
            </w:pPr>
            <w:r>
              <w:rPr>
                <w:rFonts w:hint="eastAsia" w:ascii="宋体" w:hAnsi="宋体"/>
                <w:spacing w:val="-4"/>
                <w:kern w:val="2"/>
                <w:sz w:val="21"/>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rFonts w:ascii="宋体" w:hAnsi="宋体"/>
                <w:sz w:val="21"/>
                <w:szCs w:val="21"/>
              </w:rPr>
            </w:pPr>
            <w:r>
              <w:rPr>
                <w:rFonts w:hint="eastAsia" w:ascii="宋体" w:hAnsi="宋体"/>
                <w:sz w:val="21"/>
                <w:szCs w:val="21"/>
              </w:rPr>
              <w:t>2.2.3</w:t>
            </w:r>
          </w:p>
        </w:tc>
        <w:tc>
          <w:tcPr>
            <w:tcW w:w="1134" w:type="dxa"/>
            <w:vAlign w:val="center"/>
          </w:tcPr>
          <w:p>
            <w:pPr>
              <w:spacing w:line="276" w:lineRule="auto"/>
              <w:jc w:val="center"/>
              <w:rPr>
                <w:rFonts w:ascii="宋体" w:hAnsi="宋体"/>
                <w:sz w:val="21"/>
                <w:szCs w:val="21"/>
              </w:rPr>
            </w:pPr>
            <w:r>
              <w:rPr>
                <w:rFonts w:hint="eastAsia" w:ascii="宋体" w:hAnsi="宋体"/>
                <w:sz w:val="21"/>
                <w:szCs w:val="21"/>
              </w:rPr>
              <w:t>评标价的偏差率计算公式</w:t>
            </w:r>
          </w:p>
        </w:tc>
        <w:tc>
          <w:tcPr>
            <w:tcW w:w="7363" w:type="dxa"/>
            <w:gridSpan w:val="4"/>
            <w:vAlign w:val="center"/>
          </w:tcPr>
          <w:p>
            <w:pPr>
              <w:spacing w:line="276" w:lineRule="auto"/>
              <w:rPr>
                <w:rFonts w:ascii="宋体" w:hAnsi="宋体"/>
                <w:sz w:val="21"/>
                <w:szCs w:val="21"/>
              </w:rPr>
            </w:pPr>
            <w:r>
              <w:rPr>
                <w:rFonts w:hint="eastAsia" w:ascii="宋体" w:hAnsi="宋体"/>
                <w:sz w:val="21"/>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2" w:type="dxa"/>
            <w:gridSpan w:val="5"/>
            <w:vAlign w:val="center"/>
          </w:tcPr>
          <w:p>
            <w:pPr>
              <w:spacing w:line="276" w:lineRule="auto"/>
              <w:jc w:val="center"/>
              <w:rPr>
                <w:rFonts w:ascii="宋体" w:hAnsi="宋体"/>
                <w:sz w:val="21"/>
                <w:szCs w:val="21"/>
              </w:rPr>
            </w:pPr>
            <w:r>
              <w:rPr>
                <w:rFonts w:hint="eastAsia" w:ascii="宋体" w:hAnsi="宋体"/>
                <w:sz w:val="21"/>
                <w:szCs w:val="21"/>
              </w:rPr>
              <w:t>评分因素与权重分值</w:t>
            </w:r>
          </w:p>
        </w:tc>
        <w:tc>
          <w:tcPr>
            <w:tcW w:w="3961" w:type="dxa"/>
            <w:vMerge w:val="restart"/>
            <w:vAlign w:val="center"/>
          </w:tcPr>
          <w:p>
            <w:pPr>
              <w:spacing w:line="276" w:lineRule="auto"/>
              <w:jc w:val="center"/>
              <w:rPr>
                <w:rFonts w:ascii="宋体" w:hAnsi="宋体"/>
                <w:sz w:val="21"/>
                <w:szCs w:val="21"/>
              </w:rPr>
            </w:pPr>
            <w:r>
              <w:rPr>
                <w:rFonts w:hint="eastAsia" w:ascii="宋体" w:hAnsi="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rFonts w:ascii="宋体" w:hAnsi="宋体"/>
                <w:sz w:val="21"/>
                <w:szCs w:val="21"/>
              </w:rPr>
            </w:pPr>
            <w:r>
              <w:rPr>
                <w:rFonts w:hint="eastAsia" w:ascii="宋体" w:hAnsi="宋体"/>
                <w:sz w:val="21"/>
                <w:szCs w:val="21"/>
              </w:rPr>
              <w:t>条款号</w:t>
            </w:r>
          </w:p>
        </w:tc>
        <w:tc>
          <w:tcPr>
            <w:tcW w:w="1134" w:type="dxa"/>
            <w:vAlign w:val="center"/>
          </w:tcPr>
          <w:p>
            <w:pPr>
              <w:spacing w:line="276" w:lineRule="auto"/>
              <w:jc w:val="center"/>
              <w:rPr>
                <w:rFonts w:ascii="宋体" w:hAnsi="宋体"/>
                <w:sz w:val="21"/>
                <w:szCs w:val="21"/>
              </w:rPr>
            </w:pPr>
            <w:r>
              <w:rPr>
                <w:rFonts w:hint="eastAsia" w:ascii="宋体" w:hAnsi="宋体"/>
                <w:sz w:val="21"/>
                <w:szCs w:val="21"/>
              </w:rPr>
              <w:t>评分因素</w:t>
            </w:r>
          </w:p>
        </w:tc>
        <w:tc>
          <w:tcPr>
            <w:tcW w:w="1200" w:type="dxa"/>
            <w:vAlign w:val="center"/>
          </w:tcPr>
          <w:p>
            <w:pPr>
              <w:spacing w:line="276" w:lineRule="auto"/>
              <w:jc w:val="center"/>
              <w:rPr>
                <w:rFonts w:ascii="宋体" w:hAnsi="宋体"/>
                <w:sz w:val="21"/>
                <w:szCs w:val="21"/>
              </w:rPr>
            </w:pPr>
            <w:r>
              <w:rPr>
                <w:rFonts w:hint="eastAsia" w:ascii="宋体" w:hAnsi="宋体"/>
                <w:sz w:val="21"/>
                <w:szCs w:val="21"/>
              </w:rPr>
              <w:t>评分因素权重分值</w:t>
            </w:r>
          </w:p>
        </w:tc>
        <w:tc>
          <w:tcPr>
            <w:tcW w:w="1493" w:type="dxa"/>
            <w:vAlign w:val="center"/>
          </w:tcPr>
          <w:p>
            <w:pPr>
              <w:spacing w:line="276" w:lineRule="auto"/>
              <w:jc w:val="center"/>
              <w:rPr>
                <w:rFonts w:ascii="宋体" w:hAnsi="宋体"/>
                <w:sz w:val="21"/>
                <w:szCs w:val="21"/>
              </w:rPr>
            </w:pPr>
            <w:r>
              <w:rPr>
                <w:rFonts w:hint="eastAsia" w:ascii="宋体" w:hAnsi="宋体"/>
                <w:sz w:val="21"/>
                <w:szCs w:val="21"/>
              </w:rPr>
              <w:t>各评分因素细分项</w:t>
            </w:r>
          </w:p>
        </w:tc>
        <w:tc>
          <w:tcPr>
            <w:tcW w:w="709" w:type="dxa"/>
            <w:vAlign w:val="center"/>
          </w:tcPr>
          <w:p>
            <w:pPr>
              <w:spacing w:line="276" w:lineRule="auto"/>
              <w:jc w:val="center"/>
              <w:rPr>
                <w:rFonts w:ascii="宋体" w:hAnsi="宋体"/>
                <w:sz w:val="21"/>
                <w:szCs w:val="21"/>
              </w:rPr>
            </w:pPr>
            <w:r>
              <w:rPr>
                <w:rFonts w:hint="eastAsia" w:ascii="宋体" w:hAnsi="宋体"/>
                <w:sz w:val="21"/>
                <w:szCs w:val="21"/>
              </w:rPr>
              <w:t>分值</w:t>
            </w:r>
          </w:p>
        </w:tc>
        <w:tc>
          <w:tcPr>
            <w:tcW w:w="3961" w:type="dxa"/>
            <w:vMerge w:val="continue"/>
            <w:vAlign w:val="center"/>
          </w:tcPr>
          <w:p>
            <w:pPr>
              <w:spacing w:line="276"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restart"/>
            <w:vAlign w:val="center"/>
          </w:tcPr>
          <w:p>
            <w:pPr>
              <w:spacing w:line="276" w:lineRule="auto"/>
              <w:jc w:val="center"/>
              <w:rPr>
                <w:rFonts w:ascii="宋体" w:hAnsi="宋体"/>
                <w:sz w:val="21"/>
                <w:szCs w:val="21"/>
              </w:rPr>
            </w:pPr>
            <w:r>
              <w:rPr>
                <w:rFonts w:hint="eastAsia" w:ascii="宋体" w:hAnsi="宋体"/>
                <w:sz w:val="21"/>
                <w:szCs w:val="21"/>
              </w:rPr>
              <w:t>2.2.4（1）</w:t>
            </w:r>
          </w:p>
        </w:tc>
        <w:tc>
          <w:tcPr>
            <w:tcW w:w="1134" w:type="dxa"/>
            <w:vMerge w:val="restart"/>
            <w:vAlign w:val="center"/>
          </w:tcPr>
          <w:p>
            <w:pPr>
              <w:spacing w:line="276" w:lineRule="auto"/>
              <w:jc w:val="center"/>
              <w:rPr>
                <w:rFonts w:ascii="宋体" w:hAnsi="宋体"/>
                <w:sz w:val="21"/>
                <w:szCs w:val="21"/>
              </w:rPr>
            </w:pPr>
            <w:r>
              <w:rPr>
                <w:rFonts w:hint="eastAsia" w:ascii="宋体" w:hAnsi="宋体"/>
                <w:sz w:val="21"/>
                <w:szCs w:val="21"/>
              </w:rPr>
              <w:t>施工组织设计</w:t>
            </w:r>
          </w:p>
        </w:tc>
        <w:tc>
          <w:tcPr>
            <w:tcW w:w="1200" w:type="dxa"/>
            <w:vMerge w:val="restart"/>
            <w:vAlign w:val="center"/>
          </w:tcPr>
          <w:p>
            <w:pPr>
              <w:spacing w:line="276" w:lineRule="auto"/>
              <w:jc w:val="center"/>
              <w:rPr>
                <w:rFonts w:ascii="宋体" w:hAnsi="宋体"/>
                <w:sz w:val="21"/>
                <w:szCs w:val="21"/>
              </w:rPr>
            </w:pPr>
            <w:r>
              <w:rPr>
                <w:rFonts w:ascii="宋体" w:hAnsi="宋体"/>
                <w:sz w:val="21"/>
                <w:szCs w:val="21"/>
              </w:rPr>
              <w:t>20</w:t>
            </w:r>
            <w:r>
              <w:rPr>
                <w:rFonts w:hint="eastAsia" w:ascii="宋体" w:hAnsi="宋体"/>
                <w:sz w:val="21"/>
                <w:szCs w:val="21"/>
              </w:rPr>
              <w:t>分</w:t>
            </w:r>
          </w:p>
        </w:tc>
        <w:tc>
          <w:tcPr>
            <w:tcW w:w="1493" w:type="dxa"/>
            <w:vAlign w:val="center"/>
          </w:tcPr>
          <w:p>
            <w:pPr>
              <w:spacing w:line="276" w:lineRule="auto"/>
              <w:jc w:val="center"/>
              <w:rPr>
                <w:rFonts w:ascii="宋体" w:hAnsi="宋体"/>
                <w:sz w:val="21"/>
                <w:szCs w:val="21"/>
              </w:rPr>
            </w:pPr>
            <w:r>
              <w:rPr>
                <w:rFonts w:hint="eastAsia" w:ascii="宋体" w:hAnsi="宋体"/>
                <w:sz w:val="21"/>
                <w:szCs w:val="21"/>
              </w:rPr>
              <w:t>总体施工组织布置及规划</w:t>
            </w:r>
          </w:p>
        </w:tc>
        <w:tc>
          <w:tcPr>
            <w:tcW w:w="709" w:type="dxa"/>
            <w:vAlign w:val="center"/>
          </w:tcPr>
          <w:p>
            <w:pPr>
              <w:spacing w:line="276" w:lineRule="auto"/>
              <w:jc w:val="center"/>
              <w:rPr>
                <w:rFonts w:ascii="宋体" w:hAnsi="宋体"/>
                <w:sz w:val="21"/>
                <w:szCs w:val="21"/>
              </w:rPr>
            </w:pPr>
            <w:r>
              <w:rPr>
                <w:rFonts w:ascii="宋体" w:hAnsi="宋体"/>
                <w:sz w:val="21"/>
                <w:szCs w:val="21"/>
              </w:rPr>
              <w:t>3</w:t>
            </w:r>
            <w:r>
              <w:rPr>
                <w:rFonts w:hint="eastAsia" w:ascii="宋体" w:hAnsi="宋体"/>
                <w:sz w:val="21"/>
                <w:szCs w:val="21"/>
              </w:rPr>
              <w:t>分</w:t>
            </w:r>
          </w:p>
        </w:tc>
        <w:tc>
          <w:tcPr>
            <w:tcW w:w="3961" w:type="dxa"/>
            <w:vAlign w:val="center"/>
          </w:tcPr>
          <w:p>
            <w:pPr>
              <w:spacing w:line="276" w:lineRule="auto"/>
              <w:rPr>
                <w:rFonts w:ascii="宋体" w:hAnsi="宋体"/>
                <w:sz w:val="21"/>
                <w:szCs w:val="21"/>
              </w:rPr>
            </w:pPr>
            <w:r>
              <w:rPr>
                <w:rFonts w:hint="eastAsia" w:ascii="宋体" w:hAnsi="宋体"/>
                <w:sz w:val="21"/>
                <w:szCs w:val="21"/>
              </w:rPr>
              <w:t>总体施工布置及规划基本合理，施工组织内容一般，施工工艺流程图基本齐全，各分部、分项工程安排的前后顺序无矛盾，基本符合本工程的实际情况，得1</w:t>
            </w:r>
            <w:r>
              <w:rPr>
                <w:rFonts w:ascii="宋体" w:hAnsi="宋体"/>
                <w:sz w:val="21"/>
                <w:szCs w:val="21"/>
              </w:rPr>
              <w:t>.8</w:t>
            </w:r>
            <w:r>
              <w:rPr>
                <w:rFonts w:hint="eastAsia" w:ascii="宋体" w:hAnsi="宋体"/>
                <w:sz w:val="21"/>
                <w:szCs w:val="21"/>
              </w:rPr>
              <w:t>分；</w:t>
            </w:r>
          </w:p>
          <w:p>
            <w:pPr>
              <w:pStyle w:val="5"/>
            </w:pPr>
            <w:r>
              <w:rPr>
                <w:rFonts w:hint="eastAsia" w:ascii="宋体" w:hAnsi="宋体"/>
                <w:sz w:val="21"/>
                <w:szCs w:val="21"/>
              </w:rPr>
              <w:t>总体施工布置及规划合理，施工组织内容较完整，施工工艺流程图齐全，各分部、分项工程安排较合理，符合本工程的实际情况，得1</w:t>
            </w:r>
            <w:r>
              <w:rPr>
                <w:rFonts w:ascii="宋体" w:hAnsi="宋体"/>
                <w:sz w:val="21"/>
                <w:szCs w:val="21"/>
              </w:rPr>
              <w:t>.9</w:t>
            </w:r>
            <w:r>
              <w:rPr>
                <w:rFonts w:hint="eastAsia" w:ascii="宋体" w:hAnsi="宋体"/>
                <w:sz w:val="21"/>
                <w:szCs w:val="21"/>
              </w:rPr>
              <w:t>-</w:t>
            </w:r>
            <w:r>
              <w:rPr>
                <w:rFonts w:ascii="宋体" w:hAnsi="宋体"/>
                <w:sz w:val="21"/>
                <w:szCs w:val="21"/>
              </w:rPr>
              <w:t>2.4</w:t>
            </w:r>
            <w:r>
              <w:rPr>
                <w:rFonts w:hint="eastAsia" w:ascii="宋体" w:hAnsi="宋体"/>
                <w:sz w:val="21"/>
                <w:szCs w:val="21"/>
              </w:rPr>
              <w:t>分；</w:t>
            </w:r>
          </w:p>
          <w:p>
            <w:pPr>
              <w:pStyle w:val="5"/>
            </w:pPr>
            <w:r>
              <w:rPr>
                <w:rFonts w:hint="eastAsia" w:ascii="宋体" w:hAnsi="宋体"/>
                <w:sz w:val="21"/>
                <w:szCs w:val="21"/>
              </w:rPr>
              <w:t>总体施工布置及规划科学合理，施工组织内容完整详细，施工工艺流程图科学完整，各分部、分项工程安排周密，完全符合本工程的实际情况，得</w:t>
            </w:r>
            <w:r>
              <w:rPr>
                <w:rFonts w:ascii="宋体" w:hAnsi="宋体"/>
                <w:sz w:val="21"/>
                <w:szCs w:val="21"/>
              </w:rPr>
              <w:t>2.5</w:t>
            </w:r>
            <w:r>
              <w:rPr>
                <w:rFonts w:hint="eastAsia" w:ascii="宋体" w:hAnsi="宋体"/>
                <w:sz w:val="21"/>
                <w:szCs w:val="21"/>
              </w:rPr>
              <w:t>-</w:t>
            </w:r>
            <w:r>
              <w:rPr>
                <w:rFonts w:ascii="宋体" w:hAnsi="宋体"/>
                <w:sz w:val="21"/>
                <w:szCs w:val="21"/>
              </w:rPr>
              <w:t>3.0</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vAlign w:val="center"/>
          </w:tcPr>
          <w:p>
            <w:pPr>
              <w:spacing w:line="276" w:lineRule="auto"/>
              <w:jc w:val="center"/>
              <w:rPr>
                <w:rFonts w:ascii="宋体" w:hAnsi="宋体"/>
                <w:sz w:val="21"/>
                <w:szCs w:val="21"/>
              </w:rPr>
            </w:pPr>
          </w:p>
        </w:tc>
        <w:tc>
          <w:tcPr>
            <w:tcW w:w="1134" w:type="dxa"/>
            <w:vMerge w:val="continue"/>
            <w:vAlign w:val="center"/>
          </w:tcPr>
          <w:p>
            <w:pPr>
              <w:spacing w:line="276" w:lineRule="auto"/>
              <w:jc w:val="center"/>
              <w:rPr>
                <w:rFonts w:ascii="宋体" w:hAnsi="宋体"/>
                <w:sz w:val="21"/>
                <w:szCs w:val="21"/>
              </w:rPr>
            </w:pPr>
          </w:p>
        </w:tc>
        <w:tc>
          <w:tcPr>
            <w:tcW w:w="1200" w:type="dxa"/>
            <w:vMerge w:val="continue"/>
            <w:vAlign w:val="center"/>
          </w:tcPr>
          <w:p>
            <w:pPr>
              <w:spacing w:line="276" w:lineRule="auto"/>
              <w:rPr>
                <w:rFonts w:ascii="宋体" w:hAnsi="宋体"/>
                <w:sz w:val="21"/>
                <w:szCs w:val="21"/>
              </w:rPr>
            </w:pPr>
          </w:p>
        </w:tc>
        <w:tc>
          <w:tcPr>
            <w:tcW w:w="1493" w:type="dxa"/>
            <w:vAlign w:val="center"/>
          </w:tcPr>
          <w:p>
            <w:pPr>
              <w:spacing w:line="276" w:lineRule="auto"/>
              <w:jc w:val="center"/>
              <w:rPr>
                <w:rFonts w:ascii="宋体" w:hAnsi="宋体"/>
                <w:sz w:val="21"/>
                <w:szCs w:val="21"/>
              </w:rPr>
            </w:pPr>
            <w:r>
              <w:rPr>
                <w:rFonts w:hint="eastAsia" w:ascii="宋体" w:hAnsi="宋体"/>
                <w:sz w:val="21"/>
                <w:szCs w:val="21"/>
              </w:rPr>
              <w:t>主要工程项目的施工方案、方法与技术措施</w:t>
            </w:r>
          </w:p>
        </w:tc>
        <w:tc>
          <w:tcPr>
            <w:tcW w:w="709" w:type="dxa"/>
            <w:vAlign w:val="center"/>
          </w:tcPr>
          <w:p>
            <w:pPr>
              <w:spacing w:line="276" w:lineRule="auto"/>
              <w:jc w:val="center"/>
              <w:rPr>
                <w:rFonts w:ascii="宋体" w:hAnsi="宋体"/>
                <w:sz w:val="21"/>
                <w:szCs w:val="21"/>
              </w:rPr>
            </w:pPr>
            <w:r>
              <w:rPr>
                <w:rFonts w:ascii="宋体" w:hAnsi="宋体"/>
                <w:sz w:val="21"/>
                <w:szCs w:val="21"/>
              </w:rPr>
              <w:t>8</w:t>
            </w:r>
            <w:r>
              <w:rPr>
                <w:rFonts w:hint="eastAsia" w:ascii="宋体" w:hAnsi="宋体"/>
                <w:sz w:val="21"/>
                <w:szCs w:val="21"/>
              </w:rPr>
              <w:t>分</w:t>
            </w:r>
          </w:p>
        </w:tc>
        <w:tc>
          <w:tcPr>
            <w:tcW w:w="3961" w:type="dxa"/>
            <w:vAlign w:val="center"/>
          </w:tcPr>
          <w:p>
            <w:pPr>
              <w:spacing w:line="276" w:lineRule="auto"/>
              <w:rPr>
                <w:rFonts w:ascii="宋体" w:hAnsi="宋体"/>
                <w:sz w:val="21"/>
                <w:szCs w:val="21"/>
              </w:rPr>
            </w:pPr>
            <w:r>
              <w:rPr>
                <w:rFonts w:hint="eastAsia" w:ascii="宋体" w:hAnsi="宋体"/>
                <w:sz w:val="21"/>
                <w:szCs w:val="21"/>
              </w:rPr>
              <w:t>施工方案、方法与技术措施一般，与项目实际结合不紧密，施工工艺及施工方法可行性一般得4</w:t>
            </w:r>
            <w:r>
              <w:rPr>
                <w:rFonts w:ascii="宋体" w:hAnsi="宋体"/>
                <w:sz w:val="21"/>
                <w:szCs w:val="21"/>
              </w:rPr>
              <w:t>.8</w:t>
            </w:r>
            <w:r>
              <w:rPr>
                <w:rFonts w:hint="eastAsia" w:ascii="宋体" w:hAnsi="宋体"/>
                <w:sz w:val="21"/>
                <w:szCs w:val="21"/>
              </w:rPr>
              <w:t>分；</w:t>
            </w:r>
          </w:p>
          <w:p>
            <w:pPr>
              <w:pStyle w:val="5"/>
            </w:pPr>
            <w:r>
              <w:rPr>
                <w:rFonts w:hint="eastAsia" w:ascii="宋体" w:hAnsi="宋体"/>
                <w:sz w:val="21"/>
                <w:szCs w:val="21"/>
              </w:rPr>
              <w:t>施工方案、方法与技术措施较合理，与项目实际结合较紧密，施工工艺及施工方法可行得4</w:t>
            </w:r>
            <w:r>
              <w:rPr>
                <w:rFonts w:ascii="宋体" w:hAnsi="宋体"/>
                <w:sz w:val="21"/>
                <w:szCs w:val="21"/>
              </w:rPr>
              <w:t>.9</w:t>
            </w:r>
            <w:r>
              <w:rPr>
                <w:rFonts w:hint="eastAsia" w:ascii="宋体" w:hAnsi="宋体"/>
                <w:sz w:val="21"/>
                <w:szCs w:val="21"/>
              </w:rPr>
              <w:t>-</w:t>
            </w:r>
            <w:r>
              <w:rPr>
                <w:rFonts w:ascii="宋体" w:hAnsi="宋体"/>
                <w:sz w:val="21"/>
                <w:szCs w:val="21"/>
              </w:rPr>
              <w:t>6.4</w:t>
            </w:r>
            <w:r>
              <w:rPr>
                <w:rFonts w:hint="eastAsia" w:ascii="宋体" w:hAnsi="宋体"/>
                <w:sz w:val="21"/>
                <w:szCs w:val="21"/>
              </w:rPr>
              <w:t>分；</w:t>
            </w:r>
          </w:p>
          <w:p>
            <w:pPr>
              <w:spacing w:line="276" w:lineRule="auto"/>
              <w:rPr>
                <w:rFonts w:ascii="宋体" w:hAnsi="宋体"/>
                <w:sz w:val="21"/>
                <w:szCs w:val="21"/>
              </w:rPr>
            </w:pPr>
            <w:r>
              <w:rPr>
                <w:rFonts w:hint="eastAsia" w:ascii="宋体" w:hAnsi="宋体"/>
                <w:sz w:val="21"/>
                <w:szCs w:val="21"/>
              </w:rPr>
              <w:t>施工方案、方法与技术措施科学、合理，与项目实际结合紧密，施工工艺及施工方法先进可靠得</w:t>
            </w:r>
            <w:r>
              <w:rPr>
                <w:rFonts w:ascii="宋体" w:hAnsi="宋体"/>
                <w:sz w:val="21"/>
                <w:szCs w:val="21"/>
              </w:rPr>
              <w:t>6.5</w:t>
            </w:r>
            <w:r>
              <w:rPr>
                <w:rFonts w:hint="eastAsia" w:ascii="宋体" w:hAnsi="宋体"/>
                <w:sz w:val="21"/>
                <w:szCs w:val="21"/>
              </w:rPr>
              <w:t>-</w:t>
            </w:r>
            <w:r>
              <w:rPr>
                <w:rFonts w:ascii="宋体" w:hAnsi="宋体"/>
                <w:sz w:val="21"/>
                <w:szCs w:val="21"/>
              </w:rPr>
              <w:t>8.0</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vAlign w:val="center"/>
          </w:tcPr>
          <w:p>
            <w:pPr>
              <w:spacing w:line="276" w:lineRule="auto"/>
              <w:jc w:val="center"/>
              <w:rPr>
                <w:rFonts w:ascii="宋体" w:hAnsi="宋体"/>
                <w:sz w:val="21"/>
                <w:szCs w:val="21"/>
              </w:rPr>
            </w:pPr>
          </w:p>
        </w:tc>
        <w:tc>
          <w:tcPr>
            <w:tcW w:w="1134" w:type="dxa"/>
            <w:vMerge w:val="continue"/>
            <w:vAlign w:val="center"/>
          </w:tcPr>
          <w:p>
            <w:pPr>
              <w:spacing w:line="276" w:lineRule="auto"/>
              <w:jc w:val="center"/>
              <w:rPr>
                <w:rFonts w:ascii="宋体" w:hAnsi="宋体"/>
                <w:sz w:val="21"/>
                <w:szCs w:val="21"/>
              </w:rPr>
            </w:pPr>
          </w:p>
        </w:tc>
        <w:tc>
          <w:tcPr>
            <w:tcW w:w="1200" w:type="dxa"/>
            <w:vMerge w:val="continue"/>
            <w:vAlign w:val="center"/>
          </w:tcPr>
          <w:p>
            <w:pPr>
              <w:spacing w:line="276" w:lineRule="auto"/>
              <w:rPr>
                <w:rFonts w:ascii="宋体" w:hAnsi="宋体"/>
                <w:sz w:val="21"/>
                <w:szCs w:val="21"/>
              </w:rPr>
            </w:pPr>
          </w:p>
        </w:tc>
        <w:tc>
          <w:tcPr>
            <w:tcW w:w="1493" w:type="dxa"/>
            <w:vAlign w:val="center"/>
          </w:tcPr>
          <w:p>
            <w:pPr>
              <w:spacing w:line="276" w:lineRule="auto"/>
              <w:jc w:val="center"/>
              <w:rPr>
                <w:rFonts w:ascii="宋体" w:hAnsi="宋体"/>
                <w:sz w:val="21"/>
                <w:szCs w:val="21"/>
              </w:rPr>
            </w:pPr>
            <w:r>
              <w:rPr>
                <w:rFonts w:hint="eastAsia" w:ascii="宋体" w:hAnsi="宋体"/>
                <w:sz w:val="21"/>
                <w:szCs w:val="21"/>
              </w:rPr>
              <w:t>工期保证体系及保证措施</w:t>
            </w:r>
          </w:p>
        </w:tc>
        <w:tc>
          <w:tcPr>
            <w:tcW w:w="709" w:type="dxa"/>
            <w:vAlign w:val="center"/>
          </w:tcPr>
          <w:p>
            <w:pPr>
              <w:spacing w:line="276" w:lineRule="auto"/>
              <w:jc w:val="center"/>
              <w:rPr>
                <w:rFonts w:ascii="宋体" w:hAnsi="宋体"/>
                <w:sz w:val="21"/>
                <w:szCs w:val="21"/>
              </w:rPr>
            </w:pPr>
            <w:r>
              <w:rPr>
                <w:rFonts w:ascii="宋体" w:hAnsi="宋体"/>
                <w:sz w:val="21"/>
                <w:szCs w:val="21"/>
              </w:rPr>
              <w:t>3</w:t>
            </w:r>
            <w:r>
              <w:rPr>
                <w:rFonts w:hint="eastAsia" w:ascii="宋体" w:hAnsi="宋体"/>
                <w:sz w:val="21"/>
                <w:szCs w:val="21"/>
              </w:rPr>
              <w:t>分</w:t>
            </w:r>
          </w:p>
        </w:tc>
        <w:tc>
          <w:tcPr>
            <w:tcW w:w="3961" w:type="dxa"/>
            <w:vAlign w:val="center"/>
          </w:tcPr>
          <w:p>
            <w:pPr>
              <w:spacing w:line="276" w:lineRule="auto"/>
              <w:rPr>
                <w:rFonts w:ascii="宋体" w:hAnsi="宋体"/>
                <w:sz w:val="21"/>
                <w:szCs w:val="21"/>
              </w:rPr>
            </w:pPr>
            <w:r>
              <w:rPr>
                <w:rFonts w:hint="eastAsia" w:ascii="宋体" w:hAnsi="宋体"/>
                <w:sz w:val="21"/>
                <w:szCs w:val="21"/>
              </w:rPr>
              <w:t>体系及措施基本完善、合理，实施性一般，得</w:t>
            </w:r>
            <w:r>
              <w:rPr>
                <w:rFonts w:ascii="宋体" w:hAnsi="宋体"/>
                <w:sz w:val="21"/>
                <w:szCs w:val="21"/>
              </w:rPr>
              <w:t>1.8</w:t>
            </w:r>
            <w:r>
              <w:rPr>
                <w:rFonts w:hint="eastAsia" w:ascii="宋体" w:hAnsi="宋体"/>
                <w:sz w:val="21"/>
                <w:szCs w:val="21"/>
              </w:rPr>
              <w:t>分；</w:t>
            </w:r>
          </w:p>
          <w:p>
            <w:pPr>
              <w:spacing w:line="276" w:lineRule="auto"/>
              <w:rPr>
                <w:rFonts w:ascii="宋体" w:hAnsi="宋体"/>
                <w:sz w:val="21"/>
                <w:szCs w:val="21"/>
              </w:rPr>
            </w:pPr>
            <w:r>
              <w:rPr>
                <w:rFonts w:hint="eastAsia" w:ascii="宋体" w:hAnsi="宋体"/>
                <w:sz w:val="21"/>
                <w:szCs w:val="21"/>
              </w:rPr>
              <w:t>体系及措施较完善、合理，实施性较强，得</w:t>
            </w:r>
            <w:r>
              <w:rPr>
                <w:rFonts w:ascii="宋体" w:hAnsi="宋体"/>
                <w:sz w:val="21"/>
                <w:szCs w:val="21"/>
              </w:rPr>
              <w:t>1.9</w:t>
            </w:r>
            <w:r>
              <w:rPr>
                <w:rFonts w:hint="eastAsia" w:ascii="宋体" w:hAnsi="宋体"/>
                <w:sz w:val="21"/>
                <w:szCs w:val="21"/>
              </w:rPr>
              <w:t>-</w:t>
            </w:r>
            <w:r>
              <w:rPr>
                <w:rFonts w:ascii="宋体" w:hAnsi="宋体"/>
                <w:sz w:val="21"/>
                <w:szCs w:val="21"/>
              </w:rPr>
              <w:t>2.4</w:t>
            </w:r>
            <w:r>
              <w:rPr>
                <w:rFonts w:hint="eastAsia" w:ascii="宋体" w:hAnsi="宋体"/>
                <w:sz w:val="21"/>
                <w:szCs w:val="21"/>
              </w:rPr>
              <w:t>分；</w:t>
            </w:r>
          </w:p>
          <w:p>
            <w:pPr>
              <w:spacing w:line="276" w:lineRule="auto"/>
              <w:rPr>
                <w:rFonts w:ascii="宋体" w:hAnsi="宋体"/>
                <w:sz w:val="21"/>
                <w:szCs w:val="21"/>
              </w:rPr>
            </w:pPr>
            <w:r>
              <w:rPr>
                <w:rFonts w:hint="eastAsia" w:ascii="宋体" w:hAnsi="宋体"/>
                <w:sz w:val="21"/>
                <w:szCs w:val="21"/>
              </w:rPr>
              <w:t>体系及措施完善、合理，实施性强，得</w:t>
            </w:r>
            <w:r>
              <w:rPr>
                <w:rFonts w:ascii="宋体" w:hAnsi="宋体"/>
                <w:sz w:val="21"/>
                <w:szCs w:val="21"/>
              </w:rPr>
              <w:t>2.5</w:t>
            </w:r>
            <w:r>
              <w:rPr>
                <w:rFonts w:hint="eastAsia" w:ascii="宋体" w:hAnsi="宋体"/>
                <w:sz w:val="21"/>
                <w:szCs w:val="21"/>
              </w:rPr>
              <w:t>-</w:t>
            </w:r>
            <w:r>
              <w:rPr>
                <w:rFonts w:ascii="宋体" w:hAnsi="宋体"/>
                <w:sz w:val="21"/>
                <w:szCs w:val="21"/>
              </w:rPr>
              <w:t>3.0</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vAlign w:val="center"/>
          </w:tcPr>
          <w:p>
            <w:pPr>
              <w:spacing w:line="276" w:lineRule="auto"/>
              <w:jc w:val="center"/>
              <w:rPr>
                <w:rFonts w:ascii="宋体" w:hAnsi="宋体"/>
                <w:sz w:val="21"/>
                <w:szCs w:val="21"/>
              </w:rPr>
            </w:pPr>
          </w:p>
        </w:tc>
        <w:tc>
          <w:tcPr>
            <w:tcW w:w="1134" w:type="dxa"/>
            <w:vMerge w:val="continue"/>
            <w:vAlign w:val="center"/>
          </w:tcPr>
          <w:p>
            <w:pPr>
              <w:spacing w:line="276" w:lineRule="auto"/>
              <w:jc w:val="center"/>
              <w:rPr>
                <w:rFonts w:ascii="宋体" w:hAnsi="宋体"/>
                <w:sz w:val="21"/>
                <w:szCs w:val="21"/>
              </w:rPr>
            </w:pPr>
          </w:p>
        </w:tc>
        <w:tc>
          <w:tcPr>
            <w:tcW w:w="1200" w:type="dxa"/>
            <w:vMerge w:val="continue"/>
            <w:vAlign w:val="center"/>
          </w:tcPr>
          <w:p>
            <w:pPr>
              <w:spacing w:line="276" w:lineRule="auto"/>
              <w:rPr>
                <w:rFonts w:ascii="宋体" w:hAnsi="宋体"/>
                <w:sz w:val="21"/>
                <w:szCs w:val="21"/>
              </w:rPr>
            </w:pPr>
          </w:p>
        </w:tc>
        <w:tc>
          <w:tcPr>
            <w:tcW w:w="1493" w:type="dxa"/>
            <w:vAlign w:val="center"/>
          </w:tcPr>
          <w:p>
            <w:pPr>
              <w:spacing w:line="276" w:lineRule="auto"/>
              <w:jc w:val="center"/>
              <w:rPr>
                <w:rFonts w:ascii="宋体" w:hAnsi="宋体"/>
                <w:sz w:val="21"/>
                <w:szCs w:val="21"/>
              </w:rPr>
            </w:pPr>
            <w:r>
              <w:rPr>
                <w:rFonts w:hint="eastAsia" w:ascii="宋体" w:hAnsi="宋体"/>
                <w:sz w:val="21"/>
                <w:szCs w:val="21"/>
              </w:rPr>
              <w:t>工程质量管理体系及保证措施</w:t>
            </w:r>
          </w:p>
        </w:tc>
        <w:tc>
          <w:tcPr>
            <w:tcW w:w="709" w:type="dxa"/>
            <w:vAlign w:val="center"/>
          </w:tcPr>
          <w:p>
            <w:pPr>
              <w:spacing w:line="276" w:lineRule="auto"/>
              <w:jc w:val="center"/>
              <w:rPr>
                <w:rFonts w:ascii="宋体" w:hAnsi="宋体"/>
                <w:sz w:val="21"/>
                <w:szCs w:val="21"/>
              </w:rPr>
            </w:pPr>
            <w:r>
              <w:rPr>
                <w:rFonts w:ascii="宋体" w:hAnsi="宋体"/>
                <w:sz w:val="21"/>
                <w:szCs w:val="21"/>
              </w:rPr>
              <w:t>3</w:t>
            </w:r>
            <w:r>
              <w:rPr>
                <w:rFonts w:hint="eastAsia" w:ascii="宋体" w:hAnsi="宋体"/>
                <w:sz w:val="21"/>
                <w:szCs w:val="21"/>
              </w:rPr>
              <w:t>分</w:t>
            </w:r>
          </w:p>
        </w:tc>
        <w:tc>
          <w:tcPr>
            <w:tcW w:w="3961" w:type="dxa"/>
            <w:vAlign w:val="center"/>
          </w:tcPr>
          <w:p>
            <w:pPr>
              <w:spacing w:line="276" w:lineRule="auto"/>
              <w:rPr>
                <w:rFonts w:ascii="宋体" w:hAnsi="宋体"/>
                <w:sz w:val="21"/>
                <w:szCs w:val="21"/>
              </w:rPr>
            </w:pPr>
            <w:r>
              <w:rPr>
                <w:rFonts w:hint="eastAsia" w:ascii="宋体" w:hAnsi="宋体"/>
                <w:sz w:val="21"/>
                <w:szCs w:val="21"/>
              </w:rPr>
              <w:t>体系及措施基本完善、合理，实施性一般，得</w:t>
            </w:r>
            <w:r>
              <w:rPr>
                <w:rFonts w:ascii="宋体" w:hAnsi="宋体"/>
                <w:sz w:val="21"/>
                <w:szCs w:val="21"/>
              </w:rPr>
              <w:t>1.8</w:t>
            </w:r>
            <w:r>
              <w:rPr>
                <w:rFonts w:hint="eastAsia" w:ascii="宋体" w:hAnsi="宋体"/>
                <w:sz w:val="21"/>
                <w:szCs w:val="21"/>
              </w:rPr>
              <w:t>分；</w:t>
            </w:r>
          </w:p>
          <w:p>
            <w:pPr>
              <w:spacing w:line="276" w:lineRule="auto"/>
              <w:rPr>
                <w:rFonts w:ascii="宋体" w:hAnsi="宋体"/>
                <w:sz w:val="21"/>
                <w:szCs w:val="21"/>
              </w:rPr>
            </w:pPr>
            <w:r>
              <w:rPr>
                <w:rFonts w:hint="eastAsia" w:ascii="宋体" w:hAnsi="宋体"/>
                <w:sz w:val="21"/>
                <w:szCs w:val="21"/>
              </w:rPr>
              <w:t>体系及措施较完善、合理，实施性较强，得</w:t>
            </w:r>
            <w:r>
              <w:rPr>
                <w:rFonts w:ascii="宋体" w:hAnsi="宋体"/>
                <w:sz w:val="21"/>
                <w:szCs w:val="21"/>
              </w:rPr>
              <w:t>1.9</w:t>
            </w:r>
            <w:r>
              <w:rPr>
                <w:rFonts w:hint="eastAsia" w:ascii="宋体" w:hAnsi="宋体"/>
                <w:sz w:val="21"/>
                <w:szCs w:val="21"/>
              </w:rPr>
              <w:t>-</w:t>
            </w:r>
            <w:r>
              <w:rPr>
                <w:rFonts w:ascii="宋体" w:hAnsi="宋体"/>
                <w:sz w:val="21"/>
                <w:szCs w:val="21"/>
              </w:rPr>
              <w:t>2.4</w:t>
            </w:r>
            <w:r>
              <w:rPr>
                <w:rFonts w:hint="eastAsia" w:ascii="宋体" w:hAnsi="宋体"/>
                <w:sz w:val="21"/>
                <w:szCs w:val="21"/>
              </w:rPr>
              <w:t>分；</w:t>
            </w:r>
          </w:p>
          <w:p>
            <w:pPr>
              <w:spacing w:line="276" w:lineRule="auto"/>
              <w:rPr>
                <w:rFonts w:ascii="宋体" w:hAnsi="宋体"/>
                <w:sz w:val="21"/>
                <w:szCs w:val="21"/>
              </w:rPr>
            </w:pPr>
            <w:r>
              <w:rPr>
                <w:rFonts w:hint="eastAsia" w:ascii="宋体" w:hAnsi="宋体"/>
                <w:sz w:val="21"/>
                <w:szCs w:val="21"/>
              </w:rPr>
              <w:t>体系及措施完善、合理，实施性强，得</w:t>
            </w:r>
            <w:r>
              <w:rPr>
                <w:rFonts w:ascii="宋体" w:hAnsi="宋体"/>
                <w:sz w:val="21"/>
                <w:szCs w:val="21"/>
              </w:rPr>
              <w:t>2.5</w:t>
            </w:r>
            <w:r>
              <w:rPr>
                <w:rFonts w:hint="eastAsia" w:ascii="宋体" w:hAnsi="宋体"/>
                <w:sz w:val="21"/>
                <w:szCs w:val="21"/>
              </w:rPr>
              <w:t>-</w:t>
            </w:r>
            <w:r>
              <w:rPr>
                <w:rFonts w:ascii="宋体" w:hAnsi="宋体"/>
                <w:sz w:val="21"/>
                <w:szCs w:val="21"/>
              </w:rPr>
              <w:t>3.0</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Merge w:val="continue"/>
            <w:vAlign w:val="center"/>
          </w:tcPr>
          <w:p>
            <w:pPr>
              <w:spacing w:line="276" w:lineRule="auto"/>
              <w:jc w:val="center"/>
              <w:rPr>
                <w:rFonts w:ascii="宋体" w:hAnsi="宋体"/>
                <w:sz w:val="21"/>
                <w:szCs w:val="21"/>
              </w:rPr>
            </w:pPr>
          </w:p>
        </w:tc>
        <w:tc>
          <w:tcPr>
            <w:tcW w:w="1134" w:type="dxa"/>
            <w:vMerge w:val="continue"/>
            <w:vAlign w:val="center"/>
          </w:tcPr>
          <w:p>
            <w:pPr>
              <w:spacing w:line="276" w:lineRule="auto"/>
              <w:jc w:val="center"/>
              <w:rPr>
                <w:rFonts w:ascii="宋体" w:hAnsi="宋体"/>
                <w:sz w:val="21"/>
                <w:szCs w:val="21"/>
              </w:rPr>
            </w:pPr>
          </w:p>
        </w:tc>
        <w:tc>
          <w:tcPr>
            <w:tcW w:w="1200" w:type="dxa"/>
            <w:vMerge w:val="continue"/>
            <w:vAlign w:val="center"/>
          </w:tcPr>
          <w:p>
            <w:pPr>
              <w:spacing w:line="276" w:lineRule="auto"/>
              <w:rPr>
                <w:rFonts w:ascii="宋体" w:hAnsi="宋体"/>
                <w:sz w:val="21"/>
                <w:szCs w:val="21"/>
              </w:rPr>
            </w:pPr>
          </w:p>
        </w:tc>
        <w:tc>
          <w:tcPr>
            <w:tcW w:w="1493" w:type="dxa"/>
            <w:vAlign w:val="center"/>
          </w:tcPr>
          <w:p>
            <w:pPr>
              <w:spacing w:line="276" w:lineRule="auto"/>
              <w:jc w:val="center"/>
              <w:rPr>
                <w:rFonts w:ascii="宋体" w:hAnsi="宋体"/>
                <w:sz w:val="21"/>
                <w:szCs w:val="21"/>
              </w:rPr>
            </w:pPr>
            <w:r>
              <w:rPr>
                <w:rFonts w:hint="eastAsia" w:ascii="宋体" w:hAnsi="宋体"/>
                <w:sz w:val="21"/>
                <w:szCs w:val="21"/>
              </w:rPr>
              <w:t>安全生产管理体系及保证措施</w:t>
            </w:r>
          </w:p>
        </w:tc>
        <w:tc>
          <w:tcPr>
            <w:tcW w:w="709" w:type="dxa"/>
            <w:vAlign w:val="center"/>
          </w:tcPr>
          <w:p>
            <w:pPr>
              <w:spacing w:line="276" w:lineRule="auto"/>
              <w:jc w:val="center"/>
              <w:rPr>
                <w:rFonts w:ascii="宋体" w:hAnsi="宋体"/>
                <w:sz w:val="21"/>
                <w:szCs w:val="21"/>
              </w:rPr>
            </w:pPr>
            <w:r>
              <w:rPr>
                <w:rFonts w:ascii="宋体" w:hAnsi="宋体"/>
                <w:sz w:val="21"/>
                <w:szCs w:val="21"/>
              </w:rPr>
              <w:t>3</w:t>
            </w:r>
            <w:r>
              <w:rPr>
                <w:rFonts w:hint="eastAsia" w:ascii="宋体" w:hAnsi="宋体"/>
                <w:sz w:val="21"/>
                <w:szCs w:val="21"/>
              </w:rPr>
              <w:t>分</w:t>
            </w:r>
          </w:p>
        </w:tc>
        <w:tc>
          <w:tcPr>
            <w:tcW w:w="3961" w:type="dxa"/>
            <w:vAlign w:val="center"/>
          </w:tcPr>
          <w:p>
            <w:pPr>
              <w:spacing w:line="276" w:lineRule="auto"/>
              <w:rPr>
                <w:rFonts w:ascii="宋体" w:hAnsi="宋体"/>
                <w:sz w:val="21"/>
                <w:szCs w:val="21"/>
              </w:rPr>
            </w:pPr>
            <w:r>
              <w:rPr>
                <w:rFonts w:hint="eastAsia" w:ascii="宋体" w:hAnsi="宋体"/>
                <w:sz w:val="21"/>
                <w:szCs w:val="21"/>
              </w:rPr>
              <w:t>体系及措施基本完善、合理，实施性一般，得</w:t>
            </w:r>
            <w:r>
              <w:rPr>
                <w:rFonts w:ascii="宋体" w:hAnsi="宋体"/>
                <w:sz w:val="21"/>
                <w:szCs w:val="21"/>
              </w:rPr>
              <w:t>1.8</w:t>
            </w:r>
            <w:r>
              <w:rPr>
                <w:rFonts w:hint="eastAsia" w:ascii="宋体" w:hAnsi="宋体"/>
                <w:sz w:val="21"/>
                <w:szCs w:val="21"/>
              </w:rPr>
              <w:t>分；</w:t>
            </w:r>
          </w:p>
          <w:p>
            <w:pPr>
              <w:spacing w:line="276" w:lineRule="auto"/>
              <w:rPr>
                <w:rFonts w:ascii="宋体" w:hAnsi="宋体"/>
                <w:sz w:val="21"/>
                <w:szCs w:val="21"/>
              </w:rPr>
            </w:pPr>
            <w:r>
              <w:rPr>
                <w:rFonts w:hint="eastAsia" w:ascii="宋体" w:hAnsi="宋体"/>
                <w:sz w:val="21"/>
                <w:szCs w:val="21"/>
              </w:rPr>
              <w:t>体系及措施较完善、合理，实施性较强，得</w:t>
            </w:r>
            <w:r>
              <w:rPr>
                <w:rFonts w:ascii="宋体" w:hAnsi="宋体"/>
                <w:sz w:val="21"/>
                <w:szCs w:val="21"/>
              </w:rPr>
              <w:t>1.9</w:t>
            </w:r>
            <w:r>
              <w:rPr>
                <w:rFonts w:hint="eastAsia" w:ascii="宋体" w:hAnsi="宋体"/>
                <w:sz w:val="21"/>
                <w:szCs w:val="21"/>
              </w:rPr>
              <w:t>-</w:t>
            </w:r>
            <w:r>
              <w:rPr>
                <w:rFonts w:ascii="宋体" w:hAnsi="宋体"/>
                <w:sz w:val="21"/>
                <w:szCs w:val="21"/>
              </w:rPr>
              <w:t>2.4</w:t>
            </w:r>
            <w:r>
              <w:rPr>
                <w:rFonts w:hint="eastAsia" w:ascii="宋体" w:hAnsi="宋体"/>
                <w:sz w:val="21"/>
                <w:szCs w:val="21"/>
              </w:rPr>
              <w:t>分；</w:t>
            </w:r>
          </w:p>
          <w:p>
            <w:pPr>
              <w:spacing w:line="276" w:lineRule="auto"/>
              <w:rPr>
                <w:rFonts w:ascii="宋体" w:hAnsi="宋体"/>
                <w:sz w:val="21"/>
                <w:szCs w:val="21"/>
              </w:rPr>
            </w:pPr>
            <w:r>
              <w:rPr>
                <w:rFonts w:hint="eastAsia" w:ascii="宋体" w:hAnsi="宋体"/>
                <w:sz w:val="21"/>
                <w:szCs w:val="21"/>
              </w:rPr>
              <w:t>体系及措施完善、合理，实施性强，得</w:t>
            </w:r>
            <w:r>
              <w:rPr>
                <w:rFonts w:ascii="宋体" w:hAnsi="宋体"/>
                <w:sz w:val="21"/>
                <w:szCs w:val="21"/>
              </w:rPr>
              <w:t>2.5</w:t>
            </w:r>
            <w:r>
              <w:rPr>
                <w:rFonts w:hint="eastAsia" w:ascii="宋体" w:hAnsi="宋体"/>
                <w:sz w:val="21"/>
                <w:szCs w:val="21"/>
              </w:rPr>
              <w:t>-</w:t>
            </w:r>
            <w:r>
              <w:rPr>
                <w:rFonts w:ascii="宋体" w:hAnsi="宋体"/>
                <w:sz w:val="21"/>
                <w:szCs w:val="21"/>
              </w:rPr>
              <w:t>3.0</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rFonts w:ascii="宋体" w:hAnsi="宋体"/>
                <w:sz w:val="21"/>
                <w:szCs w:val="21"/>
              </w:rPr>
            </w:pPr>
            <w:r>
              <w:rPr>
                <w:rFonts w:hint="eastAsia" w:ascii="宋体" w:hAnsi="宋体"/>
                <w:sz w:val="21"/>
                <w:szCs w:val="21"/>
              </w:rPr>
              <w:t>2.2.4（2）</w:t>
            </w:r>
          </w:p>
        </w:tc>
        <w:tc>
          <w:tcPr>
            <w:tcW w:w="1134" w:type="dxa"/>
            <w:vAlign w:val="center"/>
          </w:tcPr>
          <w:p>
            <w:pPr>
              <w:spacing w:line="276" w:lineRule="auto"/>
              <w:jc w:val="center"/>
              <w:rPr>
                <w:rFonts w:ascii="宋体" w:hAnsi="宋体"/>
                <w:sz w:val="21"/>
                <w:szCs w:val="21"/>
              </w:rPr>
            </w:pPr>
            <w:r>
              <w:rPr>
                <w:rFonts w:hint="eastAsia" w:ascii="宋体" w:hAnsi="宋体"/>
                <w:sz w:val="21"/>
                <w:szCs w:val="21"/>
              </w:rPr>
              <w:t>主要人员</w:t>
            </w:r>
          </w:p>
        </w:tc>
        <w:tc>
          <w:tcPr>
            <w:tcW w:w="1200" w:type="dxa"/>
            <w:vAlign w:val="center"/>
          </w:tcPr>
          <w:p>
            <w:pPr>
              <w:spacing w:line="276" w:lineRule="auto"/>
              <w:jc w:val="center"/>
              <w:rPr>
                <w:rFonts w:ascii="宋体" w:hAnsi="宋体"/>
                <w:sz w:val="21"/>
                <w:szCs w:val="21"/>
              </w:rPr>
            </w:pPr>
            <w:r>
              <w:rPr>
                <w:rFonts w:ascii="宋体" w:hAnsi="宋体"/>
                <w:sz w:val="21"/>
                <w:szCs w:val="21"/>
              </w:rPr>
              <w:t>10</w:t>
            </w:r>
            <w:r>
              <w:rPr>
                <w:rFonts w:hint="eastAsia" w:ascii="宋体" w:hAnsi="宋体"/>
                <w:sz w:val="21"/>
                <w:szCs w:val="21"/>
              </w:rPr>
              <w:t>分</w:t>
            </w:r>
          </w:p>
        </w:tc>
        <w:tc>
          <w:tcPr>
            <w:tcW w:w="1493" w:type="dxa"/>
            <w:vAlign w:val="center"/>
          </w:tcPr>
          <w:p>
            <w:pPr>
              <w:spacing w:line="276" w:lineRule="auto"/>
              <w:jc w:val="center"/>
              <w:rPr>
                <w:rFonts w:ascii="宋体" w:hAnsi="宋体"/>
                <w:sz w:val="21"/>
                <w:szCs w:val="21"/>
              </w:rPr>
            </w:pPr>
            <w:r>
              <w:rPr>
                <w:rFonts w:hint="eastAsia" w:ascii="宋体" w:hAnsi="宋体"/>
                <w:sz w:val="21"/>
                <w:szCs w:val="21"/>
              </w:rPr>
              <w:t>项目经理资格业绩</w:t>
            </w:r>
          </w:p>
        </w:tc>
        <w:tc>
          <w:tcPr>
            <w:tcW w:w="709" w:type="dxa"/>
            <w:vAlign w:val="center"/>
          </w:tcPr>
          <w:p>
            <w:pPr>
              <w:spacing w:line="276" w:lineRule="auto"/>
              <w:jc w:val="center"/>
              <w:rPr>
                <w:rFonts w:ascii="宋体" w:hAnsi="宋体"/>
                <w:sz w:val="21"/>
                <w:szCs w:val="21"/>
              </w:rPr>
            </w:pPr>
            <w:r>
              <w:rPr>
                <w:rFonts w:ascii="宋体" w:hAnsi="宋体"/>
                <w:sz w:val="21"/>
                <w:szCs w:val="21"/>
              </w:rPr>
              <w:t>10</w:t>
            </w:r>
            <w:r>
              <w:rPr>
                <w:rFonts w:hint="eastAsia" w:ascii="宋体" w:hAnsi="宋体"/>
                <w:sz w:val="21"/>
                <w:szCs w:val="21"/>
              </w:rPr>
              <w:t>分</w:t>
            </w:r>
          </w:p>
        </w:tc>
        <w:tc>
          <w:tcPr>
            <w:tcW w:w="3961" w:type="dxa"/>
            <w:vAlign w:val="center"/>
          </w:tcPr>
          <w:p>
            <w:pPr>
              <w:spacing w:line="276" w:lineRule="auto"/>
              <w:rPr>
                <w:rFonts w:ascii="宋体" w:hAnsi="宋体"/>
                <w:sz w:val="21"/>
                <w:szCs w:val="21"/>
              </w:rPr>
            </w:pPr>
            <w:r>
              <w:rPr>
                <w:rFonts w:hint="eastAsia" w:ascii="宋体" w:hAnsi="宋体"/>
                <w:sz w:val="21"/>
                <w:szCs w:val="21"/>
              </w:rPr>
              <w:t>项目经理业绩满足资格审查条件（项目经理最低要求）得</w:t>
            </w:r>
            <w:r>
              <w:rPr>
                <w:rFonts w:ascii="宋体" w:hAnsi="宋体"/>
                <w:sz w:val="21"/>
                <w:szCs w:val="21"/>
              </w:rPr>
              <w:t>6.0</w:t>
            </w:r>
            <w:r>
              <w:rPr>
                <w:rFonts w:hint="eastAsia" w:ascii="宋体" w:hAnsi="宋体"/>
                <w:sz w:val="21"/>
                <w:szCs w:val="21"/>
              </w:rPr>
              <w:t>分；</w:t>
            </w:r>
          </w:p>
          <w:p>
            <w:pPr>
              <w:spacing w:line="276" w:lineRule="auto"/>
              <w:rPr>
                <w:rFonts w:ascii="宋体" w:hAnsi="宋体"/>
                <w:sz w:val="21"/>
                <w:szCs w:val="21"/>
              </w:rPr>
            </w:pPr>
            <w:r>
              <w:rPr>
                <w:rFonts w:hint="eastAsia" w:ascii="宋体" w:hAnsi="宋体"/>
                <w:sz w:val="21"/>
                <w:szCs w:val="21"/>
              </w:rPr>
              <w:t>项目经理具有一级建造师执业资格注册证书（机电工程专业）加2</w:t>
            </w:r>
            <w:r>
              <w:rPr>
                <w:rFonts w:ascii="宋体" w:hAnsi="宋体"/>
                <w:sz w:val="21"/>
                <w:szCs w:val="21"/>
              </w:rPr>
              <w:t>.0</w:t>
            </w:r>
            <w:r>
              <w:rPr>
                <w:rFonts w:hint="eastAsia" w:ascii="宋体" w:hAnsi="宋体"/>
                <w:sz w:val="21"/>
                <w:szCs w:val="21"/>
              </w:rPr>
              <w:t>分；</w:t>
            </w:r>
          </w:p>
          <w:p>
            <w:pPr>
              <w:spacing w:line="276" w:lineRule="auto"/>
              <w:rPr>
                <w:rFonts w:ascii="宋体" w:hAnsi="宋体"/>
                <w:sz w:val="21"/>
                <w:szCs w:val="21"/>
              </w:rPr>
            </w:pPr>
            <w:r>
              <w:rPr>
                <w:rFonts w:hint="eastAsia" w:ascii="宋体" w:hAnsi="宋体"/>
                <w:sz w:val="21"/>
                <w:szCs w:val="21"/>
              </w:rPr>
              <w:t>项目经理每增加1项满足资格审查条件（项目经理最低要求）的业绩加</w:t>
            </w:r>
            <w:r>
              <w:rPr>
                <w:rFonts w:ascii="宋体" w:hAnsi="宋体"/>
                <w:sz w:val="21"/>
                <w:szCs w:val="21"/>
              </w:rPr>
              <w:t>2.0</w:t>
            </w:r>
            <w:r>
              <w:rPr>
                <w:rFonts w:hint="eastAsia" w:ascii="宋体" w:hAnsi="宋体"/>
                <w:sz w:val="21"/>
                <w:szCs w:val="21"/>
              </w:rPr>
              <w:t>分，最多加</w:t>
            </w:r>
            <w:r>
              <w:rPr>
                <w:rFonts w:ascii="宋体" w:hAnsi="宋体"/>
                <w:sz w:val="21"/>
                <w:szCs w:val="21"/>
              </w:rPr>
              <w:t>2.0</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rFonts w:ascii="宋体" w:hAnsi="宋体"/>
                <w:sz w:val="21"/>
                <w:szCs w:val="21"/>
              </w:rPr>
            </w:pPr>
            <w:r>
              <w:rPr>
                <w:rFonts w:hint="eastAsia" w:ascii="宋体" w:hAnsi="宋体"/>
                <w:sz w:val="21"/>
                <w:szCs w:val="21"/>
              </w:rPr>
              <w:t>2.2.4（3）</w:t>
            </w:r>
          </w:p>
        </w:tc>
        <w:tc>
          <w:tcPr>
            <w:tcW w:w="1134" w:type="dxa"/>
            <w:vAlign w:val="center"/>
          </w:tcPr>
          <w:p>
            <w:pPr>
              <w:spacing w:line="276" w:lineRule="auto"/>
              <w:jc w:val="center"/>
              <w:rPr>
                <w:rFonts w:ascii="宋体" w:hAnsi="宋体"/>
                <w:sz w:val="21"/>
                <w:szCs w:val="21"/>
              </w:rPr>
            </w:pPr>
            <w:r>
              <w:rPr>
                <w:rFonts w:hint="eastAsia" w:ascii="宋体" w:hAnsi="宋体"/>
                <w:sz w:val="21"/>
                <w:szCs w:val="21"/>
              </w:rPr>
              <w:t>评标价</w:t>
            </w:r>
          </w:p>
        </w:tc>
        <w:tc>
          <w:tcPr>
            <w:tcW w:w="1200" w:type="dxa"/>
            <w:vAlign w:val="center"/>
          </w:tcPr>
          <w:p>
            <w:pPr>
              <w:spacing w:line="276" w:lineRule="auto"/>
              <w:jc w:val="center"/>
              <w:rPr>
                <w:rFonts w:ascii="宋体" w:hAnsi="宋体"/>
                <w:sz w:val="21"/>
                <w:szCs w:val="21"/>
              </w:rPr>
            </w:pPr>
            <w:r>
              <w:rPr>
                <w:rFonts w:ascii="宋体" w:hAnsi="宋体"/>
                <w:sz w:val="21"/>
                <w:szCs w:val="21"/>
              </w:rPr>
              <w:t>60</w:t>
            </w:r>
            <w:r>
              <w:rPr>
                <w:rFonts w:hint="eastAsia" w:ascii="宋体" w:hAnsi="宋体"/>
                <w:sz w:val="21"/>
                <w:szCs w:val="21"/>
              </w:rPr>
              <w:t>分</w:t>
            </w:r>
          </w:p>
        </w:tc>
        <w:tc>
          <w:tcPr>
            <w:tcW w:w="6163" w:type="dxa"/>
            <w:gridSpan w:val="3"/>
            <w:vAlign w:val="center"/>
          </w:tcPr>
          <w:p>
            <w:pPr>
              <w:snapToGrid w:val="0"/>
              <w:spacing w:line="276" w:lineRule="auto"/>
              <w:ind w:left="113" w:right="113" w:firstLine="210" w:firstLineChars="100"/>
              <w:rPr>
                <w:rFonts w:ascii="宋体" w:hAnsi="宋体"/>
                <w:sz w:val="21"/>
                <w:szCs w:val="21"/>
              </w:rPr>
            </w:pPr>
            <w:r>
              <w:rPr>
                <w:rFonts w:hint="eastAsia" w:ascii="宋体" w:hAnsi="宋体"/>
                <w:sz w:val="21"/>
                <w:szCs w:val="21"/>
              </w:rPr>
              <w:t>评标价得分计算公式示例：</w:t>
            </w:r>
          </w:p>
          <w:p>
            <w:pPr>
              <w:snapToGrid w:val="0"/>
              <w:spacing w:line="276" w:lineRule="auto"/>
              <w:ind w:left="113" w:right="113" w:firstLine="210" w:firstLineChars="100"/>
              <w:rPr>
                <w:rFonts w:ascii="宋体" w:hAnsi="宋体"/>
                <w:sz w:val="21"/>
                <w:szCs w:val="21"/>
              </w:rPr>
            </w:pPr>
            <w:r>
              <w:rPr>
                <w:rFonts w:hint="eastAsia" w:ascii="宋体" w:hAnsi="宋体"/>
                <w:sz w:val="21"/>
                <w:szCs w:val="21"/>
              </w:rPr>
              <w:t>（1）如果投标人的评标价＞评标基准价，则评标价得分=</w:t>
            </w:r>
            <w:r>
              <w:rPr>
                <w:rFonts w:ascii="宋体" w:hAnsi="宋体"/>
                <w:sz w:val="21"/>
                <w:szCs w:val="21"/>
              </w:rPr>
              <w:t>6</w:t>
            </w:r>
            <w:r>
              <w:rPr>
                <w:rFonts w:hint="eastAsia" w:ascii="宋体" w:hAnsi="宋体"/>
                <w:sz w:val="21"/>
                <w:szCs w:val="21"/>
              </w:rPr>
              <w:t>0-偏差率×100×E1；</w:t>
            </w:r>
          </w:p>
          <w:p>
            <w:pPr>
              <w:snapToGrid w:val="0"/>
              <w:spacing w:line="276" w:lineRule="auto"/>
              <w:ind w:left="113" w:right="113" w:firstLine="210" w:firstLineChars="100"/>
              <w:rPr>
                <w:rFonts w:ascii="宋体" w:hAnsi="宋体"/>
                <w:sz w:val="21"/>
                <w:szCs w:val="21"/>
              </w:rPr>
            </w:pPr>
            <w:r>
              <w:rPr>
                <w:rFonts w:hint="eastAsia" w:ascii="宋体" w:hAnsi="宋体"/>
                <w:sz w:val="21"/>
                <w:szCs w:val="21"/>
              </w:rPr>
              <w:t>（2）如果投标人的评标价≤评标基准价，则评标价得分=</w:t>
            </w:r>
            <w:r>
              <w:rPr>
                <w:rFonts w:ascii="宋体" w:hAnsi="宋体"/>
                <w:sz w:val="21"/>
                <w:szCs w:val="21"/>
              </w:rPr>
              <w:t>6</w:t>
            </w:r>
            <w:r>
              <w:rPr>
                <w:rFonts w:hint="eastAsia" w:ascii="宋体" w:hAnsi="宋体"/>
                <w:sz w:val="21"/>
                <w:szCs w:val="21"/>
              </w:rPr>
              <w:t>0+偏差率×100×E2；</w:t>
            </w:r>
          </w:p>
          <w:p>
            <w:pPr>
              <w:adjustRightInd w:val="0"/>
              <w:snapToGrid w:val="0"/>
              <w:spacing w:line="276" w:lineRule="auto"/>
              <w:ind w:firstLine="210" w:firstLineChars="100"/>
              <w:rPr>
                <w:rFonts w:ascii="宋体" w:hAnsi="宋体"/>
                <w:sz w:val="21"/>
                <w:szCs w:val="21"/>
              </w:rPr>
            </w:pPr>
            <w:r>
              <w:rPr>
                <w:rFonts w:hint="eastAsia" w:ascii="宋体" w:hAnsi="宋体"/>
                <w:sz w:val="21"/>
                <w:szCs w:val="21"/>
              </w:rPr>
              <w:t>其中：</w:t>
            </w:r>
          </w:p>
          <w:p>
            <w:pPr>
              <w:adjustRightInd w:val="0"/>
              <w:snapToGrid w:val="0"/>
              <w:spacing w:line="276" w:lineRule="auto"/>
              <w:ind w:firstLine="210" w:firstLineChars="100"/>
              <w:rPr>
                <w:rFonts w:ascii="宋体" w:hAnsi="宋体"/>
                <w:sz w:val="21"/>
                <w:szCs w:val="21"/>
              </w:rPr>
            </w:pPr>
            <w:r>
              <w:rPr>
                <w:rFonts w:hint="eastAsia" w:ascii="宋体" w:hAnsi="宋体"/>
                <w:sz w:val="21"/>
                <w:szCs w:val="21"/>
              </w:rPr>
              <w:t>E1是评标价每高于评标基准价一个百分点的扣分值，</w:t>
            </w:r>
            <w:r>
              <w:rPr>
                <w:rFonts w:ascii="宋体" w:hAnsi="宋体"/>
                <w:sz w:val="21"/>
                <w:szCs w:val="21"/>
              </w:rPr>
              <w:t>E</w:t>
            </w:r>
            <w:r>
              <w:rPr>
                <w:rFonts w:hint="eastAsia" w:ascii="宋体" w:hAnsi="宋体"/>
                <w:sz w:val="21"/>
                <w:szCs w:val="21"/>
              </w:rPr>
              <w:t>1＝</w:t>
            </w:r>
            <w:r>
              <w:rPr>
                <w:rFonts w:ascii="宋体" w:hAnsi="宋体"/>
                <w:sz w:val="21"/>
                <w:szCs w:val="21"/>
              </w:rPr>
              <w:t>0.6</w:t>
            </w:r>
            <w:r>
              <w:rPr>
                <w:rFonts w:hint="eastAsia" w:ascii="宋体" w:hAnsi="宋体"/>
                <w:sz w:val="21"/>
                <w:szCs w:val="21"/>
              </w:rPr>
              <w:t>；</w:t>
            </w:r>
          </w:p>
          <w:p>
            <w:pPr>
              <w:spacing w:line="276" w:lineRule="auto"/>
              <w:ind w:firstLine="210" w:firstLineChars="100"/>
              <w:rPr>
                <w:rFonts w:ascii="宋体" w:hAnsi="宋体"/>
                <w:sz w:val="21"/>
                <w:szCs w:val="21"/>
              </w:rPr>
            </w:pPr>
            <w:r>
              <w:rPr>
                <w:rFonts w:hint="eastAsia" w:ascii="宋体" w:hAnsi="宋体"/>
                <w:sz w:val="21"/>
                <w:szCs w:val="21"/>
              </w:rPr>
              <w:t>E2是评标价每低于评标基准价一个百分点的扣分值，</w:t>
            </w:r>
            <w:r>
              <w:rPr>
                <w:rFonts w:ascii="宋体" w:hAnsi="宋体"/>
                <w:sz w:val="21"/>
                <w:szCs w:val="21"/>
              </w:rPr>
              <w:t>E</w:t>
            </w:r>
            <w:r>
              <w:rPr>
                <w:rFonts w:hint="eastAsia" w:ascii="宋体" w:hAnsi="宋体"/>
                <w:sz w:val="21"/>
                <w:szCs w:val="21"/>
              </w:rPr>
              <w:t>2＝</w:t>
            </w:r>
            <w:r>
              <w:rPr>
                <w:rFonts w:ascii="宋体" w:hAnsi="宋体"/>
                <w:sz w:val="21"/>
                <w:szCs w:val="21"/>
              </w:rPr>
              <w:t>0.3</w:t>
            </w:r>
            <w:r>
              <w:rPr>
                <w:rFonts w:hint="eastAsia" w:ascii="宋体" w:hAnsi="宋体"/>
                <w:sz w:val="21"/>
                <w:szCs w:val="21"/>
              </w:rPr>
              <w:t>。</w:t>
            </w:r>
          </w:p>
          <w:p>
            <w:pPr>
              <w:spacing w:line="276" w:lineRule="auto"/>
              <w:rPr>
                <w:rFonts w:ascii="宋体" w:hAnsi="宋体"/>
                <w:sz w:val="21"/>
                <w:szCs w:val="21"/>
              </w:rPr>
            </w:pPr>
            <w:r>
              <w:rPr>
                <w:rFonts w:ascii="宋体" w:hAnsi="宋体"/>
                <w:sz w:val="21"/>
                <w:szCs w:val="21"/>
              </w:rPr>
              <w:t>注：评标价</w:t>
            </w:r>
            <w:r>
              <w:rPr>
                <w:rFonts w:hint="eastAsia" w:ascii="宋体" w:hAnsi="宋体"/>
                <w:sz w:val="21"/>
                <w:szCs w:val="21"/>
              </w:rPr>
              <w:t>得分</w:t>
            </w:r>
            <w:r>
              <w:rPr>
                <w:rFonts w:ascii="宋体" w:hAnsi="宋体"/>
                <w:sz w:val="21"/>
                <w:szCs w:val="21"/>
              </w:rPr>
              <w:t>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2" w:type="dxa"/>
            <w:gridSpan w:val="5"/>
            <w:vAlign w:val="center"/>
          </w:tcPr>
          <w:p>
            <w:pPr>
              <w:spacing w:line="276" w:lineRule="auto"/>
              <w:jc w:val="center"/>
              <w:rPr>
                <w:rFonts w:ascii="宋体" w:hAnsi="宋体"/>
                <w:sz w:val="21"/>
                <w:szCs w:val="21"/>
              </w:rPr>
            </w:pPr>
            <w:r>
              <w:rPr>
                <w:rFonts w:hint="eastAsia" w:ascii="宋体" w:hAnsi="宋体"/>
                <w:sz w:val="21"/>
                <w:szCs w:val="21"/>
              </w:rPr>
              <w:t>评分因素与权重分值</w:t>
            </w:r>
          </w:p>
        </w:tc>
        <w:tc>
          <w:tcPr>
            <w:tcW w:w="3961" w:type="dxa"/>
            <w:vMerge w:val="restart"/>
            <w:vAlign w:val="center"/>
          </w:tcPr>
          <w:p>
            <w:pPr>
              <w:spacing w:line="276" w:lineRule="auto"/>
              <w:jc w:val="center"/>
              <w:rPr>
                <w:rFonts w:ascii="宋体" w:hAnsi="宋体"/>
                <w:sz w:val="21"/>
                <w:szCs w:val="21"/>
              </w:rPr>
            </w:pPr>
            <w:r>
              <w:rPr>
                <w:rFonts w:hint="eastAsia" w:ascii="宋体" w:hAnsi="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rFonts w:ascii="宋体" w:hAnsi="宋体"/>
                <w:sz w:val="21"/>
                <w:szCs w:val="21"/>
              </w:rPr>
            </w:pPr>
            <w:r>
              <w:rPr>
                <w:rFonts w:hint="eastAsia" w:ascii="宋体" w:hAnsi="宋体"/>
                <w:sz w:val="21"/>
                <w:szCs w:val="21"/>
              </w:rPr>
              <w:t>条款号</w:t>
            </w:r>
          </w:p>
        </w:tc>
        <w:tc>
          <w:tcPr>
            <w:tcW w:w="1134" w:type="dxa"/>
            <w:vAlign w:val="center"/>
          </w:tcPr>
          <w:p>
            <w:pPr>
              <w:spacing w:line="276" w:lineRule="auto"/>
              <w:jc w:val="center"/>
              <w:rPr>
                <w:rFonts w:ascii="宋体" w:hAnsi="宋体"/>
                <w:sz w:val="21"/>
                <w:szCs w:val="21"/>
              </w:rPr>
            </w:pPr>
            <w:r>
              <w:rPr>
                <w:rFonts w:hint="eastAsia" w:ascii="宋体" w:hAnsi="宋体"/>
                <w:sz w:val="21"/>
                <w:szCs w:val="21"/>
              </w:rPr>
              <w:t>评分因素</w:t>
            </w:r>
          </w:p>
        </w:tc>
        <w:tc>
          <w:tcPr>
            <w:tcW w:w="1200" w:type="dxa"/>
            <w:vAlign w:val="center"/>
          </w:tcPr>
          <w:p>
            <w:pPr>
              <w:spacing w:line="276" w:lineRule="auto"/>
              <w:jc w:val="center"/>
              <w:rPr>
                <w:rFonts w:ascii="宋体" w:hAnsi="宋体"/>
                <w:sz w:val="21"/>
                <w:szCs w:val="21"/>
              </w:rPr>
            </w:pPr>
            <w:r>
              <w:rPr>
                <w:rFonts w:hint="eastAsia" w:ascii="宋体" w:hAnsi="宋体"/>
                <w:sz w:val="21"/>
                <w:szCs w:val="21"/>
              </w:rPr>
              <w:t>评分因素权重分值</w:t>
            </w:r>
          </w:p>
        </w:tc>
        <w:tc>
          <w:tcPr>
            <w:tcW w:w="1493" w:type="dxa"/>
            <w:vAlign w:val="center"/>
          </w:tcPr>
          <w:p>
            <w:pPr>
              <w:spacing w:line="276" w:lineRule="auto"/>
              <w:jc w:val="center"/>
              <w:rPr>
                <w:rFonts w:ascii="宋体" w:hAnsi="宋体"/>
                <w:sz w:val="21"/>
                <w:szCs w:val="21"/>
              </w:rPr>
            </w:pPr>
            <w:r>
              <w:rPr>
                <w:rFonts w:hint="eastAsia" w:ascii="宋体" w:hAnsi="宋体"/>
                <w:sz w:val="21"/>
                <w:szCs w:val="21"/>
              </w:rPr>
              <w:t>各评分因素细分项</w:t>
            </w:r>
          </w:p>
        </w:tc>
        <w:tc>
          <w:tcPr>
            <w:tcW w:w="709" w:type="dxa"/>
            <w:vAlign w:val="center"/>
          </w:tcPr>
          <w:p>
            <w:pPr>
              <w:spacing w:line="276" w:lineRule="auto"/>
              <w:jc w:val="center"/>
              <w:rPr>
                <w:rFonts w:ascii="宋体" w:hAnsi="宋体"/>
                <w:sz w:val="21"/>
                <w:szCs w:val="21"/>
              </w:rPr>
            </w:pPr>
            <w:r>
              <w:rPr>
                <w:rFonts w:hint="eastAsia" w:ascii="宋体" w:hAnsi="宋体"/>
                <w:sz w:val="21"/>
                <w:szCs w:val="21"/>
              </w:rPr>
              <w:t>分值</w:t>
            </w:r>
          </w:p>
        </w:tc>
        <w:tc>
          <w:tcPr>
            <w:tcW w:w="3961" w:type="dxa"/>
            <w:vMerge w:val="continue"/>
            <w:vAlign w:val="center"/>
          </w:tcPr>
          <w:p>
            <w:pPr>
              <w:spacing w:line="276"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line="276" w:lineRule="auto"/>
              <w:jc w:val="center"/>
              <w:rPr>
                <w:rFonts w:ascii="宋体" w:hAnsi="宋体"/>
                <w:sz w:val="21"/>
                <w:szCs w:val="21"/>
              </w:rPr>
            </w:pPr>
            <w:r>
              <w:rPr>
                <w:rFonts w:hint="eastAsia" w:ascii="宋体" w:hAnsi="宋体"/>
                <w:sz w:val="21"/>
                <w:szCs w:val="21"/>
              </w:rPr>
              <w:t>2.2.4（</w:t>
            </w:r>
            <w:r>
              <w:rPr>
                <w:rFonts w:ascii="宋体" w:hAnsi="宋体"/>
                <w:sz w:val="21"/>
                <w:szCs w:val="21"/>
              </w:rPr>
              <w:t>4</w:t>
            </w:r>
            <w:r>
              <w:rPr>
                <w:rFonts w:hint="eastAsia" w:ascii="宋体" w:hAnsi="宋体"/>
                <w:sz w:val="21"/>
                <w:szCs w:val="21"/>
              </w:rPr>
              <w:t>）</w:t>
            </w:r>
          </w:p>
        </w:tc>
        <w:tc>
          <w:tcPr>
            <w:tcW w:w="1134" w:type="dxa"/>
            <w:vAlign w:val="center"/>
          </w:tcPr>
          <w:p>
            <w:pPr>
              <w:spacing w:line="276" w:lineRule="auto"/>
              <w:jc w:val="center"/>
              <w:rPr>
                <w:rFonts w:ascii="宋体" w:hAnsi="宋体"/>
                <w:sz w:val="21"/>
                <w:szCs w:val="21"/>
              </w:rPr>
            </w:pPr>
            <w:r>
              <w:rPr>
                <w:rFonts w:hint="eastAsia" w:ascii="宋体" w:hAnsi="宋体"/>
                <w:sz w:val="21"/>
                <w:szCs w:val="21"/>
              </w:rPr>
              <w:t>其他因素</w:t>
            </w:r>
          </w:p>
        </w:tc>
        <w:tc>
          <w:tcPr>
            <w:tcW w:w="1200" w:type="dxa"/>
            <w:vAlign w:val="center"/>
          </w:tcPr>
          <w:p>
            <w:pPr>
              <w:spacing w:line="276" w:lineRule="auto"/>
              <w:jc w:val="center"/>
              <w:rPr>
                <w:rFonts w:ascii="宋体" w:hAnsi="宋体"/>
                <w:sz w:val="21"/>
                <w:szCs w:val="21"/>
              </w:rPr>
            </w:pPr>
            <w:r>
              <w:rPr>
                <w:rFonts w:ascii="宋体" w:hAnsi="宋体"/>
                <w:sz w:val="21"/>
                <w:szCs w:val="21"/>
              </w:rPr>
              <w:t>10</w:t>
            </w:r>
            <w:r>
              <w:rPr>
                <w:rFonts w:hint="eastAsia" w:ascii="宋体" w:hAnsi="宋体"/>
                <w:sz w:val="21"/>
                <w:szCs w:val="21"/>
              </w:rPr>
              <w:t>分</w:t>
            </w:r>
          </w:p>
        </w:tc>
        <w:tc>
          <w:tcPr>
            <w:tcW w:w="1493" w:type="dxa"/>
            <w:vAlign w:val="center"/>
          </w:tcPr>
          <w:p>
            <w:pPr>
              <w:spacing w:line="276" w:lineRule="auto"/>
              <w:jc w:val="center"/>
              <w:rPr>
                <w:rFonts w:ascii="宋体" w:hAnsi="宋体"/>
                <w:sz w:val="21"/>
                <w:szCs w:val="21"/>
              </w:rPr>
            </w:pPr>
            <w:r>
              <w:rPr>
                <w:rFonts w:hint="eastAsia" w:ascii="宋体" w:hAnsi="宋体"/>
                <w:sz w:val="21"/>
                <w:szCs w:val="21"/>
              </w:rPr>
              <w:t>投标人类似项目业绩</w:t>
            </w:r>
          </w:p>
        </w:tc>
        <w:tc>
          <w:tcPr>
            <w:tcW w:w="709" w:type="dxa"/>
            <w:vAlign w:val="center"/>
          </w:tcPr>
          <w:p>
            <w:pPr>
              <w:spacing w:line="276" w:lineRule="auto"/>
              <w:jc w:val="center"/>
              <w:rPr>
                <w:rFonts w:ascii="宋体" w:hAnsi="宋体"/>
                <w:sz w:val="21"/>
                <w:szCs w:val="21"/>
              </w:rPr>
            </w:pPr>
            <w:r>
              <w:rPr>
                <w:rFonts w:ascii="宋体" w:hAnsi="宋体"/>
                <w:sz w:val="21"/>
                <w:szCs w:val="21"/>
              </w:rPr>
              <w:t>10</w:t>
            </w:r>
            <w:r>
              <w:rPr>
                <w:rFonts w:hint="eastAsia" w:ascii="宋体" w:hAnsi="宋体"/>
                <w:sz w:val="21"/>
                <w:szCs w:val="21"/>
              </w:rPr>
              <w:t>分</w:t>
            </w:r>
          </w:p>
        </w:tc>
        <w:tc>
          <w:tcPr>
            <w:tcW w:w="3961" w:type="dxa"/>
            <w:vAlign w:val="center"/>
          </w:tcPr>
          <w:p>
            <w:pPr>
              <w:spacing w:line="276" w:lineRule="auto"/>
              <w:rPr>
                <w:rFonts w:ascii="宋体" w:hAnsi="宋体"/>
                <w:sz w:val="21"/>
                <w:szCs w:val="21"/>
              </w:rPr>
            </w:pPr>
            <w:r>
              <w:rPr>
                <w:rFonts w:hint="eastAsia" w:ascii="宋体" w:hAnsi="宋体"/>
                <w:sz w:val="21"/>
                <w:szCs w:val="21"/>
              </w:rPr>
              <w:t>满足资格审查条件（业绩最低要求）得</w:t>
            </w:r>
            <w:r>
              <w:rPr>
                <w:rFonts w:ascii="宋体" w:hAnsi="宋体"/>
                <w:sz w:val="21"/>
                <w:szCs w:val="21"/>
              </w:rPr>
              <w:t>6</w:t>
            </w:r>
            <w:r>
              <w:rPr>
                <w:rFonts w:hint="eastAsia" w:ascii="宋体" w:hAnsi="宋体"/>
                <w:sz w:val="21"/>
                <w:szCs w:val="21"/>
              </w:rPr>
              <w:t>.</w:t>
            </w:r>
            <w:r>
              <w:rPr>
                <w:rFonts w:ascii="宋体" w:hAnsi="宋体"/>
                <w:sz w:val="21"/>
                <w:szCs w:val="21"/>
              </w:rPr>
              <w:t>0</w:t>
            </w:r>
            <w:r>
              <w:rPr>
                <w:rFonts w:hint="eastAsia" w:ascii="宋体" w:hAnsi="宋体"/>
                <w:sz w:val="21"/>
                <w:szCs w:val="21"/>
              </w:rPr>
              <w:t>分。</w:t>
            </w:r>
          </w:p>
          <w:p>
            <w:pPr>
              <w:spacing w:line="276" w:lineRule="auto"/>
              <w:rPr>
                <w:rFonts w:ascii="宋体" w:hAnsi="宋体"/>
                <w:sz w:val="21"/>
                <w:szCs w:val="21"/>
              </w:rPr>
            </w:pPr>
            <w:r>
              <w:rPr>
                <w:rFonts w:hint="eastAsia" w:ascii="宋体" w:hAnsi="宋体"/>
                <w:sz w:val="21"/>
                <w:szCs w:val="21"/>
              </w:rPr>
              <w:t>投标人每增加1项满足资格审查条件（业绩最低要求）的业绩加</w:t>
            </w:r>
            <w:r>
              <w:rPr>
                <w:rFonts w:ascii="宋体" w:hAnsi="宋体"/>
                <w:sz w:val="21"/>
                <w:szCs w:val="21"/>
              </w:rPr>
              <w:t>2.0</w:t>
            </w:r>
            <w:r>
              <w:rPr>
                <w:rFonts w:hint="eastAsia" w:ascii="宋体" w:hAnsi="宋体"/>
                <w:sz w:val="21"/>
                <w:szCs w:val="21"/>
              </w:rPr>
              <w:t>分，最多加</w:t>
            </w:r>
            <w:r>
              <w:rPr>
                <w:rFonts w:ascii="宋体" w:hAnsi="宋体"/>
                <w:sz w:val="21"/>
                <w:szCs w:val="21"/>
              </w:rPr>
              <w:t>4.0</w:t>
            </w:r>
            <w:r>
              <w:rPr>
                <w:rFonts w:hint="eastAsia" w:ascii="宋体" w:hAnsi="宋体"/>
                <w:sz w:val="21"/>
                <w:szCs w:val="21"/>
              </w:rPr>
              <w:t>分；</w:t>
            </w:r>
          </w:p>
        </w:tc>
      </w:tr>
    </w:tbl>
    <w:p>
      <w:pPr>
        <w:pStyle w:val="6"/>
        <w:spacing w:before="156" w:beforeLines="50" w:line="312" w:lineRule="auto"/>
        <w:rPr>
          <w:rFonts w:ascii="Times New Roman" w:hAnsi="Times New Roman"/>
        </w:rPr>
      </w:pPr>
      <w:r>
        <w:rPr>
          <w:rFonts w:ascii="Times New Roman" w:hAnsi="Times New Roman"/>
        </w:rPr>
        <w:t>注：</w:t>
      </w:r>
      <w:r>
        <w:rPr>
          <w:rFonts w:hint="eastAsia" w:ascii="Times New Roman" w:hAnsi="Times New Roman"/>
        </w:rPr>
        <w:t>1</w:t>
      </w:r>
      <w:r>
        <w:rPr>
          <w:rFonts w:ascii="Times New Roman" w:hAnsi="Times New Roman"/>
        </w:rPr>
        <w:t>.第2.2.4（1）项各评委打分保留1位小数，投标人该项得分以各评委打分平均值计算所得，保留两位小数，第三位小数四舍五入</w:t>
      </w:r>
      <w:r>
        <w:rPr>
          <w:rFonts w:hint="eastAsia" w:ascii="Times New Roman" w:hAnsi="Times New Roman"/>
        </w:rPr>
        <w:t>；</w:t>
      </w:r>
    </w:p>
    <w:p>
      <w:r>
        <w:t>2.评审因素缺项则该项得0分。</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bullet"/>
      <w:pStyle w:val="4"/>
      <w:lvlText w:val=""/>
      <w:lvlJc w:val="left"/>
      <w:pPr>
        <w:tabs>
          <w:tab w:val="left" w:pos="360"/>
        </w:tabs>
        <w:ind w:left="360" w:hanging="360"/>
      </w:pPr>
      <w:rPr>
        <w:rFonts w:hint="default" w:ascii="Wingdings" w:hAnsi="Wingdings"/>
      </w:rPr>
    </w:lvl>
  </w:abstractNum>
  <w:abstractNum w:abstractNumId="1">
    <w:nsid w:val="56CE6D2C"/>
    <w:multiLevelType w:val="singleLevel"/>
    <w:tmpl w:val="56CE6D2C"/>
    <w:lvl w:ilvl="0" w:tentative="0">
      <w:start w:val="0"/>
      <w:numFmt w:val="decimal"/>
      <w:pStyle w:val="5"/>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272161"/>
    <w:rsid w:val="00202472"/>
    <w:rsid w:val="00272161"/>
    <w:rsid w:val="002E0596"/>
    <w:rsid w:val="004335CE"/>
    <w:rsid w:val="00AE1EDE"/>
    <w:rsid w:val="00B74B38"/>
    <w:rsid w:val="00E60A7A"/>
    <w:rsid w:val="4451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paragraph" w:styleId="2">
    <w:name w:val="heading 3"/>
    <w:basedOn w:val="1"/>
    <w:next w:val="1"/>
    <w:link w:val="17"/>
    <w:qFormat/>
    <w:uiPriority w:val="0"/>
    <w:pPr>
      <w:keepNext/>
      <w:keepLines/>
      <w:spacing w:before="260" w:after="260" w:line="416" w:lineRule="auto"/>
      <w:outlineLvl w:val="2"/>
    </w:pPr>
    <w:rPr>
      <w:b/>
      <w:bCs/>
      <w:sz w:val="32"/>
      <w:szCs w:val="32"/>
    </w:rPr>
  </w:style>
  <w:style w:type="paragraph" w:styleId="3">
    <w:name w:val="heading 6"/>
    <w:basedOn w:val="1"/>
    <w:next w:val="1"/>
    <w:link w:val="18"/>
    <w:qFormat/>
    <w:uiPriority w:val="0"/>
    <w:pPr>
      <w:keepNext/>
      <w:keepLines/>
      <w:spacing w:before="240" w:after="64" w:line="320" w:lineRule="auto"/>
      <w:outlineLvl w:val="5"/>
    </w:pPr>
    <w:rPr>
      <w:rFonts w:ascii="Arial" w:hAnsi="Arial" w:eastAsia="黑体"/>
      <w:b/>
      <w:bCs/>
      <w:kern w:val="2"/>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List Bullet"/>
    <w:basedOn w:val="1"/>
    <w:qFormat/>
    <w:uiPriority w:val="0"/>
    <w:pPr>
      <w:numPr>
        <w:ilvl w:val="0"/>
        <w:numId w:val="1"/>
      </w:numPr>
    </w:pPr>
    <w:rPr>
      <w:kern w:val="2"/>
      <w:sz w:val="21"/>
      <w:szCs w:val="24"/>
    </w:rPr>
  </w:style>
  <w:style w:type="paragraph" w:styleId="5">
    <w:name w:val="Body Text"/>
    <w:basedOn w:val="1"/>
    <w:next w:val="1"/>
    <w:link w:val="11"/>
    <w:qFormat/>
    <w:uiPriority w:val="0"/>
    <w:pPr>
      <w:widowControl/>
      <w:numPr>
        <w:ilvl w:val="0"/>
        <w:numId w:val="2"/>
      </w:numPr>
      <w:overflowPunct w:val="0"/>
      <w:autoSpaceDE w:val="0"/>
      <w:autoSpaceDN w:val="0"/>
      <w:adjustRightInd w:val="0"/>
      <w:spacing w:line="360" w:lineRule="auto"/>
      <w:jc w:val="left"/>
      <w:textAlignment w:val="baseline"/>
      <w:outlineLvl w:val="0"/>
    </w:pPr>
  </w:style>
  <w:style w:type="paragraph" w:styleId="6">
    <w:name w:val="Plain Text"/>
    <w:basedOn w:val="1"/>
    <w:link w:val="20"/>
    <w:qFormat/>
    <w:uiPriority w:val="0"/>
    <w:rPr>
      <w:rFonts w:ascii="宋体" w:hAnsi="Courier New"/>
      <w:kern w:val="2"/>
      <w:sz w:val="21"/>
    </w:rPr>
  </w:style>
  <w:style w:type="paragraph" w:styleId="7">
    <w:name w:val="footer"/>
    <w:basedOn w:val="1"/>
    <w:link w:val="13"/>
    <w:unhideWhenUsed/>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tabs>
        <w:tab w:val="center" w:pos="4153"/>
        <w:tab w:val="right" w:pos="8306"/>
      </w:tabs>
      <w:snapToGrid w:val="0"/>
      <w:jc w:val="center"/>
    </w:pPr>
    <w:rPr>
      <w:sz w:val="18"/>
      <w:szCs w:val="18"/>
    </w:rPr>
  </w:style>
  <w:style w:type="character" w:customStyle="1" w:styleId="11">
    <w:name w:val="正文文本 字符"/>
    <w:basedOn w:val="10"/>
    <w:link w:val="5"/>
    <w:qFormat/>
    <w:uiPriority w:val="99"/>
  </w:style>
  <w:style w:type="character" w:customStyle="1" w:styleId="12">
    <w:name w:val="页眉 字符"/>
    <w:basedOn w:val="10"/>
    <w:link w:val="8"/>
    <w:uiPriority w:val="99"/>
    <w:rPr>
      <w:rFonts w:cs="Times New Roman"/>
      <w:kern w:val="28"/>
      <w:sz w:val="18"/>
      <w:szCs w:val="18"/>
    </w:rPr>
  </w:style>
  <w:style w:type="character" w:customStyle="1" w:styleId="13">
    <w:name w:val="页脚 字符"/>
    <w:basedOn w:val="10"/>
    <w:link w:val="7"/>
    <w:uiPriority w:val="99"/>
    <w:rPr>
      <w:rFonts w:cs="Times New Roman"/>
      <w:kern w:val="28"/>
      <w:sz w:val="18"/>
      <w:szCs w:val="18"/>
    </w:rPr>
  </w:style>
  <w:style w:type="character" w:customStyle="1" w:styleId="14">
    <w:name w:val="标题 3 字符"/>
    <w:basedOn w:val="10"/>
    <w:semiHidden/>
    <w:uiPriority w:val="9"/>
    <w:rPr>
      <w:rFonts w:cs="Times New Roman"/>
      <w:b/>
      <w:bCs/>
      <w:kern w:val="28"/>
      <w:sz w:val="32"/>
      <w:szCs w:val="32"/>
    </w:rPr>
  </w:style>
  <w:style w:type="character" w:customStyle="1" w:styleId="15">
    <w:name w:val="标题 6 字符"/>
    <w:basedOn w:val="10"/>
    <w:semiHidden/>
    <w:uiPriority w:val="9"/>
    <w:rPr>
      <w:rFonts w:asciiTheme="majorHAnsi" w:hAnsiTheme="majorHAnsi" w:eastAsiaTheme="majorEastAsia" w:cstheme="majorBidi"/>
      <w:b/>
      <w:bCs/>
      <w:kern w:val="28"/>
      <w:szCs w:val="24"/>
    </w:rPr>
  </w:style>
  <w:style w:type="character" w:customStyle="1" w:styleId="16">
    <w:name w:val="纯文本 字符"/>
    <w:basedOn w:val="10"/>
    <w:semiHidden/>
    <w:qFormat/>
    <w:uiPriority w:val="99"/>
    <w:rPr>
      <w:rFonts w:hAnsi="Courier New" w:cs="Courier New" w:asciiTheme="minorEastAsia" w:eastAsiaTheme="minorEastAsia"/>
      <w:kern w:val="28"/>
      <w:szCs w:val="20"/>
    </w:rPr>
  </w:style>
  <w:style w:type="character" w:customStyle="1" w:styleId="17">
    <w:name w:val="标题 3 字符2"/>
    <w:link w:val="2"/>
    <w:qFormat/>
    <w:uiPriority w:val="0"/>
    <w:rPr>
      <w:rFonts w:cs="Times New Roman"/>
      <w:b/>
      <w:bCs/>
      <w:kern w:val="28"/>
      <w:sz w:val="32"/>
      <w:szCs w:val="32"/>
    </w:rPr>
  </w:style>
  <w:style w:type="character" w:customStyle="1" w:styleId="18">
    <w:name w:val="标题 6 字符2"/>
    <w:link w:val="3"/>
    <w:qFormat/>
    <w:uiPriority w:val="0"/>
    <w:rPr>
      <w:rFonts w:ascii="Arial" w:hAnsi="Arial" w:eastAsia="黑体" w:cs="Times New Roman"/>
      <w:b/>
      <w:bCs/>
      <w:szCs w:val="24"/>
    </w:rPr>
  </w:style>
  <w:style w:type="character" w:customStyle="1" w:styleId="19">
    <w:name w:val="正文文本 字符3"/>
    <w:qFormat/>
    <w:uiPriority w:val="99"/>
    <w:rPr>
      <w:kern w:val="2"/>
      <w:sz w:val="28"/>
      <w:szCs w:val="24"/>
    </w:rPr>
  </w:style>
  <w:style w:type="character" w:customStyle="1" w:styleId="20">
    <w:name w:val="纯文本 字符3"/>
    <w:link w:val="6"/>
    <w:qFormat/>
    <w:uiPriority w:val="0"/>
    <w:rPr>
      <w:rFonts w:ascii="宋体" w:hAnsi="Courier New" w:cs="Times New Roman"/>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1033</Words>
  <Characters>5894</Characters>
  <Lines>49</Lines>
  <Paragraphs>13</Paragraphs>
  <TotalTime>0</TotalTime>
  <ScaleCrop>false</ScaleCrop>
  <LinksUpToDate>false</LinksUpToDate>
  <CharactersWithSpaces>6914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2023-10-10T09:19:00Z</dcterms:created>
  <dc:creator>nan hao</dc:creator>
  <cp:lastModifiedBy>李娜</cp:lastModifiedBy>
  <dcterms:modified xsi:type="dcterms:W3CDTF">2023-10-11T00:21:00Z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E444F07F0FB94570AF1F0DB67BF68F97_12</vt:lpwstr>
  </property>
</Properties>
</file>