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000000"/>
          <w:sz w:val="28"/>
          <w:szCs w:val="28"/>
        </w:rPr>
      </w:pPr>
      <w:r>
        <w:rPr>
          <w:rFonts w:hint="eastAsia" w:ascii="宋体" w:hAnsi="宋体" w:cs="宋体"/>
          <w:b/>
          <w:color w:val="000000"/>
          <w:sz w:val="28"/>
          <w:szCs w:val="28"/>
        </w:rPr>
        <w:t>附件1：资格审查条件</w:t>
      </w:r>
    </w:p>
    <w:p>
      <w:pPr>
        <w:rPr>
          <w:rFonts w:hint="eastAsia" w:ascii="宋体" w:hAnsi="宋体" w:cs="宋体"/>
          <w:b/>
          <w:color w:val="000000"/>
          <w:sz w:val="28"/>
          <w:szCs w:val="28"/>
        </w:rPr>
      </w:pPr>
    </w:p>
    <w:p>
      <w:pPr>
        <w:jc w:val="center"/>
        <w:rPr>
          <w:rFonts w:hint="eastAsia" w:ascii="宋体" w:hAnsi="宋体" w:cs="宋体"/>
          <w:color w:val="000000"/>
        </w:rPr>
      </w:pPr>
      <w:r>
        <w:rPr>
          <w:rFonts w:hint="eastAsia" w:ascii="宋体" w:hAnsi="宋体" w:cs="宋体"/>
          <w:b/>
          <w:color w:val="000000"/>
          <w:sz w:val="24"/>
        </w:rPr>
        <w:t>附录1 资格审查条件（资质最低要求）</w:t>
      </w:r>
    </w:p>
    <w:tbl>
      <w:tblPr>
        <w:tblStyle w:val="6"/>
        <w:tblpPr w:leftFromText="181" w:rightFromText="181" w:vertAnchor="text" w:horzAnchor="margin" w:tblpXSpec="center" w:tblpY="30"/>
        <w:tblW w:w="924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503"/>
        <w:gridCol w:w="77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1503" w:type="dxa"/>
            <w:noWrap w:val="0"/>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投标人身份</w:t>
            </w:r>
          </w:p>
        </w:tc>
        <w:tc>
          <w:tcPr>
            <w:tcW w:w="7746" w:type="dxa"/>
            <w:noWrap w:val="0"/>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31" w:hRule="atLeast"/>
        </w:trPr>
        <w:tc>
          <w:tcPr>
            <w:tcW w:w="1503"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制造商</w:t>
            </w:r>
          </w:p>
        </w:tc>
        <w:tc>
          <w:tcPr>
            <w:tcW w:w="7746" w:type="dxa"/>
            <w:noWrap w:val="0"/>
            <w:vAlign w:val="center"/>
          </w:tcPr>
          <w:p>
            <w:pPr>
              <w:adjustRightInd w:val="0"/>
              <w:snapToGrid w:val="0"/>
              <w:spacing w:line="400" w:lineRule="exact"/>
              <w:rPr>
                <w:rFonts w:ascii="宋体" w:hAnsi="宋体"/>
              </w:rPr>
            </w:pPr>
            <w:r>
              <w:rPr>
                <w:rFonts w:hint="eastAsia" w:ascii="宋体" w:hAnsi="宋体"/>
              </w:rPr>
              <w:t>投标人可以是国产设备制造商</w:t>
            </w:r>
            <w:r>
              <w:rPr>
                <w:rFonts w:hint="eastAsia"/>
              </w:rPr>
              <w:t>（含制造商的国内销售公司）</w:t>
            </w:r>
            <w:r>
              <w:rPr>
                <w:rFonts w:hint="eastAsia" w:ascii="宋体" w:hAnsi="宋体"/>
              </w:rPr>
              <w:t>或进口设备制造商的中国销售公司。</w:t>
            </w:r>
            <w:r>
              <w:rPr>
                <w:rFonts w:hint="eastAsia" w:ascii="宋体" w:hAnsi="宋体"/>
                <w:iCs/>
                <w:szCs w:val="21"/>
              </w:rPr>
              <w:t xml:space="preserve">持有有效的营业执照。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31" w:hRule="atLeast"/>
        </w:trPr>
        <w:tc>
          <w:tcPr>
            <w:tcW w:w="1503"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代理商</w:t>
            </w:r>
          </w:p>
        </w:tc>
        <w:tc>
          <w:tcPr>
            <w:tcW w:w="7746" w:type="dxa"/>
            <w:noWrap w:val="0"/>
            <w:vAlign w:val="center"/>
          </w:tcPr>
          <w:p>
            <w:pPr>
              <w:adjustRightInd w:val="0"/>
              <w:snapToGrid w:val="0"/>
              <w:spacing w:line="400" w:lineRule="exact"/>
              <w:rPr>
                <w:rFonts w:ascii="宋体" w:hAnsi="宋体"/>
              </w:rPr>
            </w:pPr>
            <w:r>
              <w:rPr>
                <w:rFonts w:hint="eastAsia" w:ascii="宋体" w:hAnsi="宋体"/>
              </w:rPr>
              <w:t>投标人应为具有独立法人资格的代理商，</w:t>
            </w:r>
            <w:r>
              <w:rPr>
                <w:rFonts w:hint="eastAsia" w:ascii="宋体" w:hAnsi="宋体"/>
                <w:iCs/>
                <w:szCs w:val="21"/>
              </w:rPr>
              <w:t>持有有效的营业执照。具有</w:t>
            </w:r>
            <w:r>
              <w:rPr>
                <w:rFonts w:hint="eastAsia" w:ascii="宋体" w:hAnsi="宋体"/>
                <w:szCs w:val="21"/>
              </w:rPr>
              <w:t>制造商针对设备出具的唯一授权书。且</w:t>
            </w:r>
            <w:r>
              <w:rPr>
                <w:rFonts w:hint="eastAsia" w:ascii="宋体" w:hAnsi="宋体" w:cs="宋体"/>
                <w:kern w:val="21"/>
                <w:szCs w:val="21"/>
              </w:rPr>
              <w:t>其代理的制造商必须满足对上述投标人为制造商的资质要求。</w:t>
            </w:r>
          </w:p>
        </w:tc>
      </w:tr>
    </w:tbl>
    <w:p>
      <w:pPr>
        <w:jc w:val="center"/>
        <w:rPr>
          <w:rFonts w:hint="eastAsia" w:ascii="宋体" w:hAnsi="宋体" w:cs="宋体"/>
          <w:b/>
          <w:color w:val="000000"/>
          <w:sz w:val="24"/>
        </w:rPr>
      </w:pPr>
    </w:p>
    <w:p>
      <w:pPr>
        <w:jc w:val="center"/>
        <w:rPr>
          <w:rFonts w:hint="eastAsia" w:ascii="宋体" w:hAnsi="宋体" w:cs="宋体"/>
          <w:b/>
          <w:color w:val="000000"/>
          <w:sz w:val="24"/>
        </w:rPr>
      </w:pPr>
      <w:r>
        <w:rPr>
          <w:rFonts w:hint="eastAsia" w:ascii="宋体" w:hAnsi="宋体" w:cs="宋体"/>
          <w:b/>
          <w:color w:val="000000"/>
          <w:sz w:val="24"/>
        </w:rPr>
        <w:t>附录2 资格审查条件（业绩最低要求）</w:t>
      </w:r>
    </w:p>
    <w:tbl>
      <w:tblPr>
        <w:tblStyle w:val="6"/>
        <w:tblW w:w="9356"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9"/>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1399" w:type="dxa"/>
            <w:noWrap w:val="0"/>
            <w:vAlign w:val="center"/>
          </w:tcPr>
          <w:p>
            <w:pPr>
              <w:wordWrap w:val="0"/>
              <w:adjustRightInd w:val="0"/>
              <w:snapToGrid w:val="0"/>
              <w:jc w:val="center"/>
              <w:rPr>
                <w:rFonts w:hint="eastAsia" w:ascii="宋体" w:hAnsi="宋体" w:cs="宋体"/>
                <w:b/>
                <w:color w:val="000000"/>
                <w:szCs w:val="21"/>
                <w:shd w:val="clear" w:color="auto" w:fill="FFFFFF"/>
              </w:rPr>
            </w:pPr>
            <w:r>
              <w:rPr>
                <w:rFonts w:hint="eastAsia" w:ascii="宋体" w:hAnsi="宋体" w:cs="宋体"/>
                <w:b/>
                <w:color w:val="000000"/>
                <w:szCs w:val="21"/>
                <w:shd w:val="clear" w:color="auto" w:fill="FFFFFF"/>
              </w:rPr>
              <w:t>标段</w:t>
            </w:r>
          </w:p>
        </w:tc>
        <w:tc>
          <w:tcPr>
            <w:tcW w:w="7957" w:type="dxa"/>
            <w:noWrap w:val="0"/>
            <w:vAlign w:val="center"/>
          </w:tcPr>
          <w:p>
            <w:pPr>
              <w:wordWrap w:val="0"/>
              <w:adjustRightInd w:val="0"/>
              <w:snapToGrid w:val="0"/>
              <w:jc w:val="center"/>
              <w:rPr>
                <w:rFonts w:hint="eastAsia" w:ascii="宋体" w:hAnsi="宋体" w:cs="宋体"/>
                <w:b/>
                <w:color w:val="000000"/>
                <w:szCs w:val="21"/>
                <w:shd w:val="clear" w:color="auto" w:fill="FFFFFF"/>
              </w:rPr>
            </w:pPr>
            <w:r>
              <w:rPr>
                <w:rFonts w:hint="eastAsia" w:ascii="宋体" w:hAnsi="宋体" w:cs="宋体"/>
                <w:b/>
                <w:color w:val="000000"/>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1399" w:type="dxa"/>
            <w:noWrap w:val="0"/>
            <w:vAlign w:val="center"/>
          </w:tcPr>
          <w:p>
            <w:pPr>
              <w:jc w:val="center"/>
              <w:rPr>
                <w:rFonts w:hint="eastAsia" w:ascii="宋体" w:hAnsi="宋体" w:cs="宋体"/>
                <w:szCs w:val="21"/>
              </w:rPr>
            </w:pPr>
            <w:r>
              <w:rPr>
                <w:rFonts w:hint="eastAsia" w:ascii="宋体" w:hAnsi="宋体" w:cs="宋体"/>
                <w:szCs w:val="21"/>
              </w:rPr>
              <w:t>1标段</w:t>
            </w:r>
          </w:p>
        </w:tc>
        <w:tc>
          <w:tcPr>
            <w:tcW w:w="7957" w:type="dxa"/>
            <w:noWrap w:val="0"/>
            <w:vAlign w:val="center"/>
          </w:tcPr>
          <w:p>
            <w:pPr>
              <w:adjustRightInd w:val="0"/>
              <w:snapToGrid w:val="0"/>
              <w:spacing w:line="288" w:lineRule="auto"/>
              <w:rPr>
                <w:rFonts w:hint="eastAsia" w:ascii="宋体" w:hAnsi="宋体" w:cs="宋体"/>
                <w:szCs w:val="21"/>
                <w:shd w:val="clear" w:color="auto" w:fill="FFFFFF"/>
              </w:rPr>
            </w:pPr>
            <w:r>
              <w:rPr>
                <w:rFonts w:hint="eastAsia" w:ascii="宋体" w:hAnsi="宋体" w:cs="宋体"/>
                <w:szCs w:val="21"/>
                <w:shd w:val="clear" w:color="auto" w:fill="FFFFFF"/>
              </w:rPr>
              <w:t>近3年内(2020年9月1日至今，以合同签订时间为准)至少有5辆危险品运输半挂牵引车、5辆易燃液体罐式运输半挂车的供货业绩。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1399" w:type="dxa"/>
            <w:noWrap w:val="0"/>
            <w:vAlign w:val="center"/>
          </w:tcPr>
          <w:p>
            <w:pPr>
              <w:jc w:val="center"/>
              <w:rPr>
                <w:rFonts w:hint="eastAsia" w:ascii="宋体" w:hAnsi="宋体" w:cs="宋体"/>
                <w:szCs w:val="21"/>
              </w:rPr>
            </w:pPr>
            <w:r>
              <w:rPr>
                <w:rFonts w:hint="eastAsia" w:ascii="宋体" w:hAnsi="宋体" w:cs="宋体"/>
                <w:szCs w:val="21"/>
              </w:rPr>
              <w:t>2标段</w:t>
            </w:r>
          </w:p>
        </w:tc>
        <w:tc>
          <w:tcPr>
            <w:tcW w:w="7957" w:type="dxa"/>
            <w:noWrap w:val="0"/>
            <w:vAlign w:val="center"/>
          </w:tcPr>
          <w:p>
            <w:pPr>
              <w:adjustRightInd w:val="0"/>
              <w:snapToGrid w:val="0"/>
              <w:spacing w:line="288" w:lineRule="auto"/>
              <w:rPr>
                <w:rFonts w:hint="eastAsia" w:ascii="宋体" w:hAnsi="宋体" w:cs="宋体"/>
                <w:szCs w:val="21"/>
                <w:shd w:val="clear" w:color="auto" w:fill="FFFFFF"/>
              </w:rPr>
            </w:pPr>
            <w:r>
              <w:rPr>
                <w:rFonts w:hint="eastAsia" w:ascii="宋体" w:hAnsi="宋体" w:cs="宋体"/>
                <w:szCs w:val="21"/>
                <w:shd w:val="clear" w:color="auto" w:fill="FFFFFF"/>
              </w:rPr>
              <w:t>近3年内(2020年9月1日至今，以合同签订时间为准)至少有5套车载液位仪、1套便携式流量计的供货业绩。</w:t>
            </w:r>
          </w:p>
        </w:tc>
      </w:tr>
    </w:tbl>
    <w:p>
      <w:pPr>
        <w:spacing w:line="288" w:lineRule="auto"/>
        <w:rPr>
          <w:rFonts w:hint="eastAsia" w:ascii="宋体" w:hAnsi="宋体" w:cs="宋体"/>
          <w:color w:val="000000"/>
          <w:szCs w:val="21"/>
        </w:rPr>
      </w:pPr>
      <w:r>
        <w:rPr>
          <w:rFonts w:hint="eastAsia" w:ascii="宋体" w:hAnsi="宋体" w:cs="宋体"/>
          <w:color w:val="000000"/>
          <w:szCs w:val="21"/>
        </w:rPr>
        <w:t>注：1、代理商和制造商的业绩可互用。</w:t>
      </w:r>
    </w:p>
    <w:p>
      <w:pPr>
        <w:spacing w:line="288"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以上业绩不包括制造商与代理商签订的合同业绩。</w:t>
      </w:r>
    </w:p>
    <w:p>
      <w:pPr>
        <w:jc w:val="center"/>
        <w:rPr>
          <w:rFonts w:hint="eastAsia" w:ascii="宋体" w:hAnsi="宋体" w:cs="宋体"/>
          <w:b/>
          <w:color w:val="000000"/>
          <w:sz w:val="24"/>
        </w:rPr>
      </w:pPr>
    </w:p>
    <w:p>
      <w:pPr>
        <w:jc w:val="center"/>
        <w:rPr>
          <w:rFonts w:hint="eastAsia" w:ascii="宋体" w:hAnsi="宋体" w:cs="宋体"/>
          <w:color w:val="000000"/>
        </w:rPr>
      </w:pPr>
      <w:r>
        <w:rPr>
          <w:rFonts w:hint="eastAsia" w:ascii="宋体" w:hAnsi="宋体" w:cs="宋体"/>
          <w:b/>
          <w:color w:val="000000"/>
          <w:sz w:val="24"/>
        </w:rPr>
        <w:t>附录3  资格审查条件（信誉最低要求）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234" w:type="dxa"/>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9234" w:type="dxa"/>
            <w:noWrap w:val="0"/>
            <w:vAlign w:val="center"/>
          </w:tcPr>
          <w:p>
            <w:pPr>
              <w:ind w:firstLine="420" w:firstLineChars="200"/>
              <w:rPr>
                <w:rFonts w:hint="eastAsia" w:ascii="宋体" w:hAnsi="宋体" w:cs="宋体"/>
                <w:color w:val="000000"/>
              </w:rPr>
            </w:pPr>
            <w:r>
              <w:rPr>
                <w:rFonts w:hint="eastAsia" w:ascii="宋体" w:hAnsi="宋体" w:cs="宋体"/>
                <w:color w:val="000000"/>
              </w:rPr>
              <w:t>投标人在过去1年中（2022年9月</w:t>
            </w:r>
            <w:r>
              <w:rPr>
                <w:rFonts w:hint="eastAsia" w:ascii="宋体" w:hAnsi="宋体" w:cs="宋体"/>
                <w:color w:val="000000"/>
                <w:szCs w:val="21"/>
                <w:shd w:val="clear" w:color="auto" w:fill="FFFFFF"/>
              </w:rPr>
              <w:t>1日至今</w:t>
            </w:r>
            <w:r>
              <w:rPr>
                <w:rFonts w:hint="eastAsia" w:ascii="宋体" w:hAnsi="宋体" w:cs="宋体"/>
                <w:color w:val="000000"/>
              </w:rPr>
              <w:t>）不曾在设备供货合同中违约而被驱逐或因投标人自身的原因而使设备供货合同被解除。</w:t>
            </w:r>
          </w:p>
        </w:tc>
      </w:tr>
    </w:tbl>
    <w:p>
      <w:r>
        <w:br w:type="page"/>
      </w:r>
    </w:p>
    <w:p>
      <w:pPr>
        <w:rPr>
          <w:rFonts w:hint="default" w:ascii="宋体" w:hAnsi="宋体" w:eastAsia="宋体" w:cs="宋体"/>
          <w:b/>
          <w:color w:val="000000"/>
          <w:sz w:val="28"/>
          <w:szCs w:val="28"/>
          <w:lang w:val="en-US" w:eastAsia="zh-CN"/>
        </w:rPr>
      </w:pPr>
      <w:r>
        <w:rPr>
          <w:rFonts w:hint="eastAsia" w:ascii="宋体" w:hAnsi="宋体" w:cs="宋体"/>
          <w:b/>
          <w:color w:val="000000"/>
          <w:sz w:val="28"/>
          <w:szCs w:val="28"/>
        </w:rPr>
        <w:t>附件</w:t>
      </w:r>
      <w:r>
        <w:rPr>
          <w:rFonts w:hint="eastAsia" w:ascii="宋体" w:hAnsi="宋体" w:cs="宋体"/>
          <w:b/>
          <w:color w:val="000000"/>
          <w:sz w:val="28"/>
          <w:szCs w:val="28"/>
          <w:lang w:val="en-US" w:eastAsia="zh-CN"/>
        </w:rPr>
        <w:t>2</w:t>
      </w:r>
      <w:r>
        <w:rPr>
          <w:rFonts w:hint="eastAsia" w:ascii="宋体" w:hAnsi="宋体" w:cs="宋体"/>
          <w:b/>
          <w:color w:val="000000"/>
          <w:sz w:val="28"/>
          <w:szCs w:val="28"/>
        </w:rPr>
        <w:t>：</w:t>
      </w:r>
      <w:r>
        <w:rPr>
          <w:rFonts w:hint="eastAsia" w:ascii="宋体" w:hAnsi="宋体" w:cs="宋体"/>
          <w:b/>
          <w:color w:val="000000"/>
          <w:sz w:val="28"/>
          <w:szCs w:val="28"/>
          <w:lang w:val="en-US" w:eastAsia="zh-CN"/>
        </w:rPr>
        <w:t>评标办法前附表</w:t>
      </w:r>
    </w:p>
    <w:p>
      <w:pPr>
        <w:autoSpaceDE w:val="0"/>
        <w:autoSpaceDN w:val="0"/>
        <w:adjustRightInd w:val="0"/>
        <w:ind w:right="-20"/>
        <w:jc w:val="center"/>
        <w:rPr>
          <w:rFonts w:hint="eastAsia" w:ascii="宋体" w:hAnsi="宋体"/>
          <w:b/>
          <w:bCs/>
          <w:color w:val="000000"/>
          <w:kern w:val="0"/>
          <w:szCs w:val="21"/>
        </w:rPr>
      </w:pPr>
      <w:r>
        <w:rPr>
          <w:rFonts w:hint="eastAsia" w:ascii="宋体" w:hAnsi="宋体" w:cs="宋体"/>
          <w:color w:val="000000"/>
          <w:spacing w:val="2"/>
          <w:kern w:val="0"/>
          <w:sz w:val="24"/>
          <w:szCs w:val="24"/>
        </w:rPr>
        <w:t>评标办法前附表</w:t>
      </w:r>
    </w:p>
    <w:tbl>
      <w:tblPr>
        <w:tblStyle w:val="6"/>
        <w:tblW w:w="9354" w:type="dxa"/>
        <w:jc w:val="center"/>
        <w:tblLayout w:type="fixed"/>
        <w:tblCellMar>
          <w:top w:w="0" w:type="dxa"/>
          <w:left w:w="0" w:type="dxa"/>
          <w:bottom w:w="0" w:type="dxa"/>
          <w:right w:w="0" w:type="dxa"/>
        </w:tblCellMar>
      </w:tblPr>
      <w:tblGrid>
        <w:gridCol w:w="877"/>
        <w:gridCol w:w="1135"/>
        <w:gridCol w:w="7342"/>
      </w:tblGrid>
      <w:tr>
        <w:tblPrEx>
          <w:tblCellMar>
            <w:top w:w="0" w:type="dxa"/>
            <w:left w:w="0" w:type="dxa"/>
            <w:bottom w:w="0" w:type="dxa"/>
            <w:right w:w="0" w:type="dxa"/>
          </w:tblCellMar>
        </w:tblPrEx>
        <w:trPr>
          <w:trHeight w:val="490" w:hRule="atLeast"/>
          <w:tblHeader/>
          <w:jc w:val="center"/>
        </w:trPr>
        <w:tc>
          <w:tcPr>
            <w:tcW w:w="877" w:type="dxa"/>
            <w:tcBorders>
              <w:top w:val="single" w:color="000000" w:sz="4" w:space="0"/>
              <w:left w:val="single" w:color="000000" w:sz="4" w:space="0"/>
              <w:bottom w:val="single" w:color="000000" w:sz="4" w:space="0"/>
              <w:right w:val="single" w:color="auto"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s="微软雅黑"/>
                <w:color w:val="000000"/>
                <w:kern w:val="0"/>
                <w:szCs w:val="21"/>
              </w:rPr>
              <w:t>条款号</w:t>
            </w:r>
          </w:p>
        </w:tc>
        <w:tc>
          <w:tcPr>
            <w:tcW w:w="1135" w:type="dxa"/>
            <w:tcBorders>
              <w:top w:val="single" w:color="000000" w:sz="4" w:space="0"/>
              <w:left w:val="single" w:color="auto"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olor w:val="000000"/>
                <w:kern w:val="0"/>
                <w:szCs w:val="21"/>
              </w:rPr>
              <w:t>条款名称</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s="微软雅黑"/>
                <w:color w:val="000000"/>
                <w:kern w:val="0"/>
                <w:szCs w:val="21"/>
              </w:rPr>
              <w:t>评审因素评与审标准</w:t>
            </w:r>
          </w:p>
        </w:tc>
      </w:tr>
      <w:tr>
        <w:tblPrEx>
          <w:tblCellMar>
            <w:top w:w="0" w:type="dxa"/>
            <w:left w:w="0" w:type="dxa"/>
            <w:bottom w:w="0" w:type="dxa"/>
            <w:right w:w="0" w:type="dxa"/>
          </w:tblCellMar>
        </w:tblPrEx>
        <w:trPr>
          <w:jc w:val="center"/>
        </w:trPr>
        <w:tc>
          <w:tcPr>
            <w:tcW w:w="877" w:type="dxa"/>
            <w:tcBorders>
              <w:top w:val="single" w:color="000000" w:sz="4" w:space="0"/>
              <w:left w:val="single" w:color="000000" w:sz="4" w:space="0"/>
              <w:bottom w:val="single" w:color="000000" w:sz="4" w:space="0"/>
              <w:right w:val="single" w:color="auto"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ascii="宋体" w:hAnsi="宋体"/>
                <w:color w:val="000000"/>
                <w:kern w:val="0"/>
                <w:szCs w:val="21"/>
              </w:rPr>
              <w:t>1</w:t>
            </w:r>
          </w:p>
        </w:tc>
        <w:tc>
          <w:tcPr>
            <w:tcW w:w="1135" w:type="dxa"/>
            <w:tcBorders>
              <w:top w:val="single" w:color="000000" w:sz="4" w:space="0"/>
              <w:left w:val="single" w:color="auto"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s="微软雅黑"/>
                <w:color w:val="000000"/>
                <w:kern w:val="0"/>
                <w:szCs w:val="21"/>
              </w:rPr>
              <w:t>评标</w:t>
            </w:r>
            <w:r>
              <w:rPr>
                <w:rFonts w:hint="eastAsia" w:ascii="宋体" w:hAnsi="宋体" w:cs="微软雅黑"/>
                <w:color w:val="000000"/>
                <w:spacing w:val="-2"/>
                <w:kern w:val="0"/>
                <w:szCs w:val="21"/>
              </w:rPr>
              <w:t>方</w:t>
            </w:r>
            <w:r>
              <w:rPr>
                <w:rFonts w:hint="eastAsia" w:ascii="宋体" w:hAnsi="宋体" w:cs="微软雅黑"/>
                <w:color w:val="000000"/>
                <w:kern w:val="0"/>
                <w:szCs w:val="21"/>
              </w:rPr>
              <w:t>法</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ind w:firstLine="420" w:firstLineChars="200"/>
              <w:rPr>
                <w:rFonts w:hint="eastAsia" w:ascii="宋体" w:hAnsi="宋体"/>
                <w:color w:val="000000"/>
                <w:kern w:val="0"/>
                <w:szCs w:val="21"/>
              </w:rPr>
            </w:pPr>
            <w:r>
              <w:rPr>
                <w:rFonts w:hint="eastAsia" w:ascii="宋体" w:hAnsi="宋体"/>
                <w:color w:val="000000"/>
                <w:kern w:val="0"/>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autoSpaceDE w:val="0"/>
              <w:autoSpaceDN w:val="0"/>
              <w:adjustRightInd w:val="0"/>
              <w:snapToGrid w:val="0"/>
              <w:spacing w:line="288" w:lineRule="auto"/>
              <w:ind w:firstLine="420" w:firstLineChars="200"/>
              <w:rPr>
                <w:rFonts w:hint="eastAsia" w:ascii="宋体" w:hAnsi="宋体"/>
                <w:color w:val="000000"/>
                <w:kern w:val="0"/>
                <w:szCs w:val="21"/>
              </w:rPr>
            </w:pPr>
            <w:r>
              <w:rPr>
                <w:rFonts w:hint="eastAsia" w:ascii="宋体" w:hAnsi="宋体"/>
                <w:color w:val="000000"/>
                <w:kern w:val="0"/>
                <w:szCs w:val="21"/>
              </w:rPr>
              <w:t>(1)评标价低的投标人优先；</w:t>
            </w:r>
          </w:p>
          <w:p>
            <w:pPr>
              <w:autoSpaceDE w:val="0"/>
              <w:autoSpaceDN w:val="0"/>
              <w:adjustRightInd w:val="0"/>
              <w:snapToGrid w:val="0"/>
              <w:spacing w:line="288" w:lineRule="auto"/>
              <w:ind w:firstLine="420" w:firstLineChars="200"/>
              <w:rPr>
                <w:rFonts w:hint="eastAsia" w:ascii="宋体" w:hAnsi="宋体"/>
                <w:color w:val="000000"/>
                <w:kern w:val="0"/>
                <w:szCs w:val="21"/>
              </w:rPr>
            </w:pPr>
            <w:r>
              <w:rPr>
                <w:rFonts w:hint="eastAsia" w:ascii="宋体" w:hAnsi="宋体"/>
                <w:color w:val="000000"/>
                <w:kern w:val="0"/>
                <w:szCs w:val="21"/>
              </w:rPr>
              <w:t>(2)技术得分较高的投标人优先；</w:t>
            </w:r>
          </w:p>
          <w:p>
            <w:pPr>
              <w:autoSpaceDE w:val="0"/>
              <w:autoSpaceDN w:val="0"/>
              <w:adjustRightInd w:val="0"/>
              <w:snapToGrid w:val="0"/>
              <w:spacing w:line="288" w:lineRule="auto"/>
              <w:ind w:firstLine="420" w:firstLineChars="200"/>
              <w:rPr>
                <w:rFonts w:hint="eastAsia" w:ascii="宋体" w:hAnsi="宋体"/>
                <w:color w:val="000000"/>
                <w:kern w:val="0"/>
                <w:szCs w:val="21"/>
              </w:rPr>
            </w:pPr>
            <w:r>
              <w:rPr>
                <w:rFonts w:hint="eastAsia" w:ascii="宋体" w:hAnsi="宋体"/>
                <w:color w:val="000000"/>
                <w:kern w:val="0"/>
                <w:szCs w:val="21"/>
              </w:rPr>
              <w:t>(3)满足资格审查条件(业绩最低要求)的业绩个数较多的优先。</w:t>
            </w:r>
          </w:p>
        </w:tc>
      </w:tr>
      <w:tr>
        <w:tblPrEx>
          <w:tblCellMar>
            <w:top w:w="0" w:type="dxa"/>
            <w:left w:w="0" w:type="dxa"/>
            <w:bottom w:w="0" w:type="dxa"/>
            <w:right w:w="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ascii="宋体" w:hAnsi="宋体"/>
                <w:color w:val="000000"/>
                <w:kern w:val="0"/>
                <w:szCs w:val="21"/>
              </w:rPr>
              <w:t>2.1.1</w:t>
            </w:r>
          </w:p>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.1.3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hint="eastAsia" w:ascii="宋体" w:hAnsi="宋体" w:cs="微软雅黑"/>
                <w:color w:val="000000"/>
                <w:spacing w:val="-2"/>
                <w:kern w:val="0"/>
                <w:szCs w:val="21"/>
              </w:rPr>
            </w:pPr>
            <w:r>
              <w:rPr>
                <w:rFonts w:hint="eastAsia" w:ascii="宋体" w:hAnsi="宋体" w:cs="微软雅黑"/>
                <w:color w:val="000000"/>
                <w:kern w:val="0"/>
                <w:szCs w:val="21"/>
              </w:rPr>
              <w:t>形式</w:t>
            </w:r>
            <w:r>
              <w:rPr>
                <w:rFonts w:hint="eastAsia" w:ascii="宋体" w:hAnsi="宋体" w:cs="微软雅黑"/>
                <w:color w:val="000000"/>
                <w:spacing w:val="-2"/>
                <w:kern w:val="0"/>
                <w:szCs w:val="21"/>
              </w:rPr>
              <w:t>评</w:t>
            </w:r>
          </w:p>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s="微软雅黑"/>
                <w:color w:val="000000"/>
                <w:kern w:val="0"/>
                <w:szCs w:val="21"/>
              </w:rPr>
              <w:t>审与响应性评审标准</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rPr>
                <w:rFonts w:hint="eastAsia" w:ascii="宋体" w:hAnsi="宋体" w:cs="宋体"/>
                <w:szCs w:val="21"/>
              </w:rPr>
            </w:pPr>
            <w:r>
              <w:rPr>
                <w:rFonts w:hint="eastAsia" w:ascii="宋体" w:hAnsi="宋体" w:cs="宋体"/>
                <w:szCs w:val="21"/>
              </w:rPr>
              <w:t>第一个信封（商务及技术文件）评审标准：</w:t>
            </w:r>
          </w:p>
          <w:p>
            <w:pPr>
              <w:snapToGrid w:val="0"/>
              <w:spacing w:line="288" w:lineRule="auto"/>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w:t>
            </w:r>
          </w:p>
          <w:p>
            <w:pPr>
              <w:snapToGrid w:val="0"/>
              <w:spacing w:line="288" w:lineRule="auto"/>
              <w:ind w:firstLine="420" w:firstLineChars="200"/>
              <w:rPr>
                <w:rFonts w:hint="eastAsia" w:ascii="宋体" w:hAnsi="宋体" w:cs="宋体"/>
                <w:szCs w:val="21"/>
              </w:rPr>
            </w:pPr>
            <w:r>
              <w:rPr>
                <w:rFonts w:hint="eastAsia" w:ascii="宋体" w:hAnsi="宋体" w:cs="宋体"/>
                <w:szCs w:val="21"/>
              </w:rPr>
              <w:t>a.投标函按招标文件规定填报了项目名称、标段号、补遗书编号（如有）、交货期、交货地点等内容；</w:t>
            </w:r>
          </w:p>
          <w:p>
            <w:pPr>
              <w:snapToGrid w:val="0"/>
              <w:spacing w:line="288" w:lineRule="auto"/>
              <w:ind w:firstLine="420" w:firstLineChars="200"/>
              <w:rPr>
                <w:rFonts w:hint="eastAsia" w:ascii="宋体" w:hAnsi="宋体" w:cs="宋体"/>
                <w:szCs w:val="21"/>
              </w:rPr>
            </w:pPr>
            <w:r>
              <w:rPr>
                <w:rFonts w:hint="eastAsia" w:ascii="宋体" w:hAnsi="宋体" w:cs="宋体"/>
                <w:szCs w:val="21"/>
              </w:rPr>
              <w:t>b.投标文件组成齐全完整，内容均按规定填写。</w:t>
            </w:r>
          </w:p>
          <w:p>
            <w:pPr>
              <w:snapToGrid w:val="0"/>
              <w:spacing w:line="288" w:lineRule="auto"/>
              <w:ind w:firstLine="420" w:firstLineChars="200"/>
              <w:rPr>
                <w:rFonts w:hint="eastAsia" w:ascii="宋体" w:hAnsi="宋体" w:cs="宋体"/>
                <w:szCs w:val="21"/>
              </w:rPr>
            </w:pPr>
            <w:r>
              <w:rPr>
                <w:rFonts w:hint="eastAsia" w:ascii="宋体" w:hAnsi="宋体" w:cs="宋体"/>
                <w:szCs w:val="21"/>
              </w:rPr>
              <w:t>（2）投标文件上法定代表人或其授权代理人签字、投标人的单位章齐全，符合招标文件规定；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（3）投标人按照招标文件的规定提供了投标保证金，并符合投标人须知前附表3.4.1项的相关规定。。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（4）投标人法定代表人授权委托代理人签署投标文件的，提供了授权委托书，符合招标文件规定。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（5）投标人法定代表人若亲自签署投标文件的，提供了法定代表人身份证明，符合招标文件规定。</w:t>
            </w:r>
          </w:p>
          <w:p>
            <w:pPr>
              <w:snapToGrid w:val="0"/>
              <w:spacing w:line="288" w:lineRule="auto"/>
              <w:ind w:firstLine="420" w:firstLineChars="200"/>
              <w:rPr>
                <w:rFonts w:ascii="宋体" w:hAnsi="宋体" w:cs="宋体"/>
                <w:szCs w:val="21"/>
              </w:rPr>
            </w:pPr>
            <w:r>
              <w:rPr>
                <w:rFonts w:hint="eastAsia" w:ascii="宋体" w:hAnsi="宋体" w:cs="宋体"/>
                <w:szCs w:val="21"/>
              </w:rPr>
              <w:t>（6）投标人未以联合体形式投标。</w:t>
            </w:r>
          </w:p>
          <w:p>
            <w:pPr>
              <w:snapToGrid w:val="0"/>
              <w:spacing w:line="288" w:lineRule="auto"/>
              <w:ind w:firstLine="420" w:firstLineChars="200"/>
              <w:rPr>
                <w:rFonts w:hint="eastAsia" w:ascii="宋体" w:hAnsi="宋体" w:cs="宋体"/>
                <w:szCs w:val="21"/>
              </w:rPr>
            </w:pPr>
            <w:r>
              <w:rPr>
                <w:rFonts w:hint="eastAsia" w:ascii="宋体" w:hAnsi="宋体" w:cs="宋体"/>
                <w:szCs w:val="21"/>
              </w:rPr>
              <w:t>（7）同一投标人未提交两个以上不同的投标文件。</w:t>
            </w:r>
          </w:p>
          <w:p>
            <w:pPr>
              <w:snapToGrid w:val="0"/>
              <w:spacing w:line="288" w:lineRule="auto"/>
              <w:ind w:firstLine="420" w:firstLineChars="200"/>
              <w:rPr>
                <w:rFonts w:hint="eastAsia" w:ascii="宋体" w:hAnsi="宋体" w:cs="宋体"/>
                <w:szCs w:val="21"/>
              </w:rPr>
            </w:pPr>
            <w:r>
              <w:rPr>
                <w:rFonts w:hint="eastAsia" w:ascii="宋体" w:hAnsi="宋体" w:cs="宋体"/>
                <w:szCs w:val="21"/>
              </w:rPr>
              <w:t>（8）投标文件中未出现有关投标报价的内容。</w:t>
            </w:r>
          </w:p>
          <w:p>
            <w:pPr>
              <w:snapToGrid w:val="0"/>
              <w:spacing w:line="288" w:lineRule="auto"/>
              <w:ind w:firstLine="420" w:firstLineChars="200"/>
              <w:rPr>
                <w:rFonts w:hint="eastAsia" w:ascii="宋体" w:hAnsi="宋体" w:cs="宋体"/>
                <w:szCs w:val="21"/>
              </w:rPr>
            </w:pPr>
            <w:r>
              <w:rPr>
                <w:rFonts w:hint="eastAsia" w:ascii="宋体" w:hAnsi="宋体" w:cs="宋体"/>
                <w:szCs w:val="21"/>
              </w:rPr>
              <w:t>（9）投标文件载明的招标项目完成期限未超过招标文件规定的时限。</w:t>
            </w:r>
          </w:p>
          <w:p>
            <w:pPr>
              <w:snapToGrid w:val="0"/>
              <w:spacing w:line="288" w:lineRule="auto"/>
              <w:ind w:firstLine="420" w:firstLineChars="200"/>
              <w:rPr>
                <w:rFonts w:ascii="宋体" w:hAnsi="宋体" w:cs="宋体"/>
                <w:szCs w:val="21"/>
              </w:rPr>
            </w:pPr>
            <w:r>
              <w:rPr>
                <w:rFonts w:hint="eastAsia" w:ascii="宋体" w:hAnsi="宋体" w:cs="宋体"/>
                <w:szCs w:val="21"/>
              </w:rPr>
              <w:t>（10）投标文件对招标文件的实质性要求和条件作出响应。</w:t>
            </w:r>
          </w:p>
          <w:p>
            <w:pPr>
              <w:snapToGrid w:val="0"/>
              <w:spacing w:line="288"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）投标文件中投标设备的主要技术指标满足招标文件的要求。</w:t>
            </w:r>
          </w:p>
          <w:p>
            <w:pPr>
              <w:snapToGrid w:val="0"/>
              <w:spacing w:line="288"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）技术支持资料符合第二章“投标人须知”第1.</w:t>
            </w:r>
            <w:r>
              <w:rPr>
                <w:rFonts w:ascii="宋体" w:hAnsi="宋体" w:cs="宋体"/>
                <w:szCs w:val="21"/>
              </w:rPr>
              <w:t>11</w:t>
            </w:r>
            <w:r>
              <w:rPr>
                <w:rFonts w:hint="eastAsia" w:ascii="宋体" w:hAnsi="宋体" w:cs="宋体"/>
                <w:szCs w:val="21"/>
              </w:rPr>
              <w:t>.</w:t>
            </w:r>
            <w:r>
              <w:rPr>
                <w:rFonts w:ascii="宋体" w:hAnsi="宋体" w:cs="宋体"/>
                <w:szCs w:val="21"/>
              </w:rPr>
              <w:t>3</w:t>
            </w:r>
            <w:r>
              <w:rPr>
                <w:rFonts w:hint="eastAsia" w:ascii="宋体" w:hAnsi="宋体" w:cs="宋体"/>
                <w:szCs w:val="21"/>
              </w:rPr>
              <w:t>项规定。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）投标人为代理商的，提供的制造商授权书符合招标文件要求。</w:t>
            </w:r>
          </w:p>
          <w:p>
            <w:pPr>
              <w:snapToGrid w:val="0"/>
              <w:spacing w:line="288"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）权利义务符合招标文件规定：</w:t>
            </w:r>
          </w:p>
          <w:p>
            <w:pPr>
              <w:snapToGrid w:val="0"/>
              <w:spacing w:line="288" w:lineRule="auto"/>
              <w:ind w:firstLine="623" w:firstLineChars="297"/>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snapToGrid w:val="0"/>
              <w:spacing w:line="288" w:lineRule="auto"/>
              <w:ind w:firstLine="623" w:firstLineChars="297"/>
              <w:rPr>
                <w:rFonts w:hint="eastAsia" w:ascii="宋体" w:hAnsi="宋体" w:cs="宋体"/>
                <w:szCs w:val="21"/>
              </w:rPr>
            </w:pPr>
            <w:r>
              <w:rPr>
                <w:rFonts w:hint="eastAsia" w:ascii="宋体" w:hAnsi="宋体" w:cs="宋体"/>
                <w:szCs w:val="21"/>
              </w:rPr>
              <w:t>b.投标人未增加发包人的责任范围，或减少投标人义务；</w:t>
            </w:r>
          </w:p>
          <w:p>
            <w:pPr>
              <w:snapToGrid w:val="0"/>
              <w:spacing w:line="288" w:lineRule="auto"/>
              <w:ind w:firstLine="623" w:firstLineChars="297"/>
              <w:rPr>
                <w:rFonts w:hint="eastAsia" w:ascii="宋体" w:hAnsi="宋体" w:cs="宋体"/>
                <w:szCs w:val="21"/>
              </w:rPr>
            </w:pPr>
            <w:r>
              <w:rPr>
                <w:rFonts w:hint="eastAsia" w:ascii="宋体" w:hAnsi="宋体" w:cs="宋体"/>
                <w:szCs w:val="21"/>
              </w:rPr>
              <w:t>c.投标人未提出不同的支付办法；</w:t>
            </w:r>
          </w:p>
          <w:p>
            <w:pPr>
              <w:snapToGrid w:val="0"/>
              <w:spacing w:line="288" w:lineRule="auto"/>
              <w:ind w:firstLine="623" w:firstLineChars="297"/>
              <w:rPr>
                <w:rFonts w:hint="eastAsia" w:ascii="宋体" w:hAnsi="宋体" w:cs="宋体"/>
                <w:szCs w:val="21"/>
              </w:rPr>
            </w:pPr>
            <w:r>
              <w:rPr>
                <w:rFonts w:hint="eastAsia" w:ascii="宋体" w:hAnsi="宋体" w:cs="宋体"/>
                <w:szCs w:val="21"/>
              </w:rPr>
              <w:t>d.投标人对合同纠纷、事故处理办法未提出异议；</w:t>
            </w:r>
          </w:p>
          <w:p>
            <w:pPr>
              <w:snapToGrid w:val="0"/>
              <w:spacing w:line="288" w:lineRule="auto"/>
              <w:ind w:firstLine="623" w:firstLineChars="297"/>
              <w:rPr>
                <w:rFonts w:hint="eastAsia" w:ascii="宋体" w:hAnsi="宋体" w:cs="宋体"/>
                <w:szCs w:val="21"/>
              </w:rPr>
            </w:pPr>
            <w:r>
              <w:rPr>
                <w:rFonts w:hint="eastAsia" w:ascii="宋体" w:hAnsi="宋体" w:cs="宋体"/>
                <w:szCs w:val="21"/>
              </w:rPr>
              <w:t>e.投标人在投标活动中无欺诈行为；</w:t>
            </w:r>
          </w:p>
          <w:p>
            <w:pPr>
              <w:snapToGrid w:val="0"/>
              <w:spacing w:line="288" w:lineRule="auto"/>
              <w:ind w:firstLine="623" w:firstLineChars="297"/>
              <w:rPr>
                <w:rFonts w:hint="eastAsia" w:ascii="宋体" w:hAnsi="宋体" w:cs="宋体"/>
                <w:szCs w:val="21"/>
              </w:rPr>
            </w:pPr>
            <w:r>
              <w:rPr>
                <w:rFonts w:hint="eastAsia" w:ascii="宋体" w:hAnsi="宋体" w:cs="宋体"/>
                <w:szCs w:val="21"/>
              </w:rPr>
              <w:t>f.投标人未对合同条款有重要保留。</w:t>
            </w:r>
          </w:p>
          <w:p>
            <w:pPr>
              <w:snapToGrid w:val="0"/>
              <w:spacing w:line="288" w:lineRule="auto"/>
              <w:rPr>
                <w:rFonts w:hint="eastAsia" w:ascii="宋体" w:hAnsi="宋体" w:cs="宋体"/>
                <w:szCs w:val="21"/>
              </w:rPr>
            </w:pPr>
            <w:r>
              <w:rPr>
                <w:rFonts w:hint="eastAsia" w:ascii="宋体" w:hAnsi="宋体" w:cs="宋体"/>
                <w:szCs w:val="21"/>
              </w:rPr>
              <w:t>第二个信封（报价文件）评审标准：</w:t>
            </w:r>
          </w:p>
          <w:p>
            <w:pPr>
              <w:snapToGrid w:val="0"/>
              <w:spacing w:line="288" w:lineRule="auto"/>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（1）投标文件按照招标文件规定的格式、内容填写，字迹清晰可辨，内容齐全完整：</w:t>
            </w:r>
          </w:p>
          <w:p>
            <w:pPr>
              <w:snapToGrid w:val="0"/>
              <w:spacing w:line="288" w:lineRule="auto"/>
              <w:ind w:firstLine="623" w:firstLineChars="297"/>
              <w:rPr>
                <w:rFonts w:hint="eastAsia" w:ascii="宋体" w:hAnsi="宋体" w:cs="宋体"/>
                <w:szCs w:val="21"/>
              </w:rPr>
            </w:pPr>
            <w:r>
              <w:rPr>
                <w:rFonts w:hint="eastAsia" w:ascii="宋体" w:hAnsi="宋体" w:cs="宋体"/>
                <w:szCs w:val="21"/>
              </w:rPr>
              <w:t>a.投标函按招标文件规定填报了项目名称、标段号、补遗书编号（如有）、投标价（包括大写金额和小写金额）；</w:t>
            </w:r>
          </w:p>
          <w:p>
            <w:pPr>
              <w:snapToGrid w:val="0"/>
              <w:spacing w:line="288" w:lineRule="auto"/>
              <w:ind w:firstLine="623" w:firstLineChars="297"/>
              <w:rPr>
                <w:rFonts w:hint="eastAsia" w:ascii="宋体" w:hAnsi="宋体" w:cs="宋体"/>
                <w:szCs w:val="21"/>
              </w:rPr>
            </w:pPr>
            <w:r>
              <w:rPr>
                <w:rFonts w:hint="eastAsia" w:ascii="宋体" w:hAnsi="宋体" w:cs="宋体"/>
                <w:szCs w:val="21"/>
              </w:rPr>
              <w:t>b.投标文件组成齐全完整，内容均按规定填写。</w:t>
            </w:r>
          </w:p>
          <w:p>
            <w:pPr>
              <w:snapToGrid w:val="0"/>
              <w:spacing w:line="288" w:lineRule="auto"/>
              <w:ind w:firstLine="420" w:firstLineChars="200"/>
              <w:rPr>
                <w:rFonts w:hint="eastAsia" w:ascii="宋体" w:hAnsi="宋体" w:cs="宋体"/>
                <w:szCs w:val="21"/>
              </w:rPr>
            </w:pPr>
            <w:r>
              <w:rPr>
                <w:rFonts w:hint="eastAsia" w:ascii="宋体" w:hAnsi="宋体" w:cs="宋体"/>
                <w:szCs w:val="21"/>
              </w:rPr>
              <w:t>（2）投标文件上法定代表人或其委托代理人签字、投标人的单位章齐全，符合招标文件规定；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（3）投标报价未超过招标文件设定的最高投标限价。</w:t>
            </w:r>
          </w:p>
          <w:p>
            <w:pPr>
              <w:snapToGrid w:val="0"/>
              <w:spacing w:line="288" w:lineRule="auto"/>
              <w:ind w:firstLine="420" w:firstLineChars="200"/>
              <w:rPr>
                <w:rFonts w:hint="eastAsia" w:ascii="宋体" w:hAnsi="宋体" w:cs="宋体"/>
                <w:szCs w:val="21"/>
              </w:rPr>
            </w:pPr>
            <w:r>
              <w:rPr>
                <w:rFonts w:hint="eastAsia" w:ascii="宋体" w:hAnsi="宋体" w:cs="宋体"/>
                <w:szCs w:val="21"/>
              </w:rPr>
              <w:t>（4）投标报价的大写金额能够确定具体数值。</w:t>
            </w:r>
          </w:p>
          <w:p>
            <w:pPr>
              <w:snapToGrid w:val="0"/>
              <w:spacing w:line="288" w:lineRule="auto"/>
              <w:ind w:firstLine="420" w:firstLineChars="200"/>
              <w:rPr>
                <w:rFonts w:hint="eastAsia" w:ascii="宋体" w:hAnsi="宋体" w:cs="宋体"/>
                <w:szCs w:val="21"/>
              </w:rPr>
            </w:pPr>
            <w:r>
              <w:rPr>
                <w:rFonts w:hint="eastAsia" w:ascii="宋体" w:hAnsi="宋体" w:cs="宋体"/>
                <w:szCs w:val="21"/>
              </w:rPr>
              <w:t>（5）同一投标人未提交两个以上不同的投标报价。</w:t>
            </w:r>
          </w:p>
        </w:tc>
      </w:tr>
      <w:tr>
        <w:tblPrEx>
          <w:tblCellMar>
            <w:top w:w="0" w:type="dxa"/>
            <w:left w:w="0" w:type="dxa"/>
            <w:bottom w:w="0" w:type="dxa"/>
            <w:right w:w="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ascii="宋体" w:hAnsi="宋体"/>
                <w:color w:val="000000"/>
                <w:kern w:val="0"/>
                <w:szCs w:val="21"/>
              </w:rPr>
              <w:t>2.1.2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288" w:lineRule="auto"/>
              <w:jc w:val="center"/>
              <w:rPr>
                <w:rFonts w:ascii="宋体" w:hAnsi="宋体"/>
                <w:color w:val="000000"/>
                <w:kern w:val="0"/>
                <w:szCs w:val="21"/>
              </w:rPr>
            </w:pPr>
            <w:r>
              <w:rPr>
                <w:rFonts w:hint="eastAsia" w:ascii="宋体" w:hAnsi="宋体" w:cs="微软雅黑"/>
                <w:color w:val="000000"/>
                <w:kern w:val="0"/>
                <w:szCs w:val="21"/>
              </w:rPr>
              <w:t>资格</w:t>
            </w:r>
            <w:r>
              <w:rPr>
                <w:rFonts w:hint="eastAsia" w:ascii="宋体" w:hAnsi="宋体" w:cs="微软雅黑"/>
                <w:color w:val="000000"/>
                <w:spacing w:val="-2"/>
                <w:kern w:val="0"/>
                <w:szCs w:val="21"/>
              </w:rPr>
              <w:t>评</w:t>
            </w:r>
            <w:r>
              <w:rPr>
                <w:rFonts w:hint="eastAsia" w:ascii="宋体" w:hAnsi="宋体" w:cs="微软雅黑"/>
                <w:color w:val="000000"/>
                <w:kern w:val="0"/>
                <w:szCs w:val="21"/>
              </w:rPr>
              <w:t>审</w:t>
            </w:r>
            <w:r>
              <w:rPr>
                <w:rFonts w:ascii="宋体" w:hAnsi="宋体" w:cs="微软雅黑"/>
                <w:color w:val="000000"/>
                <w:kern w:val="0"/>
                <w:szCs w:val="21"/>
              </w:rPr>
              <w:t xml:space="preserve"> </w:t>
            </w:r>
            <w:r>
              <w:rPr>
                <w:rFonts w:hint="eastAsia" w:ascii="宋体" w:hAnsi="宋体" w:cs="微软雅黑"/>
                <w:color w:val="000000"/>
                <w:kern w:val="0"/>
                <w:szCs w:val="21"/>
              </w:rPr>
              <w:t>标准</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ind w:firstLine="420" w:firstLineChars="200"/>
              <w:rPr>
                <w:rFonts w:hint="eastAsia" w:ascii="宋体" w:hAnsi="宋体" w:cs="宋体"/>
                <w:szCs w:val="21"/>
              </w:rPr>
            </w:pPr>
            <w:r>
              <w:rPr>
                <w:rFonts w:hint="eastAsia" w:ascii="宋体" w:hAnsi="宋体" w:cs="宋体"/>
                <w:szCs w:val="21"/>
              </w:rPr>
              <w:t>（1）投标人具备有效的营业执照、资质证书和基本账户开户许可证或基本存款账户信息证明材料；</w:t>
            </w:r>
          </w:p>
          <w:p>
            <w:pPr>
              <w:snapToGrid w:val="0"/>
              <w:spacing w:line="288" w:lineRule="auto"/>
              <w:ind w:firstLine="420" w:firstLineChars="200"/>
              <w:rPr>
                <w:rFonts w:ascii="宋体" w:hAnsi="宋体" w:cs="宋体"/>
                <w:szCs w:val="21"/>
              </w:rPr>
            </w:pPr>
            <w:r>
              <w:rPr>
                <w:rFonts w:hint="eastAsia" w:ascii="宋体" w:hAnsi="宋体" w:cs="宋体"/>
                <w:szCs w:val="21"/>
              </w:rPr>
              <w:t>（2）投标人的资质等级符合招标文件规定；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（3）投标人的业绩符合招标文件规定；</w:t>
            </w:r>
          </w:p>
          <w:p>
            <w:pPr>
              <w:snapToGrid w:val="0"/>
              <w:spacing w:line="288"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）投标人的信誉符合招标文件规定；</w:t>
            </w:r>
          </w:p>
          <w:p>
            <w:pPr>
              <w:snapToGrid w:val="0"/>
              <w:spacing w:line="288"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）投标人的其他条件符合招标文件规定；</w:t>
            </w:r>
          </w:p>
          <w:p>
            <w:pPr>
              <w:snapToGrid w:val="0"/>
              <w:spacing w:line="288"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）投标人不存在第二章“投标人须知”第1.4.3项或1.4.4项规定的任何一种情形。</w:t>
            </w:r>
          </w:p>
        </w:tc>
      </w:tr>
      <w:tr>
        <w:tblPrEx>
          <w:tblCellMar>
            <w:top w:w="0" w:type="dxa"/>
            <w:left w:w="0" w:type="dxa"/>
            <w:bottom w:w="0" w:type="dxa"/>
            <w:right w:w="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jc w:val="center"/>
              <w:rPr>
                <w:rFonts w:ascii="宋体" w:hAnsi="宋体" w:cs="微软雅黑"/>
                <w:color w:val="000000"/>
              </w:rPr>
            </w:pPr>
            <w:r>
              <w:rPr>
                <w:rFonts w:hint="eastAsia" w:ascii="宋体" w:hAnsi="宋体" w:cs="微软雅黑"/>
                <w:color w:val="000000"/>
              </w:rPr>
              <w:t>2.2.1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jc w:val="center"/>
              <w:rPr>
                <w:rFonts w:ascii="宋体" w:hAnsi="宋体"/>
                <w:color w:val="000000"/>
                <w:szCs w:val="21"/>
              </w:rPr>
            </w:pPr>
            <w:r>
              <w:rPr>
                <w:rFonts w:hint="eastAsia" w:ascii="宋体" w:hAnsi="宋体"/>
                <w:color w:val="000000"/>
                <w:szCs w:val="21"/>
              </w:rPr>
              <w:t>分值构成</w:t>
            </w:r>
          </w:p>
          <w:p>
            <w:pPr>
              <w:snapToGrid w:val="0"/>
              <w:spacing w:line="288" w:lineRule="auto"/>
              <w:jc w:val="center"/>
              <w:rPr>
                <w:rFonts w:ascii="宋体" w:hAnsi="宋体"/>
                <w:color w:val="000000"/>
                <w:szCs w:val="21"/>
              </w:rPr>
            </w:pPr>
            <w:r>
              <w:rPr>
                <w:rFonts w:hint="eastAsia" w:ascii="宋体" w:hAnsi="宋体"/>
                <w:color w:val="000000"/>
                <w:szCs w:val="21"/>
              </w:rPr>
              <w:t>（总分100分）</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ind w:left="102"/>
              <w:rPr>
                <w:rFonts w:hint="eastAsia" w:ascii="宋体" w:hAnsi="宋体"/>
                <w:color w:val="000000"/>
                <w:szCs w:val="21"/>
              </w:rPr>
            </w:pPr>
            <w:r>
              <w:rPr>
                <w:rFonts w:hint="eastAsia" w:ascii="宋体" w:hAnsi="宋体"/>
                <w:color w:val="000000"/>
                <w:szCs w:val="21"/>
              </w:rPr>
              <w:t>第一个信封（商务及技术文件）评分分值构成：</w:t>
            </w:r>
          </w:p>
          <w:p>
            <w:pPr>
              <w:snapToGrid w:val="0"/>
              <w:spacing w:line="288" w:lineRule="auto"/>
              <w:ind w:left="102" w:firstLine="420" w:firstLineChars="200"/>
              <w:rPr>
                <w:rFonts w:ascii="宋体" w:hAnsi="宋体"/>
                <w:color w:val="000000"/>
                <w:szCs w:val="21"/>
              </w:rPr>
            </w:pPr>
            <w:r>
              <w:rPr>
                <w:rFonts w:hint="eastAsia" w:ascii="宋体" w:hAnsi="宋体"/>
                <w:color w:val="000000"/>
                <w:szCs w:val="21"/>
              </w:rPr>
              <w:t>商务部分：</w:t>
            </w:r>
            <w:r>
              <w:rPr>
                <w:rFonts w:ascii="宋体" w:hAnsi="宋体"/>
                <w:color w:val="000000"/>
                <w:szCs w:val="21"/>
                <w:u w:val="single"/>
              </w:rPr>
              <w:t xml:space="preserve"> 20 </w:t>
            </w:r>
            <w:r>
              <w:rPr>
                <w:rFonts w:hint="eastAsia" w:ascii="宋体" w:hAnsi="宋体"/>
                <w:color w:val="000000"/>
                <w:szCs w:val="21"/>
              </w:rPr>
              <w:t>分</w:t>
            </w:r>
            <w:r>
              <w:rPr>
                <w:rFonts w:ascii="宋体" w:hAnsi="宋体"/>
                <w:color w:val="000000"/>
                <w:szCs w:val="21"/>
              </w:rPr>
              <w:t xml:space="preserve"> </w:t>
            </w:r>
          </w:p>
          <w:p>
            <w:pPr>
              <w:snapToGrid w:val="0"/>
              <w:spacing w:line="288" w:lineRule="auto"/>
              <w:ind w:left="102" w:firstLine="420" w:firstLineChars="200"/>
              <w:rPr>
                <w:rFonts w:ascii="宋体" w:hAnsi="宋体"/>
                <w:color w:val="000000"/>
                <w:szCs w:val="21"/>
              </w:rPr>
            </w:pPr>
            <w:r>
              <w:rPr>
                <w:rFonts w:hint="eastAsia" w:ascii="宋体" w:hAnsi="宋体"/>
                <w:color w:val="000000"/>
                <w:szCs w:val="21"/>
              </w:rPr>
              <w:t>技术部分：</w:t>
            </w:r>
            <w:r>
              <w:rPr>
                <w:rFonts w:ascii="宋体" w:hAnsi="宋体"/>
                <w:color w:val="000000"/>
                <w:szCs w:val="21"/>
                <w:u w:val="single"/>
              </w:rPr>
              <w:t xml:space="preserve"> 50 </w:t>
            </w:r>
            <w:r>
              <w:rPr>
                <w:rFonts w:hint="eastAsia" w:ascii="宋体" w:hAnsi="宋体"/>
                <w:color w:val="000000"/>
                <w:szCs w:val="21"/>
              </w:rPr>
              <w:t>分</w:t>
            </w:r>
            <w:r>
              <w:rPr>
                <w:rFonts w:ascii="宋体" w:hAnsi="宋体"/>
                <w:color w:val="000000"/>
                <w:szCs w:val="21"/>
              </w:rPr>
              <w:t xml:space="preserve"> </w:t>
            </w:r>
          </w:p>
          <w:p>
            <w:pPr>
              <w:snapToGrid w:val="0"/>
              <w:spacing w:line="288" w:lineRule="auto"/>
              <w:ind w:left="102"/>
              <w:rPr>
                <w:rFonts w:ascii="宋体" w:hAnsi="宋体"/>
                <w:color w:val="000000"/>
                <w:szCs w:val="21"/>
              </w:rPr>
            </w:pPr>
            <w:r>
              <w:rPr>
                <w:rFonts w:hint="eastAsia" w:ascii="宋体" w:hAnsi="宋体"/>
                <w:color w:val="000000"/>
                <w:szCs w:val="21"/>
              </w:rPr>
              <w:t>第二个信封（报价文件）评分分值构成：</w:t>
            </w:r>
          </w:p>
          <w:p>
            <w:pPr>
              <w:snapToGrid w:val="0"/>
              <w:spacing w:line="288" w:lineRule="auto"/>
              <w:ind w:left="102" w:firstLine="420" w:firstLineChars="200"/>
              <w:rPr>
                <w:rFonts w:hint="eastAsia" w:ascii="宋体" w:hAnsi="宋体"/>
                <w:color w:val="000000"/>
                <w:szCs w:val="21"/>
              </w:rPr>
            </w:pPr>
            <w:r>
              <w:rPr>
                <w:rFonts w:hint="eastAsia" w:ascii="宋体" w:hAnsi="宋体"/>
                <w:color w:val="000000"/>
                <w:szCs w:val="21"/>
              </w:rPr>
              <w:t>投标报价：</w:t>
            </w:r>
            <w:r>
              <w:rPr>
                <w:rFonts w:ascii="宋体" w:hAnsi="宋体"/>
                <w:color w:val="000000"/>
                <w:szCs w:val="21"/>
                <w:u w:val="single"/>
              </w:rPr>
              <w:t xml:space="preserve"> 30 </w:t>
            </w:r>
            <w:r>
              <w:rPr>
                <w:rFonts w:hint="eastAsia" w:ascii="宋体" w:hAnsi="宋体"/>
                <w:color w:val="000000"/>
                <w:szCs w:val="21"/>
              </w:rPr>
              <w:t>分</w:t>
            </w:r>
          </w:p>
        </w:tc>
      </w:tr>
      <w:tr>
        <w:tblPrEx>
          <w:tblCellMar>
            <w:top w:w="0" w:type="dxa"/>
            <w:left w:w="0" w:type="dxa"/>
            <w:bottom w:w="0" w:type="dxa"/>
            <w:right w:w="0" w:type="dxa"/>
          </w:tblCellMar>
        </w:tblPrEx>
        <w:trPr>
          <w:trHeight w:val="428"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ind w:left="34" w:leftChars="16" w:right="288"/>
              <w:jc w:val="center"/>
              <w:rPr>
                <w:rFonts w:ascii="宋体" w:hAnsi="宋体" w:cs="微软雅黑"/>
              </w:rPr>
            </w:pPr>
            <w:r>
              <w:rPr>
                <w:rFonts w:ascii="宋体" w:hAnsi="宋体" w:cs="微软雅黑"/>
              </w:rPr>
              <w:t>2.2.2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ind w:right="-20"/>
              <w:jc w:val="center"/>
              <w:rPr>
                <w:rFonts w:ascii="宋体" w:hAnsi="宋体" w:cs="微软雅黑"/>
              </w:rPr>
            </w:pPr>
            <w:r>
              <w:rPr>
                <w:rFonts w:hint="eastAsia" w:ascii="宋体" w:hAnsi="宋体" w:cs="微软雅黑"/>
              </w:rPr>
              <w:t>评标基准价计算方法</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420" w:firstLineChars="200"/>
              <w:rPr>
                <w:rFonts w:ascii="宋体" w:hAnsi="宋体"/>
                <w:szCs w:val="21"/>
              </w:rPr>
            </w:pPr>
            <w:r>
              <w:rPr>
                <w:rFonts w:hint="eastAsia" w:ascii="宋体" w:hAnsi="宋体"/>
                <w:szCs w:val="21"/>
              </w:rPr>
              <w:t>评标基准价的计算：</w:t>
            </w:r>
          </w:p>
          <w:p>
            <w:pPr>
              <w:spacing w:line="276" w:lineRule="auto"/>
              <w:ind w:firstLine="420" w:firstLineChars="200"/>
              <w:rPr>
                <w:rFonts w:ascii="宋体" w:hAnsi="宋体"/>
                <w:szCs w:val="21"/>
              </w:rPr>
            </w:pPr>
            <w:r>
              <w:rPr>
                <w:rFonts w:hint="eastAsia" w:ascii="宋体" w:hAnsi="宋体"/>
                <w:szCs w:val="21"/>
              </w:rPr>
              <w:t>在第二个信封开标现场计算并宣布评标基准价。</w:t>
            </w:r>
          </w:p>
          <w:p>
            <w:pPr>
              <w:spacing w:line="276" w:lineRule="auto"/>
              <w:ind w:firstLine="420" w:firstLineChars="200"/>
              <w:rPr>
                <w:rFonts w:ascii="宋体" w:hAnsi="宋体"/>
                <w:szCs w:val="21"/>
              </w:rPr>
            </w:pPr>
            <w:r>
              <w:rPr>
                <w:rFonts w:hint="eastAsia" w:ascii="宋体" w:hAnsi="宋体"/>
                <w:szCs w:val="21"/>
              </w:rPr>
              <w:t>（1）评标价的确定：评标价＝投标函文字报价</w:t>
            </w:r>
          </w:p>
          <w:p>
            <w:pPr>
              <w:spacing w:line="276" w:lineRule="auto"/>
              <w:ind w:firstLine="404" w:firstLineChars="200"/>
              <w:jc w:val="left"/>
              <w:rPr>
                <w:rFonts w:ascii="宋体" w:hAnsi="宋体"/>
                <w:spacing w:val="-4"/>
                <w:szCs w:val="21"/>
              </w:rPr>
            </w:pPr>
            <w:r>
              <w:rPr>
                <w:rFonts w:hint="eastAsia" w:ascii="宋体" w:hAnsi="宋体"/>
                <w:spacing w:val="-4"/>
                <w:szCs w:val="21"/>
              </w:rPr>
              <w:t>（2）评标价平均值的计算：</w:t>
            </w:r>
          </w:p>
          <w:p>
            <w:pPr>
              <w:spacing w:line="276" w:lineRule="auto"/>
              <w:ind w:firstLine="357" w:firstLineChars="177"/>
              <w:rPr>
                <w:rFonts w:hint="eastAsia" w:ascii="宋体" w:hAnsi="宋体"/>
                <w:spacing w:val="-4"/>
                <w:szCs w:val="21"/>
              </w:rPr>
            </w:pPr>
            <w:r>
              <w:rPr>
                <w:rFonts w:hint="eastAsia" w:ascii="宋体" w:hAnsi="宋体"/>
                <w:spacing w:val="-4"/>
                <w:szCs w:val="21"/>
              </w:rPr>
              <w:t>除按第二章“投标人须知”第5.2.4项规定开标现场被宣布为不进入评标基准价计算的投标报价之外的投标人评标价，所有投标人的评标价去掉n个最高评标价和n个最低评标价后的算术平均值即为评标价平均值：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spacing w:val="-4"/>
                <w:szCs w:val="21"/>
              </w:rPr>
            </w:pPr>
            <w:r>
              <w:rPr>
                <w:rFonts w:hint="eastAsia" w:ascii="宋体" w:hAnsi="宋体"/>
                <w:spacing w:val="-4"/>
                <w:szCs w:val="21"/>
              </w:rPr>
              <w:t>如果参与评标价平均值计算的投标人数量＜6家时，n=</w:t>
            </w:r>
            <w:r>
              <w:rPr>
                <w:rFonts w:ascii="宋体" w:hAnsi="宋体"/>
                <w:spacing w:val="-4"/>
                <w:szCs w:val="21"/>
              </w:rPr>
              <w:t>0</w:t>
            </w:r>
            <w:r>
              <w:rPr>
                <w:rFonts w:hint="eastAsia" w:ascii="宋体" w:hAnsi="宋体"/>
                <w:spacing w:val="-4"/>
                <w:szCs w:val="21"/>
              </w:rPr>
              <w:t>；</w:t>
            </w:r>
          </w:p>
          <w:p>
            <w:pPr>
              <w:spacing w:line="276" w:lineRule="auto"/>
              <w:ind w:firstLine="357" w:firstLineChars="177"/>
              <w:rPr>
                <w:rFonts w:ascii="宋体" w:hAnsi="宋体"/>
                <w:spacing w:val="-4"/>
                <w:szCs w:val="21"/>
              </w:rPr>
            </w:pPr>
            <w:r>
              <w:rPr>
                <w:rFonts w:hint="eastAsia" w:ascii="宋体" w:hAnsi="宋体"/>
                <w:spacing w:val="-4"/>
                <w:szCs w:val="21"/>
              </w:rPr>
              <w:t>6家≤参与评标价平均值计算的投标人数量＜10家时，n =</w:t>
            </w:r>
            <w:r>
              <w:rPr>
                <w:rFonts w:ascii="宋体" w:hAnsi="宋体"/>
                <w:spacing w:val="-4"/>
                <w:szCs w:val="21"/>
              </w:rPr>
              <w:t>1</w:t>
            </w:r>
            <w:r>
              <w:rPr>
                <w:rFonts w:hint="eastAsia" w:ascii="宋体" w:hAnsi="宋体"/>
                <w:spacing w:val="-4"/>
                <w:szCs w:val="21"/>
              </w:rPr>
              <w:t>；</w:t>
            </w:r>
          </w:p>
          <w:p>
            <w:pPr>
              <w:spacing w:line="276" w:lineRule="auto"/>
              <w:ind w:firstLine="357" w:firstLineChars="177"/>
              <w:rPr>
                <w:rFonts w:ascii="宋体" w:hAnsi="宋体"/>
                <w:spacing w:val="-4"/>
                <w:szCs w:val="21"/>
              </w:rPr>
            </w:pPr>
            <w:r>
              <w:rPr>
                <w:rFonts w:hint="eastAsia" w:ascii="宋体" w:hAnsi="宋体"/>
                <w:spacing w:val="-4"/>
                <w:szCs w:val="21"/>
              </w:rPr>
              <w:t>参与评标价平均值计算的投标人数量≥1</w:t>
            </w:r>
            <w:r>
              <w:rPr>
                <w:rFonts w:ascii="宋体" w:hAnsi="宋体"/>
                <w:spacing w:val="-4"/>
                <w:szCs w:val="21"/>
              </w:rPr>
              <w:t>0</w:t>
            </w:r>
            <w:r>
              <w:rPr>
                <w:rFonts w:hint="eastAsia" w:ascii="宋体" w:hAnsi="宋体"/>
                <w:spacing w:val="-4"/>
                <w:szCs w:val="21"/>
              </w:rPr>
              <w:t>家时，n=</w:t>
            </w:r>
            <w:r>
              <w:rPr>
                <w:rFonts w:ascii="宋体" w:hAnsi="宋体"/>
                <w:spacing w:val="-4"/>
                <w:szCs w:val="21"/>
              </w:rPr>
              <w:t>2</w:t>
            </w:r>
          </w:p>
          <w:p>
            <w:pPr>
              <w:spacing w:line="276" w:lineRule="auto"/>
              <w:ind w:firstLine="404" w:firstLineChars="200"/>
              <w:jc w:val="left"/>
              <w:rPr>
                <w:rFonts w:ascii="宋体" w:hAnsi="宋体"/>
                <w:spacing w:val="-4"/>
                <w:szCs w:val="21"/>
              </w:rPr>
            </w:pPr>
            <w:r>
              <w:rPr>
                <w:rFonts w:hint="eastAsia" w:ascii="宋体" w:hAnsi="宋体"/>
                <w:spacing w:val="-4"/>
                <w:szCs w:val="21"/>
              </w:rPr>
              <w:t>（3）评标基准价的确定：</w:t>
            </w:r>
          </w:p>
          <w:p>
            <w:pPr>
              <w:snapToGrid w:val="0"/>
              <w:spacing w:line="288" w:lineRule="auto"/>
              <w:ind w:firstLine="420" w:firstLineChars="200"/>
              <w:rPr>
                <w:rFonts w:ascii="宋体" w:hAnsi="宋体" w:cs="微软雅黑"/>
              </w:rPr>
            </w:pPr>
            <w:r>
              <w:rPr>
                <w:rFonts w:hint="eastAsia" w:ascii="宋体" w:hAnsi="宋体" w:cs="宋体"/>
                <w:szCs w:val="21"/>
              </w:rPr>
              <w:t>将评标价平均值直接作为评标基准价（评标基准价保留两位小数，第三位四舍五入）</w:t>
            </w:r>
            <w:r>
              <w:rPr>
                <w:rFonts w:hint="eastAsia" w:ascii="宋体" w:hAnsi="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CellMar>
            <w:top w:w="0" w:type="dxa"/>
            <w:left w:w="0" w:type="dxa"/>
            <w:bottom w:w="0" w:type="dxa"/>
            <w:right w:w="0" w:type="dxa"/>
          </w:tblCellMar>
        </w:tblPrEx>
        <w:trPr>
          <w:trHeight w:val="852"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jc w:val="center"/>
              <w:rPr>
                <w:rFonts w:ascii="宋体" w:hAnsi="宋体" w:cs="微软雅黑"/>
                <w:color w:val="000000"/>
              </w:rPr>
            </w:pPr>
            <w:r>
              <w:rPr>
                <w:rFonts w:hint="eastAsia" w:ascii="宋体" w:hAnsi="宋体" w:cs="微软雅黑"/>
                <w:color w:val="000000"/>
              </w:rPr>
              <w:t>2.2.3</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snapToGrid w:val="0"/>
              <w:spacing w:line="288" w:lineRule="auto"/>
              <w:ind w:right="-20"/>
              <w:jc w:val="center"/>
              <w:rPr>
                <w:rFonts w:ascii="宋体" w:hAnsi="宋体" w:cs="微软雅黑"/>
                <w:color w:val="000000"/>
              </w:rPr>
            </w:pPr>
            <w:r>
              <w:rPr>
                <w:rFonts w:hint="eastAsia" w:ascii="宋体" w:hAnsi="宋体" w:cs="微软雅黑"/>
                <w:color w:val="000000"/>
              </w:rPr>
              <w:t>投标报价的偏差率计算公式</w:t>
            </w:r>
          </w:p>
        </w:tc>
        <w:tc>
          <w:tcPr>
            <w:tcW w:w="7342"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288" w:lineRule="auto"/>
              <w:rPr>
                <w:rFonts w:ascii="宋体" w:hAnsi="宋体" w:cs="微软雅黑"/>
                <w:color w:val="000000"/>
              </w:rPr>
            </w:pPr>
            <w:r>
              <w:rPr>
                <w:rFonts w:hint="eastAsia" w:ascii="宋体" w:hAnsi="宋体" w:cs="微软雅黑"/>
                <w:color w:val="000000"/>
              </w:rPr>
              <w:t>偏差率=100%×（投标人评标价-评标基准价）/评标基准价</w:t>
            </w:r>
          </w:p>
        </w:tc>
      </w:tr>
      <w:tr>
        <w:tblPrEx>
          <w:tblCellMar>
            <w:top w:w="0" w:type="dxa"/>
            <w:left w:w="0" w:type="dxa"/>
            <w:bottom w:w="0" w:type="dxa"/>
            <w:right w:w="0" w:type="dxa"/>
          </w:tblCellMar>
        </w:tblPrEx>
        <w:trPr>
          <w:trHeight w:val="852"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jc w:val="center"/>
              <w:rPr>
                <w:rFonts w:hint="eastAsia" w:ascii="宋体" w:hAnsi="宋体" w:cs="微软雅黑"/>
                <w:color w:val="000000"/>
              </w:rPr>
            </w:pPr>
            <w:r>
              <w:rPr>
                <w:rFonts w:hint="eastAsia" w:ascii="宋体" w:hAnsi="宋体" w:cs="宋体"/>
                <w:kern w:val="0"/>
                <w:szCs w:val="21"/>
              </w:rPr>
              <w:t>3.</w:t>
            </w:r>
            <w:r>
              <w:rPr>
                <w:rFonts w:hint="eastAsia" w:ascii="宋体" w:hAnsi="宋体" w:cs="宋体"/>
                <w:kern w:val="0"/>
                <w:szCs w:val="21"/>
                <w:lang w:val="en-US" w:eastAsia="zh-CN"/>
              </w:rPr>
              <w:t>3</w:t>
            </w:r>
            <w:r>
              <w:rPr>
                <w:rFonts w:hint="eastAsia" w:ascii="宋体" w:hAnsi="宋体" w:cs="宋体"/>
                <w:kern w:val="0"/>
                <w:szCs w:val="21"/>
              </w:rPr>
              <w:t>.1</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snapToGrid w:val="0"/>
              <w:spacing w:line="288" w:lineRule="auto"/>
              <w:ind w:right="-20"/>
              <w:jc w:val="center"/>
              <w:rPr>
                <w:rFonts w:hint="eastAsia" w:ascii="宋体" w:hAnsi="宋体" w:cs="微软雅黑"/>
                <w:color w:val="000000"/>
              </w:rPr>
            </w:pPr>
            <w:r>
              <w:rPr>
                <w:rFonts w:hint="eastAsia" w:ascii="宋体" w:hAnsi="宋体" w:cs="宋体"/>
                <w:kern w:val="0"/>
                <w:szCs w:val="21"/>
              </w:rPr>
              <w:t>投标文件相关信息核查</w:t>
            </w:r>
          </w:p>
        </w:tc>
        <w:tc>
          <w:tcPr>
            <w:tcW w:w="7342"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288" w:lineRule="auto"/>
              <w:jc w:val="left"/>
              <w:rPr>
                <w:rFonts w:hint="eastAsia" w:ascii="宋体" w:hAnsi="宋体" w:cs="宋体"/>
                <w:szCs w:val="21"/>
              </w:rPr>
            </w:pPr>
            <w:r>
              <w:rPr>
                <w:rFonts w:hint="eastAsia" w:ascii="宋体" w:hAnsi="宋体" w:cs="宋体"/>
                <w:szCs w:val="21"/>
              </w:rPr>
              <w:t>本款修改为：</w:t>
            </w:r>
          </w:p>
          <w:p>
            <w:pPr>
              <w:snapToGrid w:val="0"/>
              <w:spacing w:line="288" w:lineRule="auto"/>
              <w:ind w:firstLine="327" w:firstLineChars="156"/>
              <w:jc w:val="lef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288" w:lineRule="auto"/>
              <w:ind w:firstLine="327" w:firstLineChars="156"/>
              <w:jc w:val="left"/>
              <w:rPr>
                <w:rFonts w:hint="eastAsia" w:ascii="宋体" w:hAnsi="宋体" w:cs="宋体"/>
                <w:szCs w:val="21"/>
              </w:rPr>
            </w:pPr>
            <w:r>
              <w:rPr>
                <w:rFonts w:hint="eastAsia" w:ascii="宋体" w:hAnsi="宋体" w:cs="宋体"/>
                <w:szCs w:val="21"/>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cs="宋体"/>
                <w:szCs w:val="21"/>
              </w:rPr>
            </w:pPr>
            <w:r>
              <w:rPr>
                <w:rFonts w:hint="eastAsia" w:ascii="宋体" w:hAnsi="宋体" w:cs="宋体"/>
                <w:szCs w:val="21"/>
              </w:rPr>
              <w:t>如投标人未提供相关网页截图或所附截图与复核结果不一致导致不能满足资格评审要求的，评标委员会应否决其投标。</w:t>
            </w:r>
          </w:p>
          <w:p>
            <w:pPr>
              <w:snapToGrid w:val="0"/>
              <w:spacing w:line="288" w:lineRule="auto"/>
              <w:ind w:firstLine="327" w:firstLineChars="156"/>
              <w:jc w:val="left"/>
              <w:rPr>
                <w:rFonts w:hint="eastAsia" w:ascii="宋体" w:hAnsi="宋体" w:cs="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210" w:firstLineChars="100"/>
              <w:rPr>
                <w:rFonts w:hint="eastAsia" w:ascii="宋体" w:hAnsi="宋体" w:cs="微软雅黑"/>
                <w:color w:val="000000"/>
              </w:rPr>
            </w:pPr>
            <w:r>
              <w:rPr>
                <w:rFonts w:hint="eastAsia" w:ascii="宋体" w:hAnsi="宋体" w:cs="宋体"/>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CellMar>
            <w:top w:w="0" w:type="dxa"/>
            <w:left w:w="0" w:type="dxa"/>
            <w:bottom w:w="0" w:type="dxa"/>
            <w:right w:w="0" w:type="dxa"/>
          </w:tblCellMar>
        </w:tblPrEx>
        <w:trPr>
          <w:trHeight w:val="402" w:hRule="atLeast"/>
          <w:jc w:val="center"/>
        </w:trPr>
        <w:tc>
          <w:tcPr>
            <w:tcW w:w="935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jc w:val="left"/>
              <w:rPr>
                <w:rFonts w:hint="eastAsia" w:ascii="宋体" w:hAnsi="宋体" w:cs="宋体"/>
                <w:szCs w:val="21"/>
              </w:rPr>
            </w:pPr>
            <w:r>
              <w:rPr>
                <w:rFonts w:hint="eastAsia" w:ascii="宋体" w:hAnsi="宋体" w:cs="宋体"/>
                <w:szCs w:val="21"/>
              </w:rPr>
              <w:t>其他需要补充的内容：</w:t>
            </w:r>
          </w:p>
        </w:tc>
      </w:tr>
      <w:tr>
        <w:tblPrEx>
          <w:tblCellMar>
            <w:top w:w="0" w:type="dxa"/>
            <w:left w:w="0" w:type="dxa"/>
            <w:bottom w:w="0" w:type="dxa"/>
            <w:right w:w="0" w:type="dxa"/>
          </w:tblCellMar>
        </w:tblPrEx>
        <w:trPr>
          <w:trHeight w:val="550" w:hRule="atLeast"/>
          <w:jc w:val="center"/>
        </w:trPr>
        <w:tc>
          <w:tcPr>
            <w:tcW w:w="935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88" w:lineRule="auto"/>
              <w:ind w:firstLine="420" w:firstLineChars="200"/>
              <w:jc w:val="left"/>
              <w:rPr>
                <w:rFonts w:hint="eastAsia" w:ascii="宋体" w:hAnsi="宋体" w:cs="宋体"/>
                <w:szCs w:val="21"/>
              </w:rPr>
            </w:pPr>
            <w:r>
              <w:rPr>
                <w:rFonts w:hint="eastAsia" w:ascii="宋体" w:hAnsi="宋体" w:cs="宋体"/>
                <w:szCs w:val="21"/>
              </w:rPr>
              <w:t>无</w:t>
            </w:r>
          </w:p>
        </w:tc>
      </w:tr>
    </w:tbl>
    <w:p>
      <w:pPr>
        <w:wordWrap w:val="0"/>
        <w:autoSpaceDE w:val="0"/>
        <w:autoSpaceDN w:val="0"/>
        <w:adjustRightInd w:val="0"/>
        <w:ind w:right="-20"/>
        <w:jc w:val="left"/>
        <w:rPr>
          <w:rFonts w:hint="eastAsia" w:ascii="宋体" w:hAnsi="宋体" w:cs="微软雅黑"/>
          <w:color w:val="000000"/>
          <w:spacing w:val="2"/>
          <w:kern w:val="0"/>
          <w:sz w:val="24"/>
          <w:szCs w:val="24"/>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hint="eastAsia" w:ascii="宋体" w:hAnsi="宋体" w:cs="宋体"/>
          <w:color w:val="000000"/>
          <w:kern w:val="0"/>
          <w:szCs w:val="21"/>
        </w:rPr>
      </w:pPr>
    </w:p>
    <w:p>
      <w:pPr>
        <w:autoSpaceDE w:val="0"/>
        <w:autoSpaceDN w:val="0"/>
        <w:adjustRightInd w:val="0"/>
        <w:ind w:right="-20"/>
        <w:jc w:val="left"/>
        <w:rPr>
          <w:rFonts w:ascii="宋体" w:hAnsi="宋体" w:cs="宋体"/>
          <w:sz w:val="24"/>
        </w:rPr>
      </w:pPr>
      <w:bookmarkStart w:id="0" w:name="_GoBack"/>
      <w:bookmarkEnd w:id="0"/>
      <w:r>
        <w:rPr>
          <w:rFonts w:hint="eastAsia" w:ascii="宋体" w:hAnsi="宋体" w:cs="宋体"/>
          <w:color w:val="000000"/>
          <w:kern w:val="0"/>
          <w:szCs w:val="21"/>
        </w:rPr>
        <w:t>具体评分标准</w:t>
      </w:r>
      <w:r>
        <w:rPr>
          <w:rFonts w:hint="eastAsia"/>
        </w:rPr>
        <w:t xml:space="preserve"> </w:t>
      </w:r>
    </w:p>
    <w:tbl>
      <w:tblPr>
        <w:tblStyle w:val="6"/>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76"/>
        <w:gridCol w:w="1134"/>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16" w:type="dxa"/>
            <w:noWrap w:val="0"/>
            <w:vAlign w:val="center"/>
          </w:tcPr>
          <w:p>
            <w:pPr>
              <w:pStyle w:val="4"/>
              <w:spacing w:line="160" w:lineRule="atLeast"/>
              <w:jc w:val="center"/>
              <w:textAlignment w:val="baseline"/>
              <w:rPr>
                <w:rFonts w:hint="eastAsia" w:hAnsi="宋体" w:cs="宋体"/>
                <w:kern w:val="0"/>
                <w:szCs w:val="21"/>
              </w:rPr>
            </w:pPr>
            <w:r>
              <w:rPr>
                <w:rFonts w:hint="eastAsia" w:hAnsi="宋体" w:cs="宋体"/>
              </w:rPr>
              <w:t>条款号</w:t>
            </w:r>
          </w:p>
        </w:tc>
        <w:tc>
          <w:tcPr>
            <w:tcW w:w="1029" w:type="dxa"/>
            <w:noWrap w:val="0"/>
            <w:vAlign w:val="center"/>
          </w:tcPr>
          <w:p>
            <w:pPr>
              <w:pStyle w:val="4"/>
              <w:spacing w:line="160" w:lineRule="atLeast"/>
              <w:jc w:val="center"/>
              <w:textAlignment w:val="baseline"/>
              <w:rPr>
                <w:rFonts w:hint="eastAsia" w:hAnsi="宋体" w:cs="宋体"/>
              </w:rPr>
            </w:pPr>
            <w:r>
              <w:rPr>
                <w:rFonts w:hint="eastAsia" w:hAnsi="宋体" w:cs="宋体"/>
              </w:rPr>
              <w:t>评分因素</w:t>
            </w:r>
          </w:p>
        </w:tc>
        <w:tc>
          <w:tcPr>
            <w:tcW w:w="1976" w:type="dxa"/>
            <w:noWrap w:val="0"/>
            <w:vAlign w:val="center"/>
          </w:tcPr>
          <w:p>
            <w:pPr>
              <w:adjustRightInd w:val="0"/>
              <w:snapToGrid w:val="0"/>
              <w:spacing w:line="288" w:lineRule="auto"/>
              <w:jc w:val="center"/>
              <w:rPr>
                <w:rFonts w:ascii="宋体" w:hAnsi="宋体" w:cs="宋体"/>
                <w:szCs w:val="21"/>
                <w:u w:val="single"/>
              </w:rPr>
            </w:pPr>
            <w:r>
              <w:rPr>
                <w:rFonts w:hint="eastAsia" w:ascii="宋体" w:hAnsi="宋体" w:cs="宋体"/>
                <w:szCs w:val="21"/>
              </w:rPr>
              <w:t>评分因素</w:t>
            </w:r>
          </w:p>
        </w:tc>
        <w:tc>
          <w:tcPr>
            <w:tcW w:w="1134" w:type="dxa"/>
            <w:noWrap w:val="0"/>
            <w:vAlign w:val="center"/>
          </w:tcPr>
          <w:p>
            <w:pPr>
              <w:spacing w:line="288" w:lineRule="auto"/>
              <w:jc w:val="center"/>
              <w:rPr>
                <w:rFonts w:ascii="宋体" w:hAnsi="宋体" w:cs="宋体"/>
                <w:szCs w:val="21"/>
              </w:rPr>
            </w:pPr>
            <w:r>
              <w:rPr>
                <w:rFonts w:ascii="宋体" w:hAnsi="宋体" w:cs="宋体"/>
                <w:spacing w:val="-3"/>
                <w:szCs w:val="21"/>
              </w:rPr>
              <w:t>分</w:t>
            </w:r>
            <w:r>
              <w:rPr>
                <w:rFonts w:ascii="宋体" w:hAnsi="宋体" w:cs="宋体"/>
                <w:spacing w:val="-2"/>
                <w:szCs w:val="21"/>
              </w:rPr>
              <w:t>值</w:t>
            </w:r>
          </w:p>
        </w:tc>
        <w:tc>
          <w:tcPr>
            <w:tcW w:w="4119" w:type="dxa"/>
            <w:noWrap w:val="0"/>
            <w:vAlign w:val="center"/>
          </w:tcPr>
          <w:p>
            <w:pPr>
              <w:spacing w:line="288" w:lineRule="auto"/>
              <w:jc w:val="center"/>
              <w:rPr>
                <w:rFonts w:ascii="宋体" w:hAnsi="宋体" w:cs="宋体"/>
                <w:spacing w:val="-3"/>
                <w:szCs w:val="21"/>
              </w:rPr>
            </w:pPr>
            <w:r>
              <w:rPr>
                <w:rFonts w:ascii="宋体" w:hAnsi="宋体" w:cs="宋体"/>
                <w:spacing w:val="-1"/>
                <w:szCs w:val="21"/>
              </w:rPr>
              <w:t>评分</w:t>
            </w:r>
            <w:r>
              <w:rPr>
                <w:rFonts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2.2.4(1)</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商务评分标准</w:t>
            </w:r>
          </w:p>
        </w:tc>
        <w:tc>
          <w:tcPr>
            <w:tcW w:w="1976" w:type="dxa"/>
            <w:noWrap w:val="0"/>
            <w:vAlign w:val="center"/>
          </w:tcPr>
          <w:p>
            <w:pPr>
              <w:adjustRightInd w:val="0"/>
              <w:snapToGrid w:val="0"/>
              <w:spacing w:line="288" w:lineRule="auto"/>
              <w:jc w:val="center"/>
              <w:rPr>
                <w:rFonts w:hint="eastAsia" w:ascii="宋体" w:hAnsi="宋体" w:cs="宋体"/>
                <w:szCs w:val="21"/>
              </w:rPr>
            </w:pPr>
            <w:r>
              <w:rPr>
                <w:rFonts w:hint="eastAsia" w:ascii="宋体" w:hAnsi="宋体" w:cs="宋体"/>
                <w:szCs w:val="21"/>
              </w:rPr>
              <w:t>对招标文件商务条件的响应程度</w:t>
            </w:r>
          </w:p>
        </w:tc>
        <w:tc>
          <w:tcPr>
            <w:tcW w:w="1134" w:type="dxa"/>
            <w:noWrap w:val="0"/>
            <w:vAlign w:val="center"/>
          </w:tcPr>
          <w:p>
            <w:pPr>
              <w:spacing w:line="288" w:lineRule="auto"/>
              <w:jc w:val="center"/>
              <w:rPr>
                <w:rFonts w:ascii="宋体" w:hAnsi="宋体" w:cs="宋体"/>
                <w:szCs w:val="21"/>
              </w:rPr>
            </w:pPr>
            <w:r>
              <w:rPr>
                <w:rFonts w:ascii="宋体" w:hAnsi="宋体" w:cs="宋体"/>
                <w:kern w:val="0"/>
                <w:szCs w:val="21"/>
                <w:u w:val="single"/>
              </w:rPr>
              <w:t>5</w:t>
            </w:r>
            <w:r>
              <w:rPr>
                <w:rFonts w:hint="eastAsia" w:ascii="宋体" w:hAnsi="宋体" w:cs="宋体"/>
                <w:kern w:val="0"/>
                <w:szCs w:val="21"/>
              </w:rPr>
              <w:t>分</w:t>
            </w:r>
          </w:p>
        </w:tc>
        <w:tc>
          <w:tcPr>
            <w:tcW w:w="4119" w:type="dxa"/>
            <w:noWrap w:val="0"/>
            <w:vAlign w:val="center"/>
          </w:tcPr>
          <w:p>
            <w:pPr>
              <w:spacing w:line="288" w:lineRule="auto"/>
              <w:jc w:val="center"/>
              <w:rPr>
                <w:rFonts w:ascii="宋体" w:hAnsi="宋体" w:cs="宋体"/>
                <w:szCs w:val="21"/>
              </w:rPr>
            </w:pPr>
            <w:r>
              <w:rPr>
                <w:rFonts w:hint="eastAsia" w:ascii="宋体" w:hAnsi="宋体" w:cs="宋体"/>
              </w:rPr>
              <w:t>一般得3分，良好得4分，优秀得5分。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restart"/>
            <w:noWrap w:val="0"/>
            <w:vAlign w:val="center"/>
          </w:tcPr>
          <w:p>
            <w:pPr>
              <w:adjustRightInd w:val="0"/>
              <w:snapToGrid w:val="0"/>
              <w:spacing w:line="288" w:lineRule="auto"/>
              <w:jc w:val="center"/>
              <w:rPr>
                <w:rFonts w:ascii="宋体" w:hAnsi="宋体" w:cs="宋体"/>
                <w:szCs w:val="21"/>
              </w:rPr>
            </w:pPr>
            <w:r>
              <w:rPr>
                <w:rFonts w:hint="eastAsia" w:ascii="宋体" w:hAnsi="宋体" w:cs="宋体"/>
                <w:szCs w:val="21"/>
              </w:rPr>
              <w:t>业绩</w:t>
            </w:r>
          </w:p>
        </w:tc>
        <w:tc>
          <w:tcPr>
            <w:tcW w:w="1134" w:type="dxa"/>
            <w:vMerge w:val="restart"/>
            <w:noWrap w:val="0"/>
            <w:vAlign w:val="center"/>
          </w:tcPr>
          <w:p>
            <w:pPr>
              <w:spacing w:line="288" w:lineRule="auto"/>
              <w:jc w:val="center"/>
              <w:rPr>
                <w:rFonts w:ascii="宋体" w:hAnsi="宋体" w:cs="宋体"/>
                <w:szCs w:val="21"/>
              </w:rPr>
            </w:pPr>
            <w:r>
              <w:rPr>
                <w:rFonts w:ascii="宋体" w:hAnsi="宋体" w:cs="宋体"/>
                <w:kern w:val="0"/>
                <w:szCs w:val="21"/>
                <w:u w:val="single"/>
              </w:rPr>
              <w:t>15</w:t>
            </w:r>
            <w:r>
              <w:rPr>
                <w:rFonts w:hint="eastAsia" w:ascii="宋体" w:hAnsi="宋体" w:cs="宋体"/>
                <w:kern w:val="0"/>
                <w:szCs w:val="21"/>
              </w:rPr>
              <w:t>分</w:t>
            </w:r>
          </w:p>
        </w:tc>
        <w:tc>
          <w:tcPr>
            <w:tcW w:w="4119" w:type="dxa"/>
            <w:noWrap w:val="0"/>
            <w:vAlign w:val="center"/>
          </w:tcPr>
          <w:p>
            <w:pPr>
              <w:ind w:right="113"/>
              <w:rPr>
                <w:rFonts w:hint="eastAsia" w:ascii="宋体" w:hAnsi="宋体" w:cs="宋体"/>
                <w:color w:val="000000"/>
                <w:szCs w:val="21"/>
              </w:rPr>
            </w:pPr>
            <w:r>
              <w:rPr>
                <w:rFonts w:hint="eastAsia" w:ascii="宋体" w:hAnsi="宋体" w:cs="宋体"/>
              </w:rPr>
              <w:t>满足资格审查条件(业绩最低要求)得</w:t>
            </w:r>
            <w:r>
              <w:rPr>
                <w:rFonts w:ascii="宋体" w:hAnsi="宋体" w:cs="宋体"/>
              </w:rPr>
              <w:t>9</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adjustRightInd w:val="0"/>
              <w:snapToGrid w:val="0"/>
              <w:spacing w:line="288" w:lineRule="auto"/>
              <w:jc w:val="center"/>
              <w:rPr>
                <w:rFonts w:ascii="宋体" w:hAnsi="宋体" w:cs="宋体"/>
                <w:szCs w:val="21"/>
              </w:rPr>
            </w:pPr>
          </w:p>
        </w:tc>
        <w:tc>
          <w:tcPr>
            <w:tcW w:w="1134" w:type="dxa"/>
            <w:vMerge w:val="continue"/>
            <w:noWrap w:val="0"/>
            <w:vAlign w:val="center"/>
          </w:tcPr>
          <w:p>
            <w:pPr>
              <w:spacing w:line="288" w:lineRule="auto"/>
              <w:jc w:val="center"/>
              <w:rPr>
                <w:rFonts w:ascii="宋体" w:hAnsi="宋体" w:cs="宋体"/>
                <w:szCs w:val="21"/>
              </w:rPr>
            </w:pPr>
          </w:p>
        </w:tc>
        <w:tc>
          <w:tcPr>
            <w:tcW w:w="4119" w:type="dxa"/>
            <w:noWrap w:val="0"/>
            <w:vAlign w:val="center"/>
          </w:tcPr>
          <w:p>
            <w:pPr>
              <w:ind w:right="113"/>
              <w:rPr>
                <w:rFonts w:hint="eastAsia" w:ascii="宋体" w:hAnsi="宋体" w:cs="宋体"/>
                <w:color w:val="000000"/>
                <w:szCs w:val="21"/>
              </w:rPr>
            </w:pPr>
            <w:r>
              <w:rPr>
                <w:rFonts w:hint="eastAsia" w:ascii="宋体" w:hAnsi="宋体" w:cs="宋体"/>
                <w:color w:val="000000"/>
                <w:szCs w:val="21"/>
              </w:rPr>
              <w:t>1标段：近3年内（2020年9月1日至今，以合同签订时间为准）每增加1辆危险品运输半挂牵引车或1辆易燃液体罐式运输半挂车供货业绩加</w:t>
            </w:r>
            <w:r>
              <w:rPr>
                <w:rFonts w:ascii="宋体" w:hAnsi="宋体" w:cs="宋体"/>
                <w:color w:val="000000"/>
                <w:szCs w:val="21"/>
              </w:rPr>
              <w:t>1</w:t>
            </w:r>
            <w:r>
              <w:rPr>
                <w:rFonts w:hint="eastAsia" w:ascii="宋体" w:hAnsi="宋体" w:cs="宋体"/>
                <w:color w:val="000000"/>
                <w:szCs w:val="21"/>
              </w:rPr>
              <w:t>分，最多加</w:t>
            </w:r>
            <w:r>
              <w:rPr>
                <w:rFonts w:ascii="宋体" w:hAnsi="宋体" w:cs="宋体"/>
                <w:color w:val="000000"/>
                <w:szCs w:val="21"/>
              </w:rPr>
              <w:t>6</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adjustRightInd w:val="0"/>
              <w:snapToGrid w:val="0"/>
              <w:spacing w:line="288" w:lineRule="auto"/>
              <w:jc w:val="center"/>
              <w:rPr>
                <w:rFonts w:ascii="宋体" w:hAnsi="宋体" w:cs="宋体"/>
                <w:szCs w:val="21"/>
              </w:rPr>
            </w:pPr>
          </w:p>
        </w:tc>
        <w:tc>
          <w:tcPr>
            <w:tcW w:w="1134" w:type="dxa"/>
            <w:vMerge w:val="continue"/>
            <w:noWrap w:val="0"/>
            <w:vAlign w:val="center"/>
          </w:tcPr>
          <w:p>
            <w:pPr>
              <w:spacing w:line="288" w:lineRule="auto"/>
              <w:jc w:val="center"/>
              <w:rPr>
                <w:rFonts w:hint="eastAsia" w:ascii="宋体" w:hAnsi="宋体" w:cs="宋体"/>
                <w:kern w:val="0"/>
                <w:szCs w:val="21"/>
                <w:u w:val="single"/>
              </w:rPr>
            </w:pPr>
          </w:p>
        </w:tc>
        <w:tc>
          <w:tcPr>
            <w:tcW w:w="4119" w:type="dxa"/>
            <w:noWrap w:val="0"/>
            <w:vAlign w:val="center"/>
          </w:tcPr>
          <w:p>
            <w:pPr>
              <w:ind w:right="113"/>
              <w:rPr>
                <w:rFonts w:hint="eastAsia" w:ascii="宋体" w:hAnsi="宋体" w:cs="宋体"/>
                <w:color w:val="000000"/>
                <w:szCs w:val="21"/>
              </w:rPr>
            </w:pPr>
            <w:r>
              <w:rPr>
                <w:rFonts w:hint="eastAsia" w:ascii="宋体" w:hAnsi="宋体" w:cs="宋体"/>
                <w:color w:val="000000"/>
                <w:szCs w:val="21"/>
              </w:rPr>
              <w:t>2标段：近3年内（2020年9月1日至今，以合同签订时间为准）每增加1套车载液位仪或1套便携式流量计供货业绩加</w:t>
            </w:r>
            <w:r>
              <w:rPr>
                <w:rFonts w:ascii="宋体" w:hAnsi="宋体" w:cs="宋体"/>
                <w:color w:val="000000"/>
                <w:szCs w:val="21"/>
              </w:rPr>
              <w:t>1</w:t>
            </w:r>
            <w:r>
              <w:rPr>
                <w:rFonts w:hint="eastAsia" w:ascii="宋体" w:hAnsi="宋体" w:cs="宋体"/>
                <w:color w:val="000000"/>
                <w:szCs w:val="21"/>
              </w:rPr>
              <w:t>分，最多加</w:t>
            </w:r>
            <w:r>
              <w:rPr>
                <w:rFonts w:ascii="宋体" w:hAnsi="宋体" w:cs="宋体"/>
                <w:color w:val="000000"/>
                <w:szCs w:val="21"/>
              </w:rPr>
              <w:t>6</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2.2.4(2)</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技术评分标准</w:t>
            </w:r>
          </w:p>
        </w:tc>
        <w:tc>
          <w:tcPr>
            <w:tcW w:w="1976" w:type="dxa"/>
            <w:noWrap w:val="0"/>
            <w:vAlign w:val="center"/>
          </w:tcPr>
          <w:p>
            <w:pPr>
              <w:spacing w:line="288" w:lineRule="auto"/>
              <w:jc w:val="center"/>
              <w:rPr>
                <w:rFonts w:hint="eastAsia" w:ascii="宋体" w:hAnsi="宋体" w:cs="宋体"/>
                <w:szCs w:val="21"/>
              </w:rPr>
            </w:pPr>
            <w:r>
              <w:rPr>
                <w:rFonts w:hint="eastAsia" w:ascii="宋体" w:hAnsi="宋体" w:cs="宋体"/>
                <w:szCs w:val="21"/>
              </w:rPr>
              <w:t>投标设备技术性能指标的响应程度</w:t>
            </w:r>
          </w:p>
        </w:tc>
        <w:tc>
          <w:tcPr>
            <w:tcW w:w="1134" w:type="dxa"/>
            <w:noWrap w:val="0"/>
            <w:vAlign w:val="center"/>
          </w:tcPr>
          <w:p>
            <w:pPr>
              <w:spacing w:line="288" w:lineRule="auto"/>
              <w:jc w:val="center"/>
              <w:rPr>
                <w:rFonts w:ascii="宋体" w:hAnsi="宋体" w:cs="宋体"/>
                <w:szCs w:val="21"/>
              </w:rPr>
            </w:pPr>
            <w:r>
              <w:rPr>
                <w:rFonts w:ascii="宋体" w:hAnsi="宋体" w:cs="宋体"/>
                <w:kern w:val="0"/>
                <w:szCs w:val="21"/>
                <w:u w:val="single"/>
              </w:rPr>
              <w:t>5</w:t>
            </w:r>
            <w:r>
              <w:rPr>
                <w:rFonts w:hint="eastAsia" w:ascii="宋体" w:hAnsi="宋体" w:cs="宋体"/>
                <w:kern w:val="0"/>
                <w:szCs w:val="21"/>
              </w:rPr>
              <w:t>分</w:t>
            </w:r>
          </w:p>
        </w:tc>
        <w:tc>
          <w:tcPr>
            <w:tcW w:w="4119" w:type="dxa"/>
            <w:noWrap w:val="0"/>
            <w:vAlign w:val="center"/>
          </w:tcPr>
          <w:p>
            <w:pPr>
              <w:spacing w:line="288" w:lineRule="auto"/>
              <w:jc w:val="center"/>
              <w:rPr>
                <w:rFonts w:hint="eastAsia" w:ascii="宋体" w:hAnsi="宋体" w:cs="宋体"/>
                <w:szCs w:val="21"/>
              </w:rPr>
            </w:pPr>
            <w:r>
              <w:rPr>
                <w:rFonts w:hint="eastAsia" w:ascii="宋体" w:hAnsi="宋体" w:cs="宋体"/>
              </w:rPr>
              <w:t>一般得3分，良好得4分，优秀得5分。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restart"/>
            <w:noWrap w:val="0"/>
            <w:vAlign w:val="center"/>
          </w:tcPr>
          <w:p>
            <w:pPr>
              <w:spacing w:line="288" w:lineRule="auto"/>
              <w:jc w:val="center"/>
              <w:rPr>
                <w:rFonts w:hint="eastAsia" w:ascii="宋体" w:hAnsi="宋体" w:cs="宋体"/>
                <w:szCs w:val="21"/>
              </w:rPr>
            </w:pPr>
            <w:r>
              <w:rPr>
                <w:rFonts w:hint="eastAsia" w:ascii="宋体" w:hAnsi="宋体" w:cs="宋体"/>
                <w:szCs w:val="21"/>
              </w:rPr>
              <w:t>对投标设备整体评价</w:t>
            </w:r>
          </w:p>
        </w:tc>
        <w:tc>
          <w:tcPr>
            <w:tcW w:w="1134" w:type="dxa"/>
            <w:vMerge w:val="restart"/>
            <w:noWrap w:val="0"/>
            <w:vAlign w:val="center"/>
          </w:tcPr>
          <w:p>
            <w:pPr>
              <w:spacing w:line="288" w:lineRule="auto"/>
              <w:jc w:val="center"/>
              <w:rPr>
                <w:rFonts w:hint="eastAsia" w:ascii="宋体" w:hAnsi="宋体" w:cs="宋体"/>
                <w:kern w:val="0"/>
                <w:szCs w:val="21"/>
                <w:u w:val="single"/>
              </w:rPr>
            </w:pPr>
            <w:r>
              <w:rPr>
                <w:rFonts w:ascii="宋体" w:hAnsi="宋体" w:cs="宋体"/>
                <w:kern w:val="0"/>
                <w:szCs w:val="21"/>
                <w:u w:val="single"/>
              </w:rPr>
              <w:t>30</w:t>
            </w:r>
            <w:r>
              <w:rPr>
                <w:rFonts w:hint="eastAsia" w:ascii="宋体" w:hAnsi="宋体" w:cs="宋体"/>
                <w:kern w:val="0"/>
                <w:szCs w:val="21"/>
              </w:rPr>
              <w:t>分</w:t>
            </w:r>
          </w:p>
        </w:tc>
        <w:tc>
          <w:tcPr>
            <w:tcW w:w="4119" w:type="dxa"/>
            <w:noWrap w:val="0"/>
            <w:vAlign w:val="center"/>
          </w:tcPr>
          <w:p>
            <w:pPr>
              <w:spacing w:line="360" w:lineRule="exact"/>
              <w:ind w:left="113" w:right="113"/>
              <w:jc w:val="left"/>
              <w:rPr>
                <w:rFonts w:hint="eastAsia" w:ascii="宋体" w:hAnsi="宋体" w:cs="宋体"/>
                <w:szCs w:val="21"/>
              </w:rPr>
            </w:pPr>
            <w:r>
              <w:rPr>
                <w:rFonts w:hint="eastAsia" w:ascii="宋体" w:hAnsi="宋体" w:cs="宋体"/>
                <w:szCs w:val="21"/>
              </w:rPr>
              <w:t>满足招标文件要求，设备整体性能一般，得</w:t>
            </w:r>
            <w:r>
              <w:rPr>
                <w:rFonts w:ascii="宋体" w:hAnsi="宋体" w:cs="宋体"/>
                <w:szCs w:val="21"/>
              </w:rPr>
              <w:t>18</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spacing w:line="288" w:lineRule="auto"/>
              <w:jc w:val="center"/>
              <w:rPr>
                <w:rFonts w:hint="eastAsia" w:ascii="宋体" w:hAnsi="宋体" w:cs="宋体"/>
                <w:szCs w:val="21"/>
              </w:rPr>
            </w:pPr>
          </w:p>
        </w:tc>
        <w:tc>
          <w:tcPr>
            <w:tcW w:w="1134" w:type="dxa"/>
            <w:vMerge w:val="continue"/>
            <w:noWrap w:val="0"/>
            <w:vAlign w:val="center"/>
          </w:tcPr>
          <w:p>
            <w:pPr>
              <w:spacing w:line="288" w:lineRule="auto"/>
              <w:jc w:val="center"/>
              <w:rPr>
                <w:rFonts w:ascii="宋体" w:hAnsi="宋体" w:cs="宋体"/>
                <w:kern w:val="0"/>
                <w:szCs w:val="21"/>
                <w:u w:val="single"/>
              </w:rPr>
            </w:pPr>
          </w:p>
        </w:tc>
        <w:tc>
          <w:tcPr>
            <w:tcW w:w="4119" w:type="dxa"/>
            <w:noWrap w:val="0"/>
            <w:vAlign w:val="center"/>
          </w:tcPr>
          <w:p>
            <w:pPr>
              <w:spacing w:line="360" w:lineRule="exact"/>
              <w:ind w:left="113" w:right="113"/>
              <w:jc w:val="left"/>
              <w:rPr>
                <w:rFonts w:hint="eastAsia" w:ascii="宋体" w:hAnsi="宋体" w:cs="宋体"/>
                <w:szCs w:val="21"/>
              </w:rPr>
            </w:pPr>
            <w:r>
              <w:rPr>
                <w:rFonts w:hint="eastAsia" w:ascii="宋体" w:hAnsi="宋体" w:cs="宋体"/>
                <w:szCs w:val="21"/>
              </w:rPr>
              <w:t>满足招标文件要求，设备整体性能较好，得</w:t>
            </w:r>
            <w:r>
              <w:rPr>
                <w:rFonts w:ascii="宋体" w:hAnsi="宋体" w:cs="宋体"/>
                <w:szCs w:val="21"/>
              </w:rPr>
              <w:t>18.0</w:t>
            </w:r>
            <w:r>
              <w:rPr>
                <w:rFonts w:hint="eastAsia" w:ascii="宋体" w:hAnsi="宋体" w:cs="宋体"/>
                <w:szCs w:val="21"/>
              </w:rPr>
              <w:t>～2</w:t>
            </w:r>
            <w:r>
              <w:rPr>
                <w:rFonts w:ascii="宋体" w:hAnsi="宋体" w:cs="宋体"/>
                <w:szCs w:val="21"/>
              </w:rPr>
              <w:t>4</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spacing w:line="288" w:lineRule="auto"/>
              <w:jc w:val="center"/>
              <w:rPr>
                <w:rFonts w:hint="eastAsia" w:ascii="宋体" w:hAnsi="宋体" w:cs="宋体"/>
                <w:szCs w:val="21"/>
              </w:rPr>
            </w:pPr>
          </w:p>
        </w:tc>
        <w:tc>
          <w:tcPr>
            <w:tcW w:w="1134" w:type="dxa"/>
            <w:vMerge w:val="continue"/>
            <w:noWrap w:val="0"/>
            <w:vAlign w:val="center"/>
          </w:tcPr>
          <w:p>
            <w:pPr>
              <w:spacing w:line="288" w:lineRule="auto"/>
              <w:jc w:val="center"/>
              <w:rPr>
                <w:rFonts w:ascii="宋体" w:hAnsi="宋体" w:cs="宋体"/>
                <w:kern w:val="0"/>
                <w:szCs w:val="21"/>
                <w:u w:val="single"/>
              </w:rPr>
            </w:pPr>
          </w:p>
        </w:tc>
        <w:tc>
          <w:tcPr>
            <w:tcW w:w="4119" w:type="dxa"/>
            <w:noWrap w:val="0"/>
            <w:vAlign w:val="center"/>
          </w:tcPr>
          <w:p>
            <w:pPr>
              <w:spacing w:line="360" w:lineRule="exact"/>
              <w:ind w:left="113" w:right="113"/>
              <w:jc w:val="left"/>
              <w:rPr>
                <w:rFonts w:hint="eastAsia" w:ascii="宋体" w:hAnsi="宋体" w:cs="宋体"/>
                <w:szCs w:val="21"/>
              </w:rPr>
            </w:pPr>
            <w:r>
              <w:rPr>
                <w:rFonts w:hint="eastAsia" w:ascii="宋体" w:hAnsi="宋体" w:cs="宋体"/>
                <w:szCs w:val="21"/>
              </w:rPr>
              <w:t>优于招标文件要求，设备整体性能优越，得2</w:t>
            </w:r>
            <w:r>
              <w:rPr>
                <w:rFonts w:ascii="宋体" w:hAnsi="宋体" w:cs="宋体"/>
                <w:szCs w:val="21"/>
              </w:rPr>
              <w:t>4</w:t>
            </w:r>
            <w:r>
              <w:rPr>
                <w:rFonts w:hint="eastAsia" w:ascii="宋体" w:hAnsi="宋体" w:cs="宋体"/>
                <w:szCs w:val="21"/>
              </w:rPr>
              <w:t>.</w:t>
            </w:r>
            <w:r>
              <w:rPr>
                <w:rFonts w:ascii="宋体" w:hAnsi="宋体" w:cs="宋体"/>
                <w:szCs w:val="21"/>
              </w:rPr>
              <w:t>0</w:t>
            </w:r>
            <w:r>
              <w:rPr>
                <w:rFonts w:hint="eastAsia" w:ascii="宋体" w:hAnsi="宋体" w:cs="宋体"/>
                <w:szCs w:val="21"/>
              </w:rPr>
              <w:t>～</w:t>
            </w:r>
            <w:r>
              <w:rPr>
                <w:rFonts w:ascii="宋体" w:hAnsi="宋体" w:cs="宋体"/>
                <w:szCs w:val="21"/>
              </w:rPr>
              <w:t>30</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restart"/>
            <w:noWrap w:val="0"/>
            <w:vAlign w:val="center"/>
          </w:tcPr>
          <w:p>
            <w:pPr>
              <w:spacing w:line="288" w:lineRule="auto"/>
              <w:jc w:val="center"/>
              <w:rPr>
                <w:rFonts w:hint="eastAsia" w:ascii="宋体" w:hAnsi="宋体" w:cs="宋体"/>
                <w:szCs w:val="21"/>
              </w:rPr>
            </w:pPr>
            <w:r>
              <w:rPr>
                <w:rFonts w:hint="eastAsia" w:ascii="宋体" w:hAnsi="宋体" w:cs="宋体"/>
                <w:szCs w:val="21"/>
              </w:rPr>
              <w:t>对投标人技术服务和质保期服务能力的评价</w:t>
            </w:r>
          </w:p>
        </w:tc>
        <w:tc>
          <w:tcPr>
            <w:tcW w:w="1134" w:type="dxa"/>
            <w:vMerge w:val="restart"/>
            <w:noWrap w:val="0"/>
            <w:vAlign w:val="center"/>
          </w:tcPr>
          <w:p>
            <w:pPr>
              <w:spacing w:line="288" w:lineRule="auto"/>
              <w:jc w:val="center"/>
              <w:rPr>
                <w:rFonts w:hint="eastAsia" w:ascii="宋体" w:hAnsi="宋体" w:cs="宋体"/>
                <w:kern w:val="0"/>
                <w:szCs w:val="21"/>
                <w:u w:val="single"/>
              </w:rPr>
            </w:pPr>
            <w:r>
              <w:rPr>
                <w:rFonts w:ascii="宋体" w:hAnsi="宋体" w:cs="宋体"/>
                <w:kern w:val="0"/>
                <w:szCs w:val="21"/>
                <w:u w:val="single"/>
              </w:rPr>
              <w:t>15</w:t>
            </w:r>
            <w:r>
              <w:rPr>
                <w:rFonts w:hint="eastAsia" w:ascii="宋体" w:hAnsi="宋体" w:cs="宋体"/>
                <w:kern w:val="0"/>
                <w:szCs w:val="21"/>
              </w:rPr>
              <w:t>分</w:t>
            </w:r>
          </w:p>
        </w:tc>
        <w:tc>
          <w:tcPr>
            <w:tcW w:w="4119" w:type="dxa"/>
            <w:noWrap w:val="0"/>
            <w:vAlign w:val="center"/>
          </w:tcPr>
          <w:p>
            <w:pPr>
              <w:spacing w:line="360" w:lineRule="exact"/>
              <w:ind w:left="113" w:right="113"/>
              <w:rPr>
                <w:rFonts w:hint="eastAsia" w:ascii="宋体" w:hAnsi="宋体" w:cs="宋体"/>
                <w:szCs w:val="21"/>
              </w:rPr>
            </w:pPr>
            <w:r>
              <w:rPr>
                <w:rFonts w:hint="eastAsia" w:ascii="宋体" w:hAnsi="宋体" w:cs="宋体"/>
                <w:szCs w:val="21"/>
              </w:rPr>
              <w:t>售后服务体系一般，得</w:t>
            </w:r>
            <w:r>
              <w:rPr>
                <w:rFonts w:ascii="宋体" w:hAnsi="宋体" w:cs="宋体"/>
                <w:szCs w:val="21"/>
              </w:rPr>
              <w:t>9</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spacing w:line="288" w:lineRule="auto"/>
              <w:jc w:val="center"/>
              <w:rPr>
                <w:rFonts w:hint="eastAsia" w:ascii="宋体" w:hAnsi="宋体" w:cs="宋体"/>
                <w:szCs w:val="21"/>
              </w:rPr>
            </w:pPr>
          </w:p>
        </w:tc>
        <w:tc>
          <w:tcPr>
            <w:tcW w:w="1134" w:type="dxa"/>
            <w:vMerge w:val="continue"/>
            <w:noWrap w:val="0"/>
            <w:vAlign w:val="center"/>
          </w:tcPr>
          <w:p>
            <w:pPr>
              <w:spacing w:line="288" w:lineRule="auto"/>
              <w:jc w:val="center"/>
              <w:rPr>
                <w:rFonts w:ascii="宋体" w:hAnsi="宋体" w:cs="宋体"/>
                <w:kern w:val="0"/>
                <w:szCs w:val="21"/>
                <w:u w:val="single"/>
              </w:rPr>
            </w:pPr>
          </w:p>
        </w:tc>
        <w:tc>
          <w:tcPr>
            <w:tcW w:w="4119" w:type="dxa"/>
            <w:noWrap w:val="0"/>
            <w:vAlign w:val="center"/>
          </w:tcPr>
          <w:p>
            <w:pPr>
              <w:spacing w:line="360" w:lineRule="exact"/>
              <w:ind w:left="113" w:right="113"/>
              <w:jc w:val="left"/>
              <w:rPr>
                <w:rFonts w:hint="eastAsia" w:ascii="宋体" w:hAnsi="宋体" w:cs="宋体"/>
                <w:szCs w:val="21"/>
              </w:rPr>
            </w:pPr>
            <w:r>
              <w:rPr>
                <w:rFonts w:hint="eastAsia" w:ascii="宋体" w:hAnsi="宋体" w:cs="宋体"/>
                <w:szCs w:val="21"/>
              </w:rPr>
              <w:t>售后服务体系较完备、承诺较周到，得</w:t>
            </w:r>
            <w:r>
              <w:rPr>
                <w:rFonts w:ascii="宋体" w:hAnsi="宋体" w:cs="宋体"/>
                <w:szCs w:val="21"/>
              </w:rPr>
              <w:t>9</w:t>
            </w:r>
            <w:r>
              <w:rPr>
                <w:rFonts w:hint="eastAsia" w:ascii="宋体" w:hAnsi="宋体" w:cs="宋体"/>
                <w:szCs w:val="21"/>
              </w:rPr>
              <w:t>.</w:t>
            </w:r>
            <w:r>
              <w:rPr>
                <w:rFonts w:ascii="宋体" w:hAnsi="宋体" w:cs="宋体"/>
                <w:szCs w:val="21"/>
              </w:rPr>
              <w:t>0</w:t>
            </w:r>
            <w:r>
              <w:rPr>
                <w:rFonts w:hint="eastAsia" w:ascii="宋体" w:hAnsi="宋体" w:cs="宋体"/>
                <w:szCs w:val="21"/>
              </w:rPr>
              <w:t>～</w:t>
            </w:r>
            <w:r>
              <w:rPr>
                <w:rFonts w:ascii="宋体" w:hAnsi="宋体" w:cs="宋体"/>
                <w:szCs w:val="21"/>
              </w:rPr>
              <w:t>12</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76" w:type="dxa"/>
            <w:vMerge w:val="continue"/>
            <w:noWrap w:val="0"/>
            <w:vAlign w:val="center"/>
          </w:tcPr>
          <w:p>
            <w:pPr>
              <w:spacing w:line="288" w:lineRule="auto"/>
              <w:jc w:val="center"/>
              <w:rPr>
                <w:rFonts w:hint="eastAsia" w:ascii="宋体" w:hAnsi="宋体" w:cs="宋体"/>
                <w:szCs w:val="21"/>
              </w:rPr>
            </w:pPr>
          </w:p>
        </w:tc>
        <w:tc>
          <w:tcPr>
            <w:tcW w:w="1134" w:type="dxa"/>
            <w:vMerge w:val="continue"/>
            <w:noWrap w:val="0"/>
            <w:vAlign w:val="center"/>
          </w:tcPr>
          <w:p>
            <w:pPr>
              <w:spacing w:line="288" w:lineRule="auto"/>
              <w:jc w:val="center"/>
              <w:rPr>
                <w:rFonts w:ascii="宋体" w:hAnsi="宋体" w:cs="宋体"/>
                <w:kern w:val="0"/>
                <w:szCs w:val="21"/>
                <w:u w:val="single"/>
              </w:rPr>
            </w:pPr>
          </w:p>
        </w:tc>
        <w:tc>
          <w:tcPr>
            <w:tcW w:w="4119" w:type="dxa"/>
            <w:noWrap w:val="0"/>
            <w:vAlign w:val="center"/>
          </w:tcPr>
          <w:p>
            <w:pPr>
              <w:spacing w:line="360" w:lineRule="exact"/>
              <w:ind w:left="113" w:right="113"/>
              <w:jc w:val="left"/>
              <w:rPr>
                <w:rFonts w:hint="eastAsia" w:ascii="宋体" w:hAnsi="宋体" w:cs="宋体"/>
                <w:szCs w:val="21"/>
              </w:rPr>
            </w:pPr>
            <w:r>
              <w:rPr>
                <w:rFonts w:hint="eastAsia" w:ascii="宋体" w:hAnsi="宋体" w:cs="宋体"/>
                <w:szCs w:val="21"/>
              </w:rPr>
              <w:t>售后服务体系完备、承诺周到,得</w:t>
            </w:r>
            <w:r>
              <w:rPr>
                <w:rFonts w:ascii="宋体" w:hAnsi="宋体" w:cs="宋体"/>
                <w:szCs w:val="21"/>
              </w:rPr>
              <w:t>12</w:t>
            </w:r>
            <w:r>
              <w:rPr>
                <w:rFonts w:hint="eastAsia" w:ascii="宋体" w:hAnsi="宋体" w:cs="宋体"/>
                <w:szCs w:val="21"/>
              </w:rPr>
              <w:t>.</w:t>
            </w:r>
            <w:r>
              <w:rPr>
                <w:rFonts w:ascii="宋体" w:hAnsi="宋体" w:cs="宋体"/>
                <w:szCs w:val="21"/>
              </w:rPr>
              <w:t>0</w:t>
            </w:r>
            <w:r>
              <w:rPr>
                <w:rFonts w:hint="eastAsia" w:ascii="宋体" w:hAnsi="宋体" w:cs="宋体"/>
                <w:szCs w:val="21"/>
              </w:rPr>
              <w:t>～</w:t>
            </w:r>
            <w:r>
              <w:rPr>
                <w:rFonts w:ascii="宋体" w:hAnsi="宋体" w:cs="宋体"/>
                <w:szCs w:val="21"/>
              </w:rPr>
              <w:t>15</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2.2.4(3)</w:t>
            </w:r>
          </w:p>
        </w:tc>
        <w:tc>
          <w:tcPr>
            <w:tcW w:w="1029" w:type="dxa"/>
            <w:tcBorders>
              <w:bottom w:val="single" w:color="auto" w:sz="4" w:space="0"/>
            </w:tcBorders>
            <w:noWrap w:val="0"/>
            <w:vAlign w:val="center"/>
          </w:tcPr>
          <w:p>
            <w:pPr>
              <w:spacing w:line="288" w:lineRule="auto"/>
              <w:ind w:left="126" w:hanging="126" w:hangingChars="60"/>
              <w:jc w:val="center"/>
              <w:rPr>
                <w:rFonts w:ascii="宋体" w:hAnsi="宋体" w:cs="宋体"/>
                <w:kern w:val="0"/>
                <w:szCs w:val="21"/>
              </w:rPr>
            </w:pPr>
            <w:r>
              <w:rPr>
                <w:rFonts w:hint="eastAsia" w:ascii="宋体" w:hAnsi="宋体" w:cs="宋体"/>
                <w:kern w:val="0"/>
                <w:szCs w:val="21"/>
              </w:rPr>
              <w:t>评标价</w:t>
            </w:r>
          </w:p>
          <w:p>
            <w:pPr>
              <w:spacing w:line="288" w:lineRule="auto"/>
              <w:ind w:left="126" w:hanging="126" w:hangingChars="60"/>
              <w:jc w:val="center"/>
              <w:rPr>
                <w:rFonts w:hint="eastAsia" w:ascii="宋体" w:hAnsi="宋体" w:cs="宋体"/>
                <w:szCs w:val="21"/>
              </w:rPr>
            </w:pPr>
            <w:r>
              <w:rPr>
                <w:rFonts w:hint="eastAsia" w:ascii="宋体" w:hAnsi="宋体" w:cs="宋体"/>
                <w:kern w:val="0"/>
                <w:szCs w:val="21"/>
              </w:rPr>
              <w:t>（</w:t>
            </w:r>
            <w:r>
              <w:rPr>
                <w:rFonts w:ascii="宋体" w:hAnsi="宋体" w:cs="宋体"/>
                <w:kern w:val="0"/>
                <w:szCs w:val="21"/>
                <w:u w:val="single"/>
              </w:rPr>
              <w:t>30</w:t>
            </w:r>
            <w:r>
              <w:rPr>
                <w:rFonts w:hint="eastAsia" w:ascii="宋体" w:hAnsi="宋体" w:cs="宋体"/>
                <w:kern w:val="0"/>
                <w:szCs w:val="21"/>
              </w:rPr>
              <w:t>分）</w:t>
            </w:r>
          </w:p>
        </w:tc>
        <w:tc>
          <w:tcPr>
            <w:tcW w:w="7229" w:type="dxa"/>
            <w:gridSpan w:val="3"/>
            <w:tcBorders>
              <w:bottom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评标价得分计算公式示例：</w:t>
            </w:r>
          </w:p>
          <w:p>
            <w:pPr>
              <w:spacing w:line="276" w:lineRule="auto"/>
              <w:ind w:firstLine="256" w:firstLineChars="122"/>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276" w:lineRule="auto"/>
              <w:ind w:firstLine="256" w:firstLineChars="122"/>
              <w:rPr>
                <w:rFonts w:ascii="宋体" w:hAnsi="宋体" w:cs="宋体"/>
                <w:kern w:val="0"/>
                <w:szCs w:val="21"/>
              </w:rPr>
            </w:pPr>
            <w:r>
              <w:rPr>
                <w:rFonts w:hint="eastAsia" w:ascii="宋体" w:hAnsi="宋体" w:cs="宋体"/>
                <w:kern w:val="0"/>
                <w:szCs w:val="21"/>
              </w:rPr>
              <w:t>其中：F=</w:t>
            </w:r>
            <w:r>
              <w:rPr>
                <w:rFonts w:ascii="宋体" w:hAnsi="宋体" w:cs="宋体"/>
                <w:kern w:val="0"/>
                <w:szCs w:val="21"/>
              </w:rPr>
              <w:t>30</w:t>
            </w:r>
            <w:r>
              <w:rPr>
                <w:rFonts w:hint="eastAsia" w:ascii="宋体" w:hAnsi="宋体" w:cs="宋体"/>
                <w:kern w:val="0"/>
                <w:szCs w:val="21"/>
              </w:rPr>
              <w:t>，E</w:t>
            </w:r>
            <w:r>
              <w:rPr>
                <w:rFonts w:hint="eastAsia" w:ascii="宋体" w:hAnsi="宋体" w:cs="宋体"/>
                <w:kern w:val="0"/>
                <w:szCs w:val="21"/>
                <w:vertAlign w:val="subscript"/>
              </w:rPr>
              <w:t>1</w:t>
            </w:r>
            <w:r>
              <w:rPr>
                <w:rFonts w:hint="eastAsia" w:ascii="宋体" w:hAnsi="宋体" w:cs="宋体"/>
                <w:kern w:val="0"/>
                <w:szCs w:val="21"/>
              </w:rPr>
              <w:t>=0</w:t>
            </w:r>
            <w:r>
              <w:rPr>
                <w:rFonts w:ascii="宋体" w:hAnsi="宋体" w:cs="宋体"/>
                <w:kern w:val="0"/>
                <w:szCs w:val="21"/>
              </w:rPr>
              <w:t>.2</w:t>
            </w:r>
            <w:r>
              <w:rPr>
                <w:rFonts w:hint="eastAsia" w:ascii="宋体" w:hAnsi="宋体" w:cs="宋体"/>
                <w:kern w:val="0"/>
                <w:szCs w:val="21"/>
              </w:rPr>
              <w:t>，E</w:t>
            </w:r>
            <w:r>
              <w:rPr>
                <w:rFonts w:hint="eastAsia" w:ascii="宋体" w:hAnsi="宋体" w:cs="宋体"/>
                <w:kern w:val="0"/>
                <w:szCs w:val="21"/>
                <w:vertAlign w:val="subscript"/>
              </w:rPr>
              <w:t>2</w:t>
            </w:r>
            <w:r>
              <w:rPr>
                <w:rFonts w:hint="eastAsia" w:ascii="宋体" w:hAnsi="宋体" w:cs="宋体"/>
                <w:kern w:val="0"/>
                <w:szCs w:val="21"/>
              </w:rPr>
              <w:t>=0</w:t>
            </w:r>
            <w:r>
              <w:rPr>
                <w:rFonts w:ascii="宋体" w:hAnsi="宋体" w:cs="宋体"/>
                <w:kern w:val="0"/>
                <w:szCs w:val="21"/>
              </w:rPr>
              <w:t>.1</w:t>
            </w:r>
            <w:r>
              <w:rPr>
                <w:rFonts w:hint="eastAsia" w:ascii="宋体" w:hAnsi="宋体" w:cs="宋体"/>
                <w:kern w:val="0"/>
                <w:szCs w:val="21"/>
              </w:rPr>
              <w:t>。</w:t>
            </w:r>
          </w:p>
          <w:p>
            <w:pPr>
              <w:spacing w:line="276" w:lineRule="auto"/>
              <w:ind w:firstLine="256" w:firstLineChars="122"/>
              <w:rPr>
                <w:rFonts w:hint="eastAsia" w:ascii="宋体" w:hAnsi="宋体" w:cs="宋体"/>
                <w:szCs w:val="21"/>
              </w:rPr>
            </w:pPr>
            <w:r>
              <w:rPr>
                <w:rFonts w:hint="eastAsia" w:ascii="宋体" w:hAnsi="宋体" w:cs="宋体"/>
                <w:szCs w:val="21"/>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szCs w:val="21"/>
        </w:rPr>
      </w:pPr>
      <w:r>
        <w:rPr>
          <w:rFonts w:ascii="宋体" w:hAnsi="宋体"/>
          <w:szCs w:val="21"/>
        </w:rPr>
        <w:t>注</w:t>
      </w:r>
      <w:r>
        <w:rPr>
          <w:rFonts w:hint="eastAsia" w:ascii="宋体" w:hAnsi="宋体"/>
          <w:szCs w:val="21"/>
        </w:rPr>
        <w:t>：</w:t>
      </w:r>
      <w:r>
        <w:rPr>
          <w:rFonts w:ascii="宋体" w:hAnsi="宋体"/>
          <w:szCs w:val="21"/>
        </w:rPr>
        <w:t>1</w:t>
      </w:r>
      <w:r>
        <w:rPr>
          <w:rFonts w:hint="eastAsia" w:ascii="宋体" w:hAnsi="宋体"/>
          <w:szCs w:val="21"/>
        </w:rPr>
        <w:t>.评委打分保留一位小数，各评分因素得分应以评标委员会各成员的打分平均值确定，保留两位小数，第三位四舍五入。</w:t>
      </w:r>
    </w:p>
    <w:p>
      <w:pPr>
        <w:tabs>
          <w:tab w:val="left" w:pos="720"/>
          <w:tab w:val="left" w:pos="1680"/>
          <w:tab w:val="left" w:pos="2620"/>
        </w:tabs>
        <w:autoSpaceDE w:val="0"/>
        <w:autoSpaceDN w:val="0"/>
        <w:adjustRightInd w:val="0"/>
        <w:spacing w:line="288" w:lineRule="auto"/>
        <w:ind w:right="96" w:firstLine="840" w:firstLineChars="400"/>
      </w:pPr>
      <w:r>
        <w:rPr>
          <w:rFonts w:hint="eastAsia" w:ascii="宋体" w:hAnsi="宋体"/>
          <w:szCs w:val="21"/>
        </w:rPr>
        <w:t>2.技术部分</w:t>
      </w:r>
      <w:r>
        <w:rPr>
          <w:rFonts w:hint="eastAsia" w:ascii="宋体" w:hAnsi="宋体" w:cs="宋体"/>
          <w:szCs w:val="21"/>
        </w:rPr>
        <w:t>评分因素</w:t>
      </w:r>
      <w:r>
        <w:rPr>
          <w:rFonts w:hint="eastAsia" w:ascii="宋体" w:hAnsi="宋体"/>
          <w:szCs w:val="21"/>
        </w:rPr>
        <w:t>缺项则该项得0分。</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1u5d9AAAAACAQAADwAAAAAAAAABACAAAAAiAAAAZHJzL2Rvd25y&#10;ZXYueG1sUEsBAhQAFAAAAAgAh07iQAwimwvNAQAAlgMAAA4AAAAAAAAAAQAgAAAAHwEAAGRycy9l&#10;Mm9Eb2MueG1sUEsFBgAAAAAGAAYAWQEAAF4FAAAAAA==&#10;">
              <v:fill on="f" focussize="0,0"/>
              <v:stroke on="f"/>
              <v:imagedata o:title=""/>
              <o:lock v:ext="edit" aspectratio="f"/>
              <v:textbox inset="0mm,0mm,0mm,0mm" style="mso-fit-shape-to-text:t;">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235E10F3"/>
    <w:rsid w:val="178B03C2"/>
    <w:rsid w:val="235E10F3"/>
    <w:rsid w:val="28BB61F0"/>
    <w:rsid w:val="2C6E6774"/>
    <w:rsid w:val="5D43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ind w:left="100"/>
      <w:jc w:val="left"/>
    </w:pPr>
    <w:rPr>
      <w:rFonts w:ascii="宋体" w:hAnsi="宋体" w:cs="Times New Roman"/>
      <w:kern w:val="0"/>
      <w:szCs w:val="21"/>
      <w:lang w:eastAsia="en-US"/>
    </w:rPr>
  </w:style>
  <w:style w:type="paragraph" w:styleId="4">
    <w:name w:val="Plain Text"/>
    <w:basedOn w:val="1"/>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2023-09-28T05:26:00Z</dcterms:created>
  <dc:creator>小蒋</dc:creator>
  <cp:lastModifiedBy>李娜</cp:lastModifiedBy>
  <dcterms:modified xsi:type="dcterms:W3CDTF">2023-09-28T06:46:09Z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E829E84A7ADB40C6A38B3C61FF992A35_11</vt:lpwstr>
  </property>
</Properties>
</file>