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rPr>
          <w:rFonts w:hint="eastAsia" w:ascii="宋体" w:hAnsi="宋体"/>
          <w:b w:val="0"/>
          <w:sz w:val="24"/>
        </w:rPr>
      </w:pPr>
      <w:bookmarkStart w:id="0" w:name="_Toc2375"/>
      <w:bookmarkStart w:id="1" w:name="_Toc134792338"/>
      <w:bookmarkStart w:id="2" w:name="OLE_LINK1"/>
      <w:bookmarkStart w:id="18" w:name="_GoBack"/>
      <w:bookmarkEnd w:id="18"/>
      <w:r>
        <w:rPr>
          <w:rFonts w:hint="eastAsia" w:ascii="黑体" w:hAnsi="黑体" w:eastAsia="黑体"/>
          <w:sz w:val="28"/>
          <w:szCs w:val="28"/>
        </w:rPr>
        <w:t>附件1：资格审查条件</w:t>
      </w:r>
      <w:bookmarkEnd w:id="0"/>
      <w:bookmarkEnd w:id="1"/>
    </w:p>
    <w:p>
      <w:pPr>
        <w:adjustRightInd w:val="0"/>
        <w:spacing w:line="400" w:lineRule="exact"/>
        <w:jc w:val="center"/>
        <w:rPr>
          <w:rFonts w:hint="eastAsia" w:ascii="宋体" w:hAnsi="宋体"/>
          <w:b/>
          <w:sz w:val="24"/>
          <w:szCs w:val="24"/>
        </w:rPr>
      </w:pPr>
      <w:r>
        <w:rPr>
          <w:rFonts w:hint="eastAsia" w:ascii="宋体" w:hAnsi="宋体"/>
          <w:b/>
          <w:sz w:val="24"/>
          <w:szCs w:val="24"/>
        </w:rPr>
        <w:t>附录1</w:t>
      </w:r>
      <w:r>
        <w:rPr>
          <w:rFonts w:hint="eastAsia" w:ascii="宋体" w:hAnsi="宋体"/>
          <w:b/>
          <w:sz w:val="24"/>
        </w:rPr>
        <w:t>资格</w:t>
      </w:r>
      <w:r>
        <w:rPr>
          <w:rFonts w:hint="eastAsia" w:ascii="宋体" w:hAnsi="宋体"/>
          <w:b/>
          <w:sz w:val="24"/>
          <w:szCs w:val="24"/>
        </w:rPr>
        <w:t>审查条件（资质最低要求）</w:t>
      </w:r>
    </w:p>
    <w:tbl>
      <w:tblPr>
        <w:tblStyle w:val="8"/>
        <w:tblW w:w="99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9921" w:type="dxa"/>
            <w:noWrap w:val="0"/>
            <w:vAlign w:val="center"/>
          </w:tcPr>
          <w:p>
            <w:pPr>
              <w:pStyle w:val="7"/>
              <w:spacing w:before="0" w:beforeAutospacing="0" w:after="0" w:afterAutospacing="0" w:line="360" w:lineRule="auto"/>
              <w:ind w:firstLine="0"/>
              <w:contextualSpacing/>
              <w:jc w:val="center"/>
              <w:rPr>
                <w:sz w:val="21"/>
                <w:szCs w:val="21"/>
              </w:rPr>
            </w:pPr>
            <w:r>
              <w:rPr>
                <w:rFonts w:hint="eastAsia" w:cs="Times New Roman"/>
                <w:b/>
                <w:bCs/>
                <w:kern w:val="2"/>
                <w:sz w:val="21"/>
              </w:rPr>
              <w:t>施工企业资质等级要求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54" w:hRule="atLeast"/>
          <w:jc w:val="center"/>
        </w:trPr>
        <w:tc>
          <w:tcPr>
            <w:tcW w:w="9921" w:type="dxa"/>
            <w:noWrap w:val="0"/>
            <w:vAlign w:val="center"/>
          </w:tcPr>
          <w:p>
            <w:pPr>
              <w:pStyle w:val="10"/>
              <w:adjustRightInd w:val="0"/>
              <w:snapToGrid w:val="0"/>
              <w:spacing w:line="0" w:lineRule="atLeast"/>
              <w:jc w:val="left"/>
              <w:rPr>
                <w:rStyle w:val="11"/>
                <w:rFonts w:hint="eastAsia"/>
                <w:b/>
                <w:strike/>
                <w:snapToGrid w:val="0"/>
                <w:color w:val="auto"/>
                <w:sz w:val="21"/>
              </w:rPr>
            </w:pPr>
            <w:r>
              <w:rPr>
                <w:rStyle w:val="11"/>
                <w:rFonts w:hint="eastAsia"/>
                <w:b/>
                <w:snapToGrid w:val="0"/>
                <w:color w:val="auto"/>
                <w:sz w:val="21"/>
              </w:rPr>
              <w:t>1、具有独立法人资格，持有有效的企业营业执照。</w:t>
            </w:r>
          </w:p>
          <w:p>
            <w:pPr>
              <w:pStyle w:val="10"/>
              <w:adjustRightInd w:val="0"/>
              <w:snapToGrid w:val="0"/>
              <w:spacing w:line="0" w:lineRule="atLeast"/>
              <w:jc w:val="left"/>
              <w:rPr>
                <w:rStyle w:val="11"/>
                <w:rFonts w:hint="eastAsia"/>
                <w:b/>
                <w:snapToGrid w:val="0"/>
                <w:color w:val="auto"/>
                <w:sz w:val="21"/>
              </w:rPr>
            </w:pPr>
            <w:r>
              <w:rPr>
                <w:rStyle w:val="11"/>
                <w:rFonts w:hint="eastAsia"/>
                <w:b/>
                <w:snapToGrid w:val="0"/>
                <w:color w:val="auto"/>
                <w:sz w:val="21"/>
              </w:rPr>
              <w:t>2、具有住房和城乡建设行政主管部门颁发的建筑工程施工总承包二级及以上资质。</w:t>
            </w:r>
          </w:p>
          <w:p>
            <w:pPr>
              <w:pStyle w:val="10"/>
              <w:adjustRightInd w:val="0"/>
              <w:snapToGrid w:val="0"/>
              <w:spacing w:line="0" w:lineRule="atLeast"/>
              <w:jc w:val="left"/>
              <w:rPr>
                <w:rFonts w:ascii="Times New Roman" w:hAnsi="Times New Roman"/>
                <w:b/>
                <w:snapToGrid w:val="0"/>
                <w:color w:val="auto"/>
                <w:sz w:val="21"/>
              </w:rPr>
            </w:pPr>
            <w:r>
              <w:rPr>
                <w:rStyle w:val="11"/>
                <w:rFonts w:hint="eastAsia"/>
                <w:b/>
                <w:snapToGrid w:val="0"/>
                <w:color w:val="auto"/>
                <w:sz w:val="21"/>
              </w:rPr>
              <w:t>3、具有住房和城乡建设行政主管部门颁发的有效的安全生产许可证。</w:t>
            </w:r>
          </w:p>
        </w:tc>
      </w:tr>
    </w:tbl>
    <w:p>
      <w:pPr>
        <w:spacing w:before="120" w:beforeLines="50" w:after="120" w:afterLines="50"/>
        <w:jc w:val="center"/>
        <w:rPr>
          <w:rFonts w:ascii="宋体" w:hAnsi="宋体"/>
          <w:b/>
          <w:kern w:val="2"/>
          <w:sz w:val="24"/>
          <w:szCs w:val="24"/>
        </w:rPr>
      </w:pPr>
      <w:r>
        <w:rPr>
          <w:rFonts w:hint="eastAsia" w:ascii="宋体" w:hAnsi="宋体"/>
          <w:b/>
          <w:kern w:val="2"/>
          <w:sz w:val="24"/>
          <w:szCs w:val="24"/>
        </w:rPr>
        <w:t>附录2</w:t>
      </w:r>
      <w:r>
        <w:rPr>
          <w:rFonts w:ascii="宋体" w:hAnsi="宋体"/>
          <w:b/>
          <w:kern w:val="2"/>
          <w:sz w:val="24"/>
          <w:szCs w:val="24"/>
        </w:rPr>
        <w:t xml:space="preserve"> </w:t>
      </w:r>
      <w:r>
        <w:rPr>
          <w:rFonts w:hint="eastAsia" w:ascii="宋体" w:hAnsi="宋体"/>
          <w:b/>
          <w:kern w:val="2"/>
          <w:sz w:val="24"/>
          <w:szCs w:val="24"/>
        </w:rPr>
        <w:t>资格审查条件（业绩最低要求）</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9854" w:type="dxa"/>
            <w:tcBorders>
              <w:top w:val="single" w:color="auto" w:sz="4" w:space="0"/>
              <w:left w:val="single" w:color="auto" w:sz="4" w:space="0"/>
              <w:bottom w:val="single" w:color="auto" w:sz="4" w:space="0"/>
              <w:right w:val="single" w:color="auto" w:sz="4" w:space="0"/>
            </w:tcBorders>
            <w:noWrap w:val="0"/>
            <w:vAlign w:val="center"/>
          </w:tcPr>
          <w:p>
            <w:pPr>
              <w:spacing w:before="120" w:beforeLines="50" w:after="120" w:afterLines="50"/>
              <w:jc w:val="center"/>
              <w:rPr>
                <w:rFonts w:hint="eastAsia" w:ascii="宋体" w:hAnsi="宋体"/>
                <w:b/>
                <w:bCs/>
                <w:kern w:val="2"/>
                <w:sz w:val="21"/>
                <w:szCs w:val="24"/>
              </w:rPr>
            </w:pPr>
            <w:r>
              <w:rPr>
                <w:rFonts w:hint="eastAsia" w:ascii="宋体" w:hAnsi="宋体"/>
                <w:b/>
                <w:bCs/>
                <w:kern w:val="2"/>
                <w:sz w:val="21"/>
                <w:szCs w:val="24"/>
              </w:rPr>
              <w:t>业绩要求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8" w:hRule="atLeast"/>
          <w:jc w:val="center"/>
        </w:trPr>
        <w:tc>
          <w:tcPr>
            <w:tcW w:w="9854" w:type="dxa"/>
            <w:tcBorders>
              <w:top w:val="single" w:color="auto" w:sz="4" w:space="0"/>
              <w:left w:val="single" w:color="auto" w:sz="4" w:space="0"/>
              <w:bottom w:val="single" w:color="auto" w:sz="4" w:space="0"/>
              <w:right w:val="single" w:color="auto" w:sz="4" w:space="0"/>
            </w:tcBorders>
            <w:noWrap w:val="0"/>
            <w:vAlign w:val="center"/>
          </w:tcPr>
          <w:p>
            <w:pPr>
              <w:pStyle w:val="10"/>
              <w:adjustRightInd w:val="0"/>
              <w:snapToGrid w:val="0"/>
              <w:spacing w:line="0" w:lineRule="atLeast"/>
              <w:jc w:val="left"/>
              <w:rPr>
                <w:rStyle w:val="11"/>
                <w:b/>
                <w:bCs w:val="0"/>
                <w:snapToGrid w:val="0"/>
                <w:color w:val="auto"/>
                <w:sz w:val="21"/>
              </w:rPr>
            </w:pPr>
            <w:r>
              <w:rPr>
                <w:rStyle w:val="11"/>
                <w:rFonts w:hint="eastAsia"/>
                <w:b/>
                <w:bCs w:val="0"/>
                <w:snapToGrid w:val="0"/>
                <w:color w:val="auto"/>
                <w:sz w:val="21"/>
              </w:rPr>
              <w:t>投标人在近三年（2020年9月1日至投标截止时间，以工程竣（交）工时间为准）</w:t>
            </w:r>
            <w:r>
              <w:rPr>
                <w:rFonts w:hint="eastAsia"/>
                <w:b/>
                <w:bCs w:val="0"/>
                <w:color w:val="auto"/>
                <w:sz w:val="21"/>
              </w:rPr>
              <w:t>至少完成过一项合同金额不少于人民币300万元房建工程施工业绩。</w:t>
            </w:r>
          </w:p>
          <w:p>
            <w:pPr>
              <w:spacing w:line="240" w:lineRule="exact"/>
              <w:rPr>
                <w:rFonts w:hint="eastAsia" w:ascii="宋体" w:hAnsi="宋体"/>
                <w:kern w:val="2"/>
                <w:sz w:val="21"/>
                <w:szCs w:val="21"/>
              </w:rPr>
            </w:pPr>
            <w:r>
              <w:rPr>
                <w:rStyle w:val="11"/>
                <w:rFonts w:hint="eastAsia"/>
                <w:b/>
                <w:snapToGrid w:val="0"/>
                <w:sz w:val="21"/>
                <w:szCs w:val="21"/>
              </w:rPr>
              <w:t>注：“工程竣（交）工”指工程竣工或交工。</w:t>
            </w:r>
          </w:p>
        </w:tc>
      </w:tr>
    </w:tbl>
    <w:p>
      <w:pPr>
        <w:spacing w:before="120" w:beforeLines="50" w:after="120" w:afterLines="50"/>
        <w:jc w:val="center"/>
        <w:rPr>
          <w:rFonts w:ascii="宋体" w:hAnsi="宋体"/>
          <w:b/>
          <w:kern w:val="2"/>
          <w:sz w:val="24"/>
          <w:szCs w:val="24"/>
        </w:rPr>
      </w:pPr>
      <w:r>
        <w:rPr>
          <w:rFonts w:hint="eastAsia" w:ascii="宋体" w:hAnsi="宋体"/>
          <w:b/>
          <w:kern w:val="2"/>
          <w:sz w:val="24"/>
          <w:szCs w:val="24"/>
        </w:rPr>
        <w:t>附录3 资格审查条件（信誉最低要求）</w:t>
      </w:r>
    </w:p>
    <w:tbl>
      <w:tblPr>
        <w:tblStyle w:val="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5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5" w:hRule="atLeast"/>
          <w:jc w:val="center"/>
        </w:trPr>
        <w:tc>
          <w:tcPr>
            <w:tcW w:w="985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b/>
                <w:bCs/>
                <w:kern w:val="2"/>
                <w:sz w:val="21"/>
                <w:szCs w:val="21"/>
              </w:rPr>
            </w:pPr>
            <w:r>
              <w:rPr>
                <w:rFonts w:hint="eastAsia" w:ascii="宋体" w:hAnsi="宋体"/>
                <w:b/>
                <w:bCs/>
                <w:kern w:val="2"/>
                <w:sz w:val="21"/>
                <w:szCs w:val="21"/>
              </w:rPr>
              <w:t>信誉要求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0" w:hRule="atLeast"/>
          <w:jc w:val="center"/>
        </w:trPr>
        <w:tc>
          <w:tcPr>
            <w:tcW w:w="9854" w:type="dxa"/>
            <w:vMerge w:val="restart"/>
            <w:tcBorders>
              <w:top w:val="single" w:color="auto" w:sz="4" w:space="0"/>
              <w:left w:val="single" w:color="auto" w:sz="4" w:space="0"/>
              <w:right w:val="single" w:color="auto" w:sz="4" w:space="0"/>
            </w:tcBorders>
            <w:noWrap w:val="0"/>
            <w:vAlign w:val="center"/>
          </w:tcPr>
          <w:p>
            <w:pPr>
              <w:pStyle w:val="10"/>
              <w:adjustRightInd w:val="0"/>
              <w:snapToGrid w:val="0"/>
              <w:spacing w:line="0" w:lineRule="atLeast"/>
              <w:jc w:val="left"/>
              <w:rPr>
                <w:rStyle w:val="11"/>
                <w:rFonts w:hint="eastAsia"/>
                <w:b/>
                <w:bCs w:val="0"/>
                <w:snapToGrid w:val="0"/>
                <w:color w:val="auto"/>
                <w:sz w:val="21"/>
              </w:rPr>
            </w:pPr>
            <w:r>
              <w:rPr>
                <w:rStyle w:val="11"/>
                <w:rFonts w:hint="eastAsia"/>
                <w:b/>
                <w:bCs w:val="0"/>
                <w:snapToGrid w:val="0"/>
                <w:color w:val="auto"/>
                <w:sz w:val="21"/>
              </w:rPr>
              <w:t>投标人在近一年（2022 年9月1日至投标截止时间）不曾在高速公路房建工程施工项目中违约被逐或因投标人自身的原因而使高速公路房建工程施工合同被解除。</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4" w:hRule="atLeast"/>
          <w:jc w:val="center"/>
        </w:trPr>
        <w:tc>
          <w:tcPr>
            <w:tcW w:w="9854" w:type="dxa"/>
            <w:vMerge w:val="continue"/>
            <w:tcBorders>
              <w:left w:val="single" w:color="auto" w:sz="4" w:space="0"/>
              <w:bottom w:val="single" w:color="auto" w:sz="4" w:space="0"/>
              <w:right w:val="single" w:color="auto" w:sz="4" w:space="0"/>
            </w:tcBorders>
            <w:noWrap w:val="0"/>
            <w:vAlign w:val="center"/>
          </w:tcPr>
          <w:p>
            <w:pPr>
              <w:spacing w:line="240" w:lineRule="exact"/>
              <w:rPr>
                <w:rFonts w:ascii="宋体" w:hAnsi="宋体"/>
                <w:kern w:val="2"/>
                <w:sz w:val="21"/>
                <w:szCs w:val="21"/>
              </w:rPr>
            </w:pPr>
          </w:p>
        </w:tc>
      </w:tr>
    </w:tbl>
    <w:p>
      <w:pPr>
        <w:spacing w:before="120" w:beforeLines="50" w:after="120" w:afterLines="50"/>
        <w:jc w:val="center"/>
        <w:rPr>
          <w:rFonts w:ascii="宋体" w:hAnsi="宋体"/>
          <w:b/>
          <w:kern w:val="2"/>
          <w:szCs w:val="24"/>
        </w:rPr>
      </w:pPr>
      <w:r>
        <w:rPr>
          <w:rFonts w:hint="eastAsia" w:ascii="宋体" w:hAnsi="宋体"/>
          <w:b/>
          <w:kern w:val="2"/>
          <w:sz w:val="24"/>
          <w:szCs w:val="24"/>
        </w:rPr>
        <w:t>附录4 资格审查条件</w:t>
      </w:r>
      <w:r>
        <w:rPr>
          <w:b/>
          <w:snapToGrid w:val="0"/>
          <w:kern w:val="0"/>
          <w:sz w:val="24"/>
        </w:rPr>
        <w:t>（</w:t>
      </w:r>
      <w:r>
        <w:rPr>
          <w:rFonts w:hint="eastAsia"/>
          <w:b/>
          <w:snapToGrid w:val="0"/>
          <w:kern w:val="0"/>
          <w:sz w:val="24"/>
        </w:rPr>
        <w:t>主要人员</w:t>
      </w:r>
      <w:r>
        <w:rPr>
          <w:b/>
          <w:snapToGrid w:val="0"/>
          <w:kern w:val="0"/>
          <w:sz w:val="24"/>
        </w:rPr>
        <w:t>最低要求）</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080"/>
        <w:gridCol w:w="6178"/>
        <w:gridCol w:w="14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1193" w:type="dxa"/>
            <w:noWrap w:val="0"/>
            <w:vAlign w:val="center"/>
          </w:tcPr>
          <w:p>
            <w:pPr>
              <w:jc w:val="center"/>
              <w:rPr>
                <w:rFonts w:ascii="宋体" w:hAnsi="宋体"/>
                <w:b/>
                <w:bCs/>
                <w:kern w:val="2"/>
                <w:sz w:val="21"/>
                <w:szCs w:val="21"/>
              </w:rPr>
            </w:pPr>
            <w:bookmarkStart w:id="3" w:name="_Hlk51596344"/>
            <w:r>
              <w:rPr>
                <w:rFonts w:hint="eastAsia" w:ascii="宋体" w:hAnsi="宋体"/>
                <w:b/>
                <w:bCs/>
                <w:kern w:val="2"/>
                <w:sz w:val="21"/>
                <w:szCs w:val="21"/>
              </w:rPr>
              <w:t>人员</w:t>
            </w:r>
          </w:p>
        </w:tc>
        <w:tc>
          <w:tcPr>
            <w:tcW w:w="1080" w:type="dxa"/>
            <w:noWrap w:val="0"/>
            <w:vAlign w:val="center"/>
          </w:tcPr>
          <w:p>
            <w:pPr>
              <w:jc w:val="center"/>
              <w:rPr>
                <w:rFonts w:ascii="宋体" w:hAnsi="宋体"/>
                <w:b/>
                <w:bCs/>
                <w:kern w:val="2"/>
                <w:sz w:val="21"/>
                <w:szCs w:val="21"/>
              </w:rPr>
            </w:pPr>
            <w:r>
              <w:rPr>
                <w:rFonts w:hint="eastAsia" w:ascii="宋体" w:hAnsi="宋体"/>
                <w:b/>
                <w:bCs/>
                <w:kern w:val="2"/>
                <w:sz w:val="21"/>
                <w:szCs w:val="21"/>
              </w:rPr>
              <w:t>数量</w:t>
            </w:r>
          </w:p>
        </w:tc>
        <w:tc>
          <w:tcPr>
            <w:tcW w:w="6178" w:type="dxa"/>
            <w:noWrap w:val="0"/>
            <w:vAlign w:val="center"/>
          </w:tcPr>
          <w:p>
            <w:pPr>
              <w:jc w:val="center"/>
              <w:rPr>
                <w:rFonts w:ascii="宋体" w:hAnsi="宋体"/>
                <w:b/>
                <w:bCs/>
                <w:kern w:val="2"/>
                <w:sz w:val="21"/>
                <w:szCs w:val="21"/>
              </w:rPr>
            </w:pPr>
            <w:r>
              <w:rPr>
                <w:rFonts w:hint="eastAsia" w:ascii="宋体" w:hAnsi="宋体"/>
                <w:b/>
                <w:bCs/>
                <w:kern w:val="2"/>
                <w:sz w:val="21"/>
                <w:szCs w:val="21"/>
              </w:rPr>
              <w:t>资格要求</w:t>
            </w:r>
          </w:p>
        </w:tc>
        <w:tc>
          <w:tcPr>
            <w:tcW w:w="1403" w:type="dxa"/>
            <w:noWrap w:val="0"/>
            <w:vAlign w:val="center"/>
          </w:tcPr>
          <w:p>
            <w:pPr>
              <w:jc w:val="center"/>
              <w:rPr>
                <w:rFonts w:ascii="宋体" w:hAnsi="宋体"/>
                <w:b/>
                <w:bCs/>
                <w:kern w:val="2"/>
                <w:sz w:val="21"/>
                <w:szCs w:val="21"/>
              </w:rPr>
            </w:pPr>
            <w:r>
              <w:rPr>
                <w:rFonts w:hint="eastAsia" w:ascii="宋体" w:hAnsi="宋体"/>
                <w:b/>
                <w:bCs/>
                <w:kern w:val="2"/>
                <w:sz w:val="21"/>
                <w:szCs w:val="21"/>
              </w:rPr>
              <w:t>在岗要求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193" w:type="dxa"/>
            <w:noWrap w:val="0"/>
            <w:vAlign w:val="center"/>
          </w:tcPr>
          <w:p>
            <w:pPr>
              <w:spacing w:line="280" w:lineRule="exact"/>
              <w:jc w:val="center"/>
              <w:rPr>
                <w:rFonts w:hint="eastAsia"/>
                <w:b/>
                <w:bCs/>
                <w:sz w:val="21"/>
                <w:szCs w:val="21"/>
              </w:rPr>
            </w:pPr>
            <w:r>
              <w:rPr>
                <w:rFonts w:hint="eastAsia"/>
                <w:b/>
                <w:bCs/>
                <w:sz w:val="21"/>
                <w:szCs w:val="21"/>
              </w:rPr>
              <w:t>项目经理</w:t>
            </w:r>
          </w:p>
        </w:tc>
        <w:tc>
          <w:tcPr>
            <w:tcW w:w="1080" w:type="dxa"/>
            <w:noWrap w:val="0"/>
            <w:vAlign w:val="center"/>
          </w:tcPr>
          <w:p>
            <w:pPr>
              <w:spacing w:line="280" w:lineRule="exact"/>
              <w:jc w:val="center"/>
              <w:rPr>
                <w:rFonts w:hint="eastAsia"/>
                <w:b/>
                <w:bCs/>
                <w:sz w:val="21"/>
                <w:szCs w:val="21"/>
              </w:rPr>
            </w:pPr>
            <w:r>
              <w:rPr>
                <w:rFonts w:hint="eastAsia"/>
                <w:b/>
                <w:bCs/>
                <w:sz w:val="21"/>
                <w:szCs w:val="21"/>
              </w:rPr>
              <w:t>1</w:t>
            </w:r>
          </w:p>
        </w:tc>
        <w:tc>
          <w:tcPr>
            <w:tcW w:w="6178" w:type="dxa"/>
            <w:noWrap w:val="0"/>
            <w:vAlign w:val="center"/>
          </w:tcPr>
          <w:p>
            <w:pPr>
              <w:spacing w:line="280" w:lineRule="exact"/>
              <w:jc w:val="left"/>
              <w:rPr>
                <w:rFonts w:hint="eastAsia"/>
                <w:b/>
                <w:bCs/>
                <w:sz w:val="21"/>
                <w:szCs w:val="21"/>
              </w:rPr>
            </w:pPr>
            <w:r>
              <w:rPr>
                <w:rFonts w:hint="eastAsia"/>
                <w:b/>
                <w:bCs/>
                <w:sz w:val="21"/>
                <w:szCs w:val="21"/>
              </w:rPr>
              <w:t>工程师，具有“建筑工程”专业“二级注册建造师注册证书”，具备住房和城乡建设行政主管部门颁发的有效的《安全生产考核合格证书》（B类）。</w:t>
            </w:r>
          </w:p>
          <w:p>
            <w:pPr>
              <w:spacing w:line="280" w:lineRule="exact"/>
              <w:jc w:val="left"/>
              <w:rPr>
                <w:rFonts w:hint="eastAsia"/>
                <w:b/>
                <w:bCs/>
                <w:sz w:val="21"/>
                <w:szCs w:val="21"/>
              </w:rPr>
            </w:pPr>
            <w:r>
              <w:rPr>
                <w:rFonts w:hint="eastAsia"/>
                <w:b/>
                <w:bCs/>
                <w:sz w:val="21"/>
                <w:szCs w:val="21"/>
              </w:rPr>
              <w:t>近三年（2020年9月1日至投标截止时间，以</w:t>
            </w:r>
            <w:r>
              <w:rPr>
                <w:rStyle w:val="11"/>
                <w:rFonts w:hint="eastAsia"/>
                <w:b/>
                <w:snapToGrid w:val="0"/>
                <w:sz w:val="21"/>
                <w:szCs w:val="21"/>
              </w:rPr>
              <w:t>工程竣（交）工时间为准</w:t>
            </w:r>
            <w:r>
              <w:rPr>
                <w:rFonts w:hint="eastAsia"/>
                <w:b/>
                <w:bCs/>
                <w:sz w:val="21"/>
                <w:szCs w:val="21"/>
              </w:rPr>
              <w:t>）至少担任过1项房建工程施工项目的项目经理（或项目副经理或项目总工）。</w:t>
            </w:r>
          </w:p>
          <w:p>
            <w:pPr>
              <w:spacing w:line="280" w:lineRule="exact"/>
              <w:jc w:val="left"/>
              <w:rPr>
                <w:rFonts w:hint="eastAsia"/>
                <w:b/>
                <w:bCs/>
                <w:sz w:val="21"/>
                <w:szCs w:val="21"/>
              </w:rPr>
            </w:pPr>
            <w:r>
              <w:rPr>
                <w:rFonts w:hint="eastAsia"/>
                <w:b/>
                <w:bCs/>
                <w:sz w:val="21"/>
                <w:szCs w:val="21"/>
              </w:rPr>
              <w:t>注：项目经理的建造师注册证书和安全生产考核合格证书的注册单位须与投标人单位名称一致。</w:t>
            </w:r>
          </w:p>
        </w:tc>
        <w:tc>
          <w:tcPr>
            <w:tcW w:w="1403" w:type="dxa"/>
            <w:noWrap w:val="0"/>
            <w:vAlign w:val="center"/>
          </w:tcPr>
          <w:p>
            <w:pPr>
              <w:adjustRightInd w:val="0"/>
              <w:snapToGrid w:val="0"/>
              <w:rPr>
                <w:rFonts w:ascii="宋体" w:hAnsi="宋体"/>
                <w:b/>
                <w:bCs/>
                <w:kern w:val="0"/>
                <w:sz w:val="21"/>
                <w:szCs w:val="21"/>
              </w:rPr>
            </w:pPr>
            <w:r>
              <w:rPr>
                <w:rFonts w:hint="eastAsia" w:ascii="宋体" w:hAnsi="宋体"/>
                <w:b/>
                <w:bCs/>
                <w:kern w:val="0"/>
                <w:sz w:val="21"/>
                <w:szCs w:val="21"/>
              </w:rPr>
              <w:t>未在其他项目上任职，或虽在其他项目上任职但本项目中标后能够从该项目撤离</w:t>
            </w:r>
          </w:p>
        </w:tc>
      </w:tr>
      <w:bookmarkEnd w:id="3"/>
    </w:tbl>
    <w:p>
      <w:pPr>
        <w:ind w:firstLine="420" w:firstLineChars="200"/>
        <w:rPr>
          <w:rFonts w:hint="eastAsia" w:ascii="宋体" w:hAnsi="宋体"/>
          <w:sz w:val="21"/>
          <w:szCs w:val="21"/>
        </w:rPr>
      </w:pPr>
    </w:p>
    <w:p>
      <w:pPr>
        <w:adjustRightInd w:val="0"/>
        <w:spacing w:line="360" w:lineRule="auto"/>
        <w:ind w:firstLine="560" w:firstLineChars="200"/>
        <w:jc w:val="left"/>
        <w:rPr>
          <w:rFonts w:hint="eastAsia" w:ascii="黑体" w:hAnsi="黑体" w:eastAsia="黑体"/>
          <w:szCs w:val="28"/>
        </w:rPr>
      </w:pPr>
      <w:r>
        <w:rPr>
          <w:rFonts w:ascii="宋体" w:hAnsi="宋体"/>
        </w:rPr>
        <w:br w:type="page"/>
      </w:r>
      <w:bookmarkStart w:id="4" w:name="_Toc134792340"/>
      <w:r>
        <w:rPr>
          <w:rFonts w:hint="eastAsia" w:ascii="黑体" w:hAnsi="黑体" w:eastAsia="黑体"/>
          <w:szCs w:val="28"/>
        </w:rPr>
        <w:t>附件2：评标办法</w:t>
      </w:r>
      <w:bookmarkEnd w:id="4"/>
    </w:p>
    <w:bookmarkEnd w:id="2"/>
    <w:p>
      <w:pPr>
        <w:tabs>
          <w:tab w:val="left" w:pos="0"/>
        </w:tabs>
        <w:spacing w:line="360" w:lineRule="auto"/>
        <w:jc w:val="center"/>
        <w:rPr>
          <w:rFonts w:ascii="宋体" w:hAnsi="宋体" w:cs="仿宋"/>
          <w:b/>
          <w:bCs/>
          <w:sz w:val="24"/>
          <w:szCs w:val="24"/>
        </w:rPr>
      </w:pPr>
      <w:bookmarkStart w:id="5" w:name="_Toc445382083"/>
      <w:bookmarkStart w:id="6" w:name="_Toc444088432"/>
      <w:bookmarkStart w:id="7" w:name="_Toc134896400"/>
      <w:bookmarkStart w:id="8" w:name="_Toc134878969"/>
      <w:bookmarkStart w:id="9" w:name="_Toc134792410"/>
      <w:bookmarkStart w:id="10" w:name="_Toc134899107"/>
      <w:bookmarkStart w:id="11" w:name="_Toc444271617"/>
      <w:bookmarkStart w:id="12" w:name="_Toc134792893"/>
      <w:bookmarkStart w:id="13" w:name="_Toc134792342"/>
      <w:bookmarkStart w:id="14" w:name="_Toc531949858"/>
      <w:bookmarkStart w:id="15" w:name="_Toc134892623"/>
      <w:bookmarkStart w:id="16" w:name="_Toc445222503"/>
      <w:r>
        <w:rPr>
          <w:rFonts w:hint="eastAsia" w:ascii="宋体" w:hAnsi="宋体" w:cs="仿宋"/>
          <w:b/>
          <w:bCs/>
          <w:sz w:val="24"/>
          <w:szCs w:val="24"/>
        </w:rPr>
        <w:t>评标办法前附表</w:t>
      </w:r>
      <w:bookmarkEnd w:id="5"/>
      <w:bookmarkEnd w:id="6"/>
      <w:bookmarkEnd w:id="7"/>
      <w:bookmarkEnd w:id="8"/>
      <w:bookmarkEnd w:id="9"/>
      <w:bookmarkEnd w:id="10"/>
      <w:bookmarkEnd w:id="11"/>
      <w:bookmarkEnd w:id="12"/>
      <w:bookmarkEnd w:id="13"/>
      <w:bookmarkEnd w:id="14"/>
      <w:bookmarkEnd w:id="15"/>
      <w:bookmarkEnd w:id="16"/>
    </w:p>
    <w:tbl>
      <w:tblPr>
        <w:tblStyle w:val="8"/>
        <w:tblW w:w="9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134"/>
        <w:gridCol w:w="7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846" w:type="dxa"/>
            <w:noWrap w:val="0"/>
            <w:vAlign w:val="center"/>
          </w:tcPr>
          <w:p>
            <w:pPr>
              <w:spacing w:line="276" w:lineRule="auto"/>
              <w:jc w:val="center"/>
              <w:rPr>
                <w:rFonts w:ascii="宋体" w:hAnsi="宋体"/>
                <w:sz w:val="21"/>
                <w:szCs w:val="21"/>
              </w:rPr>
            </w:pPr>
            <w:r>
              <w:rPr>
                <w:rFonts w:hint="eastAsia" w:ascii="宋体" w:hAnsi="宋体"/>
                <w:sz w:val="21"/>
                <w:szCs w:val="21"/>
              </w:rPr>
              <w:t>条款号</w:t>
            </w:r>
          </w:p>
        </w:tc>
        <w:tc>
          <w:tcPr>
            <w:tcW w:w="1134" w:type="dxa"/>
            <w:noWrap w:val="0"/>
            <w:vAlign w:val="center"/>
          </w:tcPr>
          <w:p>
            <w:pPr>
              <w:spacing w:line="276" w:lineRule="auto"/>
              <w:jc w:val="center"/>
              <w:rPr>
                <w:rFonts w:ascii="宋体" w:hAnsi="宋体"/>
                <w:sz w:val="21"/>
                <w:szCs w:val="21"/>
              </w:rPr>
            </w:pPr>
            <w:r>
              <w:rPr>
                <w:rFonts w:hint="eastAsia" w:ascii="宋体" w:hAnsi="宋体"/>
                <w:sz w:val="21"/>
                <w:szCs w:val="21"/>
              </w:rPr>
              <w:t>条款名称</w:t>
            </w:r>
          </w:p>
        </w:tc>
        <w:tc>
          <w:tcPr>
            <w:tcW w:w="7363" w:type="dxa"/>
            <w:noWrap w:val="0"/>
            <w:vAlign w:val="center"/>
          </w:tcPr>
          <w:p>
            <w:pPr>
              <w:spacing w:line="276" w:lineRule="auto"/>
              <w:jc w:val="center"/>
              <w:rPr>
                <w:rFonts w:ascii="宋体" w:hAnsi="宋体"/>
                <w:sz w:val="21"/>
                <w:szCs w:val="21"/>
              </w:rPr>
            </w:pPr>
            <w:r>
              <w:rPr>
                <w:rFonts w:hint="eastAsia" w:ascii="宋体" w:hAnsi="宋体"/>
                <w:sz w:val="21"/>
                <w:szCs w:val="21"/>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276" w:lineRule="auto"/>
              <w:jc w:val="center"/>
              <w:rPr>
                <w:rFonts w:ascii="宋体" w:hAnsi="宋体"/>
                <w:sz w:val="21"/>
                <w:szCs w:val="21"/>
              </w:rPr>
            </w:pPr>
            <w:r>
              <w:rPr>
                <w:rFonts w:hint="eastAsia" w:ascii="宋体" w:hAnsi="宋体"/>
                <w:sz w:val="21"/>
                <w:szCs w:val="21"/>
              </w:rPr>
              <w:t>1</w:t>
            </w:r>
          </w:p>
        </w:tc>
        <w:tc>
          <w:tcPr>
            <w:tcW w:w="1134" w:type="dxa"/>
            <w:noWrap w:val="0"/>
            <w:vAlign w:val="center"/>
          </w:tcPr>
          <w:p>
            <w:pPr>
              <w:spacing w:line="276" w:lineRule="auto"/>
              <w:jc w:val="center"/>
              <w:rPr>
                <w:rFonts w:ascii="宋体" w:hAnsi="宋体"/>
                <w:sz w:val="21"/>
                <w:szCs w:val="21"/>
              </w:rPr>
            </w:pPr>
            <w:r>
              <w:rPr>
                <w:rFonts w:hint="eastAsia" w:ascii="宋体" w:hAnsi="宋体"/>
                <w:sz w:val="21"/>
                <w:szCs w:val="21"/>
              </w:rPr>
              <w:t>评标办法</w:t>
            </w:r>
          </w:p>
        </w:tc>
        <w:tc>
          <w:tcPr>
            <w:tcW w:w="7363" w:type="dxa"/>
            <w:noWrap w:val="0"/>
            <w:vAlign w:val="center"/>
          </w:tcPr>
          <w:p>
            <w:pPr>
              <w:tabs>
                <w:tab w:val="left" w:pos="3060"/>
              </w:tabs>
              <w:snapToGrid w:val="0"/>
              <w:spacing w:line="276" w:lineRule="auto"/>
              <w:ind w:firstLine="210" w:firstLineChars="100"/>
              <w:rPr>
                <w:rFonts w:ascii="宋体" w:hAnsi="宋体"/>
                <w:kern w:val="2"/>
                <w:sz w:val="21"/>
                <w:szCs w:val="21"/>
              </w:rPr>
            </w:pPr>
            <w:r>
              <w:rPr>
                <w:rFonts w:hint="eastAsia" w:ascii="宋体" w:hAnsi="宋体"/>
                <w:kern w:val="2"/>
                <w:sz w:val="21"/>
                <w:szCs w:val="21"/>
              </w:rPr>
              <w:t>本次评标采用合理低价法。</w:t>
            </w:r>
          </w:p>
          <w:p>
            <w:pPr>
              <w:spacing w:line="276" w:lineRule="auto"/>
              <w:ind w:firstLine="420" w:firstLineChars="200"/>
              <w:jc w:val="left"/>
              <w:rPr>
                <w:rFonts w:ascii="宋体" w:hAnsi="宋体"/>
                <w:kern w:val="2"/>
                <w:sz w:val="21"/>
                <w:szCs w:val="21"/>
              </w:rPr>
            </w:pPr>
            <w:r>
              <w:rPr>
                <w:rFonts w:hint="eastAsia" w:ascii="宋体" w:hAnsi="宋体"/>
                <w:kern w:val="2"/>
                <w:sz w:val="21"/>
                <w:szCs w:val="21"/>
              </w:rPr>
              <w:t>评标委员会对满足招标文件实质性要求的投标文件，按照本章第2.2款规定的评分标准进行打分，并按评标价得分由高到低顺序推荐1-3名中标候选人。综合评分相等时，评标委员会依次按照以下优先顺序推荐中标候选人：</w:t>
            </w:r>
          </w:p>
          <w:p>
            <w:pPr>
              <w:spacing w:line="276" w:lineRule="auto"/>
              <w:ind w:left="113" w:right="113" w:firstLine="210" w:firstLineChars="100"/>
              <w:rPr>
                <w:rFonts w:ascii="宋体" w:hAnsi="宋体"/>
                <w:kern w:val="2"/>
                <w:sz w:val="21"/>
                <w:szCs w:val="21"/>
              </w:rPr>
            </w:pPr>
            <w:r>
              <w:rPr>
                <w:rFonts w:hint="eastAsia" w:ascii="宋体" w:hAnsi="宋体"/>
                <w:kern w:val="2"/>
                <w:sz w:val="21"/>
                <w:szCs w:val="21"/>
              </w:rPr>
              <w:t>（1）评标价低的优先；</w:t>
            </w:r>
          </w:p>
          <w:p>
            <w:pPr>
              <w:spacing w:line="276" w:lineRule="auto"/>
              <w:ind w:left="113" w:right="113" w:firstLine="210" w:firstLineChars="100"/>
              <w:rPr>
                <w:rFonts w:ascii="宋体" w:hAnsi="宋体"/>
                <w:kern w:val="2"/>
                <w:sz w:val="21"/>
                <w:szCs w:val="21"/>
              </w:rPr>
            </w:pPr>
            <w:r>
              <w:rPr>
                <w:rFonts w:hint="eastAsia" w:ascii="宋体" w:hAnsi="宋体"/>
                <w:kern w:val="2"/>
                <w:sz w:val="21"/>
                <w:szCs w:val="21"/>
              </w:rPr>
              <w:t>（2）满足资格审查条件(业绩最低要求)要求的业绩累计合同额高的优先；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276" w:lineRule="auto"/>
              <w:jc w:val="center"/>
              <w:rPr>
                <w:rFonts w:ascii="宋体" w:hAnsi="宋体"/>
                <w:sz w:val="21"/>
                <w:szCs w:val="21"/>
              </w:rPr>
            </w:pPr>
            <w:r>
              <w:rPr>
                <w:rFonts w:hint="eastAsia" w:ascii="宋体" w:hAnsi="宋体"/>
                <w:sz w:val="21"/>
                <w:szCs w:val="21"/>
              </w:rPr>
              <w:t>2.1.1</w:t>
            </w:r>
          </w:p>
          <w:p>
            <w:pPr>
              <w:spacing w:line="276" w:lineRule="auto"/>
              <w:jc w:val="center"/>
              <w:rPr>
                <w:rFonts w:ascii="宋体" w:hAnsi="宋体"/>
                <w:sz w:val="21"/>
                <w:szCs w:val="21"/>
              </w:rPr>
            </w:pPr>
            <w:r>
              <w:rPr>
                <w:rFonts w:hint="eastAsia" w:ascii="宋体" w:hAnsi="宋体"/>
                <w:sz w:val="21"/>
                <w:szCs w:val="21"/>
              </w:rPr>
              <w:t>2.1.3</w:t>
            </w:r>
          </w:p>
        </w:tc>
        <w:tc>
          <w:tcPr>
            <w:tcW w:w="1134" w:type="dxa"/>
            <w:noWrap w:val="0"/>
            <w:vAlign w:val="center"/>
          </w:tcPr>
          <w:p>
            <w:pPr>
              <w:spacing w:line="276" w:lineRule="auto"/>
              <w:jc w:val="center"/>
              <w:rPr>
                <w:rFonts w:ascii="宋体" w:hAnsi="宋体"/>
                <w:sz w:val="21"/>
                <w:szCs w:val="21"/>
              </w:rPr>
            </w:pPr>
            <w:r>
              <w:rPr>
                <w:rFonts w:hint="eastAsia" w:ascii="宋体" w:hAnsi="宋体"/>
                <w:sz w:val="21"/>
                <w:szCs w:val="21"/>
              </w:rPr>
              <w:t>形式评审与响应性评审标准</w:t>
            </w:r>
          </w:p>
        </w:tc>
        <w:tc>
          <w:tcPr>
            <w:tcW w:w="7363" w:type="dxa"/>
            <w:noWrap w:val="0"/>
            <w:vAlign w:val="top"/>
          </w:tcPr>
          <w:p>
            <w:pPr>
              <w:spacing w:line="276" w:lineRule="auto"/>
              <w:jc w:val="left"/>
              <w:rPr>
                <w:rFonts w:hint="eastAsia" w:ascii="宋体" w:hAnsi="宋体"/>
                <w:b/>
                <w:bCs/>
                <w:spacing w:val="-4"/>
                <w:sz w:val="21"/>
                <w:szCs w:val="21"/>
              </w:rPr>
            </w:pPr>
            <w:r>
              <w:rPr>
                <w:rFonts w:hint="eastAsia" w:ascii="宋体" w:hAnsi="宋体"/>
                <w:b/>
                <w:bCs/>
                <w:spacing w:val="-4"/>
                <w:sz w:val="21"/>
                <w:szCs w:val="21"/>
              </w:rPr>
              <w:t>第一个信封（商务及技术文件）评审标准：</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（1）投标文件按照招标文件规定的格式、内容填写，字迹清晰可辨：</w:t>
            </w:r>
          </w:p>
          <w:p>
            <w:pPr>
              <w:spacing w:line="276" w:lineRule="auto"/>
              <w:ind w:firstLine="505" w:firstLineChars="250"/>
              <w:jc w:val="left"/>
              <w:rPr>
                <w:rFonts w:ascii="宋体" w:hAnsi="宋体"/>
                <w:spacing w:val="-4"/>
                <w:sz w:val="21"/>
                <w:szCs w:val="21"/>
              </w:rPr>
            </w:pPr>
            <w:r>
              <w:rPr>
                <w:rFonts w:hint="eastAsia" w:ascii="宋体" w:hAnsi="宋体"/>
                <w:spacing w:val="-4"/>
                <w:sz w:val="21"/>
                <w:szCs w:val="21"/>
              </w:rPr>
              <w:t>a.</w:t>
            </w:r>
            <w:r>
              <w:rPr>
                <w:rFonts w:hint="eastAsia" w:ascii="宋体" w:hAnsi="宋体" w:cs="宋体"/>
                <w:kern w:val="2"/>
                <w:sz w:val="21"/>
                <w:szCs w:val="21"/>
              </w:rPr>
              <w:t xml:space="preserve"> </w:t>
            </w:r>
            <w:r>
              <w:rPr>
                <w:rFonts w:hint="eastAsia" w:ascii="宋体" w:hAnsi="宋体"/>
                <w:spacing w:val="-4"/>
                <w:sz w:val="21"/>
                <w:szCs w:val="21"/>
              </w:rPr>
              <w:t>投标函按招标文件规定填报了项目名称、补遗书编号（如有）、工程质量、安全目标、工期、项目经理信息；</w:t>
            </w:r>
          </w:p>
          <w:p>
            <w:pPr>
              <w:spacing w:line="276" w:lineRule="auto"/>
              <w:ind w:firstLine="505" w:firstLineChars="250"/>
              <w:jc w:val="left"/>
              <w:rPr>
                <w:rFonts w:ascii="宋体" w:hAnsi="宋体"/>
                <w:spacing w:val="-4"/>
                <w:sz w:val="21"/>
                <w:szCs w:val="21"/>
              </w:rPr>
            </w:pPr>
            <w:r>
              <w:rPr>
                <w:rFonts w:hint="eastAsia" w:ascii="宋体" w:hAnsi="宋体"/>
                <w:spacing w:val="-4"/>
                <w:sz w:val="21"/>
                <w:szCs w:val="21"/>
              </w:rPr>
              <w:t>b</w:t>
            </w:r>
            <w:r>
              <w:rPr>
                <w:rFonts w:ascii="宋体" w:hAnsi="宋体"/>
                <w:spacing w:val="-4"/>
                <w:sz w:val="21"/>
                <w:szCs w:val="21"/>
              </w:rPr>
              <w:t>.</w:t>
            </w:r>
            <w:r>
              <w:rPr>
                <w:rFonts w:hint="eastAsia" w:ascii="宋体" w:hAnsi="宋体"/>
                <w:spacing w:val="-4"/>
                <w:sz w:val="21"/>
                <w:szCs w:val="21"/>
              </w:rPr>
              <w:t>投标函附录的所有数据均符合招标文件规定；</w:t>
            </w:r>
          </w:p>
          <w:p>
            <w:pPr>
              <w:spacing w:line="276" w:lineRule="auto"/>
              <w:ind w:firstLine="505" w:firstLineChars="250"/>
              <w:jc w:val="left"/>
              <w:rPr>
                <w:rFonts w:ascii="宋体" w:hAnsi="宋体"/>
                <w:spacing w:val="-4"/>
                <w:sz w:val="21"/>
                <w:szCs w:val="21"/>
              </w:rPr>
            </w:pPr>
            <w:r>
              <w:rPr>
                <w:rFonts w:ascii="宋体" w:hAnsi="宋体"/>
                <w:spacing w:val="-4"/>
                <w:sz w:val="21"/>
                <w:szCs w:val="21"/>
              </w:rPr>
              <w:t>c</w:t>
            </w:r>
            <w:r>
              <w:rPr>
                <w:rFonts w:hint="eastAsia" w:ascii="宋体" w:hAnsi="宋体"/>
                <w:spacing w:val="-4"/>
                <w:sz w:val="21"/>
                <w:szCs w:val="21"/>
              </w:rPr>
              <w:t>.投标文件组成齐全完整，内容均按规定填写。</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（2）投标文件上法定代表人或其授权代理人的签字、投标人的单位章盖章齐全，符合招标文件规定。</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（3）投标人按照招标文件规定的金额、形式、时效和内容提供了投标保证金：</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a.投标保证金金额符合招标文件规定的金额，且投标保证金有效期不少于投标有效期；</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b.若投标保证金采用保函形式提交，开具的保函满足招标文件要求；</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c.若投标保证金采用保证保险形式提交，开具的保证保险满足招标文件要求。</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（4）投标人法定代表人授权委托代理人签署投标文件的，提供了授权委托书，符合招标文件规定。</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（5）投标人法定代表人若亲自签署投标文件的，提供了法定代表人身份证明，符合招标文件规定。</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（6）同一投标人未提交两个以上不同的投标文件。</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（7）投标文件中未出现有关投标报价的内容。</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（8）投标文件载明的招标项目完成期限符合招标文件规定。</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（9）投标文件对招标文件的实质性要求和条件作出响应。</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（10）权利义务符合招标文件规定：</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a.投标人应接受招标文件规定的风险划分原则，未提出新的风险划分办法；</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b.投标人未增加发包人的责任范围，或减少投标人义务；</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c.投标人未提出不同的工程验收、计量、支付办法；</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d.投标人对合同纠纷、事故处理办法未提出异议；</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e.投标人在投标活动中无欺诈行为；</w:t>
            </w:r>
          </w:p>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f.投标人未对合同条款有重要保留。</w:t>
            </w:r>
          </w:p>
          <w:p>
            <w:pPr>
              <w:spacing w:line="276" w:lineRule="auto"/>
              <w:jc w:val="left"/>
              <w:rPr>
                <w:rFonts w:hint="eastAsia" w:ascii="宋体" w:hAnsi="宋体" w:cs="宋体"/>
                <w:b/>
                <w:bCs/>
                <w:kern w:val="2"/>
                <w:sz w:val="21"/>
                <w:szCs w:val="21"/>
              </w:rPr>
            </w:pPr>
            <w:r>
              <w:rPr>
                <w:rFonts w:hint="eastAsia" w:ascii="宋体" w:hAnsi="宋体" w:cs="宋体"/>
                <w:b/>
                <w:bCs/>
                <w:kern w:val="2"/>
                <w:sz w:val="21"/>
                <w:szCs w:val="21"/>
              </w:rPr>
              <w:t>第二个信封（报价文件）评审标准：</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w:t>
            </w:r>
            <w:r>
              <w:rPr>
                <w:rFonts w:ascii="宋体" w:hAnsi="宋体" w:cs="宋体"/>
                <w:kern w:val="2"/>
                <w:sz w:val="21"/>
                <w:szCs w:val="21"/>
              </w:rPr>
              <w:t>1</w:t>
            </w:r>
            <w:r>
              <w:rPr>
                <w:rFonts w:hint="eastAsia" w:ascii="宋体" w:hAnsi="宋体" w:cs="宋体"/>
                <w:kern w:val="2"/>
                <w:sz w:val="21"/>
                <w:szCs w:val="21"/>
              </w:rPr>
              <w:t>）</w:t>
            </w:r>
            <w:r>
              <w:rPr>
                <w:rFonts w:hint="eastAsia" w:ascii="宋体" w:hAnsi="宋体"/>
                <w:spacing w:val="-4"/>
                <w:kern w:val="2"/>
                <w:sz w:val="21"/>
                <w:szCs w:val="21"/>
              </w:rPr>
              <w:t>投标文件按照招标文件规定的格式、内容填写，字迹清晰可辨，内容齐全完整</w:t>
            </w:r>
            <w:r>
              <w:rPr>
                <w:rFonts w:hint="eastAsia" w:ascii="宋体" w:hAnsi="宋体" w:cs="宋体"/>
                <w:kern w:val="2"/>
                <w:sz w:val="21"/>
                <w:szCs w:val="21"/>
              </w:rPr>
              <w:t>；</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a．投标函按照招标文件规定填报了项目名称、补遗书编号（如有）、投标价（包括大写金额和小写金额）。</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b．已标价工程量清单说明文字与招标文件规定一致，未进行实质性修改和删减；</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c．投标文件组成齐全完整，内容均按规定填写。</w:t>
            </w:r>
          </w:p>
          <w:p>
            <w:pPr>
              <w:spacing w:line="276" w:lineRule="auto"/>
              <w:ind w:firstLine="386" w:firstLineChars="184"/>
              <w:jc w:val="left"/>
              <w:rPr>
                <w:rFonts w:ascii="宋体" w:hAnsi="宋体" w:cs="宋体"/>
                <w:bCs/>
                <w:kern w:val="2"/>
                <w:sz w:val="21"/>
                <w:szCs w:val="21"/>
              </w:rPr>
            </w:pPr>
            <w:r>
              <w:rPr>
                <w:rFonts w:hint="eastAsia" w:ascii="宋体" w:hAnsi="宋体" w:cs="宋体"/>
                <w:kern w:val="2"/>
                <w:sz w:val="21"/>
                <w:szCs w:val="21"/>
              </w:rPr>
              <w:t>（</w:t>
            </w:r>
            <w:r>
              <w:rPr>
                <w:rFonts w:ascii="宋体" w:hAnsi="宋体" w:cs="宋体"/>
                <w:kern w:val="2"/>
                <w:sz w:val="21"/>
                <w:szCs w:val="21"/>
              </w:rPr>
              <w:t>2</w:t>
            </w:r>
            <w:r>
              <w:rPr>
                <w:rFonts w:hint="eastAsia" w:ascii="宋体" w:hAnsi="宋体" w:cs="宋体"/>
                <w:kern w:val="2"/>
                <w:sz w:val="21"/>
                <w:szCs w:val="21"/>
              </w:rPr>
              <w:t>）</w:t>
            </w:r>
            <w:r>
              <w:rPr>
                <w:rFonts w:hint="eastAsia" w:ascii="宋体" w:hAnsi="宋体"/>
                <w:spacing w:val="-4"/>
                <w:sz w:val="21"/>
                <w:szCs w:val="21"/>
              </w:rPr>
              <w:t>投标文件上法定代表人或其授权代理人的签字、投标人的单位章盖章齐全，符合招标文件规定</w:t>
            </w:r>
            <w:r>
              <w:rPr>
                <w:rFonts w:hint="eastAsia" w:ascii="宋体" w:hAnsi="宋体" w:cs="宋体"/>
                <w:kern w:val="2"/>
                <w:sz w:val="21"/>
                <w:szCs w:val="21"/>
              </w:rPr>
              <w:t>；</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w:t>
            </w:r>
            <w:r>
              <w:rPr>
                <w:rFonts w:ascii="宋体" w:hAnsi="宋体" w:cs="宋体"/>
                <w:kern w:val="2"/>
                <w:sz w:val="21"/>
                <w:szCs w:val="21"/>
              </w:rPr>
              <w:t>3</w:t>
            </w:r>
            <w:r>
              <w:rPr>
                <w:rFonts w:hint="eastAsia" w:ascii="宋体" w:hAnsi="宋体" w:cs="宋体"/>
                <w:kern w:val="2"/>
                <w:sz w:val="21"/>
                <w:szCs w:val="21"/>
              </w:rPr>
              <w:t>）</w:t>
            </w:r>
            <w:r>
              <w:rPr>
                <w:rFonts w:hint="eastAsia" w:ascii="宋体" w:hAnsi="宋体"/>
                <w:spacing w:val="-4"/>
                <w:kern w:val="2"/>
                <w:sz w:val="21"/>
                <w:szCs w:val="21"/>
              </w:rPr>
              <w:t>投标报价未超过招标文件设定的最高投标限价</w:t>
            </w:r>
            <w:r>
              <w:rPr>
                <w:rFonts w:hint="eastAsia" w:ascii="宋体" w:hAnsi="宋体" w:cs="宋体"/>
                <w:kern w:val="2"/>
                <w:sz w:val="21"/>
                <w:szCs w:val="21"/>
              </w:rPr>
              <w:t>；</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w:t>
            </w:r>
            <w:r>
              <w:rPr>
                <w:rFonts w:ascii="宋体" w:hAnsi="宋体" w:cs="宋体"/>
                <w:kern w:val="2"/>
                <w:sz w:val="21"/>
                <w:szCs w:val="21"/>
              </w:rPr>
              <w:t>4</w:t>
            </w:r>
            <w:r>
              <w:rPr>
                <w:rFonts w:hint="eastAsia" w:ascii="宋体" w:hAnsi="宋体" w:cs="宋体"/>
                <w:kern w:val="2"/>
                <w:sz w:val="21"/>
                <w:szCs w:val="21"/>
              </w:rPr>
              <w:t>）投标报价的大写金额能够确定具体数值；</w:t>
            </w:r>
          </w:p>
          <w:p>
            <w:pPr>
              <w:spacing w:line="276" w:lineRule="auto"/>
              <w:ind w:firstLine="386" w:firstLineChars="184"/>
              <w:jc w:val="left"/>
              <w:rPr>
                <w:rFonts w:ascii="宋体" w:hAnsi="宋体" w:cs="宋体"/>
                <w:kern w:val="2"/>
                <w:sz w:val="21"/>
                <w:szCs w:val="21"/>
              </w:rPr>
            </w:pPr>
            <w:r>
              <w:rPr>
                <w:rFonts w:hint="eastAsia" w:ascii="宋体" w:hAnsi="宋体" w:cs="宋体"/>
                <w:kern w:val="2"/>
                <w:sz w:val="21"/>
                <w:szCs w:val="21"/>
              </w:rPr>
              <w:t>（</w:t>
            </w:r>
            <w:r>
              <w:rPr>
                <w:rFonts w:ascii="宋体" w:hAnsi="宋体" w:cs="宋体"/>
                <w:kern w:val="2"/>
                <w:sz w:val="21"/>
                <w:szCs w:val="21"/>
              </w:rPr>
              <w:t>5</w:t>
            </w:r>
            <w:r>
              <w:rPr>
                <w:rFonts w:hint="eastAsia" w:ascii="宋体" w:hAnsi="宋体" w:cs="宋体"/>
                <w:kern w:val="2"/>
                <w:sz w:val="21"/>
                <w:szCs w:val="21"/>
              </w:rPr>
              <w:t>）</w:t>
            </w:r>
            <w:r>
              <w:rPr>
                <w:rFonts w:hint="eastAsia" w:ascii="宋体" w:hAnsi="宋体"/>
                <w:spacing w:val="-4"/>
                <w:sz w:val="21"/>
                <w:szCs w:val="21"/>
              </w:rPr>
              <w:t>同一投标人未提交两个以上不同的投标报价</w:t>
            </w:r>
            <w:r>
              <w:rPr>
                <w:rFonts w:hint="eastAsia" w:ascii="宋体" w:hAnsi="宋体" w:cs="宋体"/>
                <w:kern w:val="2"/>
                <w:sz w:val="21"/>
                <w:szCs w:val="21"/>
              </w:rPr>
              <w:t>；</w:t>
            </w:r>
          </w:p>
          <w:p>
            <w:pPr>
              <w:spacing w:line="276" w:lineRule="auto"/>
              <w:ind w:firstLine="386" w:firstLineChars="184"/>
              <w:jc w:val="left"/>
              <w:rPr>
                <w:rFonts w:ascii="宋体" w:hAnsi="宋体" w:cs="宋体"/>
                <w:kern w:val="2"/>
                <w:sz w:val="21"/>
                <w:szCs w:val="21"/>
              </w:rPr>
            </w:pPr>
            <w:bookmarkStart w:id="17" w:name="_Hlk134901354"/>
            <w:r>
              <w:rPr>
                <w:rFonts w:hint="eastAsia" w:ascii="宋体" w:hAnsi="宋体" w:cs="宋体"/>
                <w:kern w:val="2"/>
                <w:sz w:val="21"/>
                <w:szCs w:val="21"/>
              </w:rPr>
              <w:t>（</w:t>
            </w:r>
            <w:r>
              <w:rPr>
                <w:rFonts w:ascii="宋体" w:hAnsi="宋体" w:cs="宋体"/>
                <w:kern w:val="2"/>
                <w:sz w:val="21"/>
                <w:szCs w:val="21"/>
              </w:rPr>
              <w:t>6</w:t>
            </w:r>
            <w:r>
              <w:rPr>
                <w:rFonts w:hint="eastAsia" w:ascii="宋体" w:hAnsi="宋体" w:cs="宋体"/>
                <w:kern w:val="2"/>
                <w:sz w:val="21"/>
                <w:szCs w:val="21"/>
              </w:rPr>
              <w:t>）</w:t>
            </w:r>
            <w:r>
              <w:rPr>
                <w:rFonts w:ascii="宋体" w:hAnsi="宋体" w:cs="宋体"/>
                <w:kern w:val="2"/>
                <w:sz w:val="21"/>
                <w:szCs w:val="21"/>
              </w:rPr>
              <w:t>投标人未提交调价函</w:t>
            </w:r>
            <w:r>
              <w:rPr>
                <w:rFonts w:hint="eastAsia" w:ascii="宋体" w:hAnsi="宋体" w:cs="宋体"/>
                <w:kern w:val="2"/>
                <w:sz w:val="21"/>
                <w:szCs w:val="21"/>
              </w:rPr>
              <w:t>。</w:t>
            </w:r>
          </w:p>
          <w:bookmarkEnd w:id="17"/>
          <w:p>
            <w:pPr>
              <w:spacing w:line="276" w:lineRule="auto"/>
              <w:ind w:firstLine="420" w:firstLineChars="200"/>
              <w:jc w:val="left"/>
              <w:rPr>
                <w:rFonts w:ascii="宋体" w:hAnsi="宋体"/>
                <w:spacing w:val="-4"/>
                <w:sz w:val="21"/>
                <w:szCs w:val="21"/>
              </w:rPr>
            </w:pPr>
            <w:r>
              <w:rPr>
                <w:rFonts w:ascii="宋体" w:hAnsi="宋体" w:cs="宋体"/>
                <w:kern w:val="2"/>
                <w:sz w:val="21"/>
                <w:szCs w:val="21"/>
              </w:rPr>
              <w:t>（7）</w:t>
            </w:r>
            <w:r>
              <w:rPr>
                <w:rFonts w:hint="eastAsia" w:ascii="宋体" w:hAnsi="宋体" w:cs="宋体"/>
                <w:kern w:val="2"/>
                <w:sz w:val="21"/>
                <w:szCs w:val="21"/>
              </w:rPr>
              <w:t>投标人填写完毕的工程量清单未对招标人提供的工程量固化清单电子文件中的数据、格式和运算定义进行修改；工程量清单中的投标报价和投标函大写金额报价一致</w:t>
            </w:r>
            <w:r>
              <w:rPr>
                <w:rFonts w:hint="eastAsia" w:ascii="宋体" w:hAnsi="宋体"/>
                <w:spacing w:val="-4"/>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276" w:lineRule="auto"/>
              <w:jc w:val="center"/>
              <w:rPr>
                <w:rFonts w:ascii="宋体" w:hAnsi="宋体"/>
                <w:sz w:val="21"/>
                <w:szCs w:val="21"/>
              </w:rPr>
            </w:pPr>
            <w:r>
              <w:rPr>
                <w:rFonts w:hint="eastAsia" w:ascii="宋体" w:hAnsi="宋体"/>
                <w:sz w:val="21"/>
                <w:szCs w:val="21"/>
              </w:rPr>
              <w:t>2.1.2</w:t>
            </w:r>
          </w:p>
        </w:tc>
        <w:tc>
          <w:tcPr>
            <w:tcW w:w="1134" w:type="dxa"/>
            <w:noWrap w:val="0"/>
            <w:vAlign w:val="center"/>
          </w:tcPr>
          <w:p>
            <w:pPr>
              <w:spacing w:line="276" w:lineRule="auto"/>
              <w:jc w:val="center"/>
              <w:rPr>
                <w:rFonts w:ascii="宋体" w:hAnsi="宋体"/>
                <w:sz w:val="21"/>
                <w:szCs w:val="21"/>
              </w:rPr>
            </w:pPr>
            <w:r>
              <w:rPr>
                <w:rFonts w:hint="eastAsia" w:ascii="宋体" w:hAnsi="宋体"/>
                <w:sz w:val="21"/>
                <w:szCs w:val="21"/>
              </w:rPr>
              <w:t>资格评审标准</w:t>
            </w:r>
          </w:p>
        </w:tc>
        <w:tc>
          <w:tcPr>
            <w:tcW w:w="7363" w:type="dxa"/>
            <w:noWrap w:val="0"/>
            <w:vAlign w:val="top"/>
          </w:tcPr>
          <w:p>
            <w:pPr>
              <w:spacing w:line="276" w:lineRule="auto"/>
              <w:ind w:firstLine="420" w:firstLineChars="200"/>
              <w:jc w:val="left"/>
              <w:rPr>
                <w:rFonts w:ascii="宋体" w:hAnsi="宋体"/>
                <w:bCs/>
                <w:sz w:val="21"/>
                <w:szCs w:val="21"/>
              </w:rPr>
            </w:pPr>
            <w:r>
              <w:rPr>
                <w:rFonts w:hint="eastAsia" w:ascii="宋体" w:hAnsi="宋体"/>
                <w:sz w:val="21"/>
                <w:szCs w:val="21"/>
              </w:rPr>
              <w:t>（1）投标</w:t>
            </w:r>
            <w:r>
              <w:rPr>
                <w:rFonts w:hint="eastAsia" w:ascii="宋体" w:hAnsi="宋体"/>
                <w:bCs/>
                <w:sz w:val="21"/>
                <w:szCs w:val="21"/>
              </w:rPr>
              <w:t>人具备有效的营业执照、资质证书、安全生产许可证和基本账户开户许可证（或基本存款账户信息）。</w:t>
            </w:r>
          </w:p>
          <w:p>
            <w:pPr>
              <w:spacing w:line="276" w:lineRule="auto"/>
              <w:ind w:firstLine="420" w:firstLineChars="200"/>
              <w:jc w:val="left"/>
              <w:rPr>
                <w:rFonts w:ascii="宋体" w:hAnsi="宋体"/>
                <w:bCs/>
                <w:sz w:val="21"/>
                <w:szCs w:val="21"/>
              </w:rPr>
            </w:pPr>
            <w:r>
              <w:rPr>
                <w:rFonts w:hint="eastAsia" w:ascii="宋体" w:hAnsi="宋体"/>
                <w:bCs/>
                <w:sz w:val="21"/>
                <w:szCs w:val="21"/>
              </w:rPr>
              <w:t>（2）投标人的资质等级符合招标文件规定。</w:t>
            </w:r>
          </w:p>
          <w:p>
            <w:pPr>
              <w:spacing w:line="276" w:lineRule="auto"/>
              <w:ind w:firstLine="420" w:firstLineChars="200"/>
              <w:jc w:val="left"/>
              <w:rPr>
                <w:rFonts w:ascii="宋体" w:hAnsi="宋体"/>
                <w:bCs/>
                <w:sz w:val="21"/>
                <w:szCs w:val="21"/>
              </w:rPr>
            </w:pPr>
            <w:r>
              <w:rPr>
                <w:rFonts w:hint="eastAsia" w:ascii="宋体" w:hAnsi="宋体"/>
                <w:bCs/>
                <w:sz w:val="21"/>
                <w:szCs w:val="21"/>
              </w:rPr>
              <w:t>（3）投标人的业绩符合招标文件规定。</w:t>
            </w:r>
          </w:p>
          <w:p>
            <w:pPr>
              <w:spacing w:line="276" w:lineRule="auto"/>
              <w:ind w:firstLine="420" w:firstLineChars="200"/>
              <w:jc w:val="left"/>
              <w:rPr>
                <w:rFonts w:ascii="宋体" w:hAnsi="宋体"/>
                <w:bCs/>
                <w:sz w:val="21"/>
                <w:szCs w:val="21"/>
              </w:rPr>
            </w:pPr>
            <w:r>
              <w:rPr>
                <w:rFonts w:hint="eastAsia" w:ascii="宋体" w:hAnsi="宋体"/>
                <w:bCs/>
                <w:sz w:val="21"/>
                <w:szCs w:val="21"/>
              </w:rPr>
              <w:t>（4）投标人的信誉符合招标文件规定。</w:t>
            </w:r>
          </w:p>
          <w:p>
            <w:pPr>
              <w:spacing w:line="276" w:lineRule="auto"/>
              <w:ind w:firstLine="420" w:firstLineChars="200"/>
              <w:jc w:val="left"/>
              <w:rPr>
                <w:rFonts w:ascii="宋体" w:hAnsi="宋体"/>
                <w:bCs/>
                <w:sz w:val="21"/>
                <w:szCs w:val="21"/>
              </w:rPr>
            </w:pPr>
            <w:r>
              <w:rPr>
                <w:rFonts w:hint="eastAsia" w:ascii="宋体" w:hAnsi="宋体"/>
                <w:bCs/>
                <w:sz w:val="21"/>
                <w:szCs w:val="21"/>
              </w:rPr>
              <w:t>（5）投标人的项目经理资格符合招标文件规定。</w:t>
            </w:r>
          </w:p>
          <w:p>
            <w:pPr>
              <w:spacing w:line="276" w:lineRule="auto"/>
              <w:ind w:firstLine="420" w:firstLineChars="200"/>
              <w:jc w:val="left"/>
              <w:rPr>
                <w:rFonts w:ascii="宋体" w:hAnsi="宋体"/>
                <w:sz w:val="21"/>
                <w:szCs w:val="21"/>
              </w:rPr>
            </w:pPr>
            <w:r>
              <w:rPr>
                <w:rFonts w:hint="eastAsia" w:ascii="宋体" w:hAnsi="宋体"/>
                <w:bCs/>
                <w:sz w:val="21"/>
                <w:szCs w:val="21"/>
              </w:rPr>
              <w:t>（6）投标人不存在第二章“投标人须知”第 1.4.3 项或第 1.4.4 项规定的任何一种情形。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276" w:lineRule="auto"/>
              <w:jc w:val="center"/>
              <w:rPr>
                <w:rFonts w:ascii="宋体" w:hAnsi="宋体"/>
                <w:sz w:val="21"/>
                <w:szCs w:val="21"/>
              </w:rPr>
            </w:pPr>
            <w:r>
              <w:rPr>
                <w:rFonts w:hint="eastAsia" w:ascii="宋体" w:hAnsi="宋体"/>
                <w:sz w:val="21"/>
                <w:szCs w:val="21"/>
              </w:rPr>
              <w:t>2.2.1</w:t>
            </w:r>
          </w:p>
        </w:tc>
        <w:tc>
          <w:tcPr>
            <w:tcW w:w="1134" w:type="dxa"/>
            <w:noWrap w:val="0"/>
            <w:vAlign w:val="center"/>
          </w:tcPr>
          <w:p>
            <w:pPr>
              <w:snapToGrid w:val="0"/>
              <w:spacing w:line="276" w:lineRule="auto"/>
              <w:ind w:right="113"/>
              <w:jc w:val="center"/>
              <w:rPr>
                <w:rFonts w:ascii="宋体" w:hAnsi="宋体"/>
                <w:sz w:val="21"/>
                <w:szCs w:val="21"/>
              </w:rPr>
            </w:pPr>
            <w:r>
              <w:rPr>
                <w:rFonts w:hint="eastAsia" w:ascii="宋体" w:hAnsi="宋体"/>
                <w:sz w:val="21"/>
                <w:szCs w:val="21"/>
              </w:rPr>
              <w:t>分值构成（总分100分）</w:t>
            </w:r>
          </w:p>
        </w:tc>
        <w:tc>
          <w:tcPr>
            <w:tcW w:w="7363" w:type="dxa"/>
            <w:noWrap w:val="0"/>
            <w:vAlign w:val="center"/>
          </w:tcPr>
          <w:p>
            <w:pPr>
              <w:spacing w:line="276" w:lineRule="auto"/>
              <w:jc w:val="left"/>
              <w:rPr>
                <w:rFonts w:ascii="宋体" w:hAnsi="宋体"/>
                <w:sz w:val="21"/>
                <w:szCs w:val="21"/>
              </w:rPr>
            </w:pPr>
            <w:r>
              <w:rPr>
                <w:rFonts w:hint="eastAsia" w:ascii="宋体" w:hAnsi="宋体"/>
                <w:sz w:val="21"/>
                <w:szCs w:val="21"/>
              </w:rPr>
              <w:t>评标价：100分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276" w:lineRule="auto"/>
              <w:jc w:val="center"/>
              <w:rPr>
                <w:rFonts w:ascii="宋体" w:hAnsi="宋体"/>
                <w:sz w:val="21"/>
                <w:szCs w:val="21"/>
              </w:rPr>
            </w:pPr>
            <w:r>
              <w:rPr>
                <w:rFonts w:hint="eastAsia" w:ascii="宋体" w:hAnsi="宋体"/>
                <w:sz w:val="21"/>
                <w:szCs w:val="21"/>
              </w:rPr>
              <w:t>2.2.2</w:t>
            </w:r>
          </w:p>
        </w:tc>
        <w:tc>
          <w:tcPr>
            <w:tcW w:w="1134" w:type="dxa"/>
            <w:noWrap w:val="0"/>
            <w:vAlign w:val="center"/>
          </w:tcPr>
          <w:p>
            <w:pPr>
              <w:spacing w:line="276" w:lineRule="auto"/>
              <w:jc w:val="center"/>
              <w:rPr>
                <w:rFonts w:ascii="宋体" w:hAnsi="宋体"/>
                <w:sz w:val="21"/>
                <w:szCs w:val="21"/>
              </w:rPr>
            </w:pPr>
            <w:r>
              <w:rPr>
                <w:rFonts w:hint="eastAsia" w:ascii="宋体" w:hAnsi="宋体"/>
                <w:sz w:val="21"/>
                <w:szCs w:val="21"/>
              </w:rPr>
              <w:t>评标基准价计算方法</w:t>
            </w:r>
          </w:p>
        </w:tc>
        <w:tc>
          <w:tcPr>
            <w:tcW w:w="7363" w:type="dxa"/>
            <w:noWrap w:val="0"/>
            <w:vAlign w:val="center"/>
          </w:tcPr>
          <w:p>
            <w:pPr>
              <w:widowControl/>
              <w:adjustRightInd w:val="0"/>
              <w:snapToGrid w:val="0"/>
              <w:spacing w:line="0" w:lineRule="atLeast"/>
              <w:textAlignment w:val="center"/>
              <w:rPr>
                <w:snapToGrid w:val="0"/>
                <w:kern w:val="0"/>
                <w:sz w:val="21"/>
                <w:szCs w:val="21"/>
              </w:rPr>
            </w:pPr>
            <w:r>
              <w:rPr>
                <w:snapToGrid w:val="0"/>
                <w:kern w:val="0"/>
                <w:sz w:val="21"/>
                <w:szCs w:val="21"/>
              </w:rPr>
              <w:t>（1）评标价：通过初步评审的投标人的投标函</w:t>
            </w:r>
            <w:r>
              <w:rPr>
                <w:rFonts w:hint="eastAsia"/>
                <w:snapToGrid w:val="0"/>
                <w:kern w:val="0"/>
                <w:sz w:val="21"/>
                <w:szCs w:val="21"/>
              </w:rPr>
              <w:t>注明的</w:t>
            </w:r>
            <w:r>
              <w:rPr>
                <w:snapToGrid w:val="0"/>
                <w:kern w:val="0"/>
                <w:sz w:val="21"/>
                <w:szCs w:val="21"/>
              </w:rPr>
              <w:t>投标总报价</w:t>
            </w:r>
            <w:r>
              <w:rPr>
                <w:rFonts w:hint="eastAsia"/>
                <w:snapToGrid w:val="0"/>
                <w:kern w:val="0"/>
                <w:sz w:val="21"/>
                <w:szCs w:val="21"/>
              </w:rPr>
              <w:t>（大写）</w:t>
            </w:r>
            <w:r>
              <w:rPr>
                <w:snapToGrid w:val="0"/>
                <w:kern w:val="0"/>
                <w:sz w:val="21"/>
                <w:szCs w:val="21"/>
              </w:rPr>
              <w:t>。</w:t>
            </w:r>
          </w:p>
          <w:p>
            <w:pPr>
              <w:widowControl/>
              <w:adjustRightInd w:val="0"/>
              <w:snapToGrid w:val="0"/>
              <w:spacing w:line="0" w:lineRule="atLeast"/>
              <w:textAlignment w:val="center"/>
              <w:rPr>
                <w:snapToGrid w:val="0"/>
                <w:kern w:val="0"/>
                <w:sz w:val="21"/>
                <w:szCs w:val="21"/>
              </w:rPr>
            </w:pPr>
            <w:r>
              <w:rPr>
                <w:snapToGrid w:val="0"/>
                <w:kern w:val="0"/>
                <w:sz w:val="21"/>
                <w:szCs w:val="21"/>
              </w:rPr>
              <w:t>（2）评标基准价的确定：评标价平均值直接作为评标基准价。评标基准价保留小数点后两位，小数点后第三位四舍五入。</w:t>
            </w:r>
          </w:p>
          <w:p>
            <w:pPr>
              <w:widowControl/>
              <w:adjustRightInd w:val="0"/>
              <w:snapToGrid w:val="0"/>
              <w:spacing w:line="0" w:lineRule="atLeast"/>
              <w:textAlignment w:val="center"/>
              <w:rPr>
                <w:snapToGrid w:val="0"/>
                <w:kern w:val="0"/>
                <w:sz w:val="21"/>
                <w:szCs w:val="21"/>
              </w:rPr>
            </w:pPr>
            <w:r>
              <w:rPr>
                <w:snapToGrid w:val="0"/>
                <w:kern w:val="0"/>
                <w:sz w:val="21"/>
                <w:szCs w:val="21"/>
              </w:rPr>
              <w:t>（3）评标价平均值的计算：</w:t>
            </w:r>
          </w:p>
          <w:p>
            <w:pPr>
              <w:widowControl/>
              <w:adjustRightInd w:val="0"/>
              <w:snapToGrid w:val="0"/>
              <w:spacing w:line="0" w:lineRule="atLeast"/>
              <w:textAlignment w:val="center"/>
              <w:rPr>
                <w:snapToGrid w:val="0"/>
                <w:kern w:val="0"/>
                <w:sz w:val="21"/>
                <w:szCs w:val="21"/>
              </w:rPr>
            </w:pPr>
            <w:r>
              <w:rPr>
                <w:snapToGrid w:val="0"/>
                <w:kern w:val="0"/>
                <w:sz w:val="21"/>
                <w:szCs w:val="21"/>
              </w:rPr>
              <w:t>当所有通过初步评审投标人的家数小于等于5家时，取所有通过初步评审投标人报价的平均数为平均值；</w:t>
            </w:r>
          </w:p>
          <w:p>
            <w:pPr>
              <w:widowControl/>
              <w:adjustRightInd w:val="0"/>
              <w:snapToGrid w:val="0"/>
              <w:spacing w:line="0" w:lineRule="atLeast"/>
              <w:textAlignment w:val="center"/>
              <w:rPr>
                <w:snapToGrid w:val="0"/>
                <w:kern w:val="0"/>
                <w:sz w:val="21"/>
                <w:szCs w:val="21"/>
              </w:rPr>
            </w:pPr>
            <w:r>
              <w:rPr>
                <w:snapToGrid w:val="0"/>
                <w:kern w:val="0"/>
                <w:sz w:val="21"/>
                <w:szCs w:val="21"/>
              </w:rPr>
              <w:t>当</w:t>
            </w:r>
            <w:r>
              <w:rPr>
                <w:rFonts w:hint="eastAsia"/>
                <w:snapToGrid w:val="0"/>
                <w:kern w:val="0"/>
                <w:sz w:val="21"/>
                <w:szCs w:val="21"/>
              </w:rPr>
              <w:t>所有</w:t>
            </w:r>
            <w:r>
              <w:rPr>
                <w:snapToGrid w:val="0"/>
                <w:kern w:val="0"/>
                <w:sz w:val="21"/>
                <w:szCs w:val="21"/>
              </w:rPr>
              <w:t>通过初步评审投标人的家数大于5家小于等于10家时</w:t>
            </w:r>
            <w:r>
              <w:rPr>
                <w:rFonts w:hint="eastAsia"/>
                <w:snapToGrid w:val="0"/>
                <w:kern w:val="0"/>
                <w:sz w:val="21"/>
                <w:szCs w:val="21"/>
              </w:rPr>
              <w:t>，</w:t>
            </w:r>
            <w:r>
              <w:rPr>
                <w:snapToGrid w:val="0"/>
                <w:kern w:val="0"/>
                <w:sz w:val="21"/>
                <w:szCs w:val="21"/>
              </w:rPr>
              <w:t>去掉一个最高值和一个最低值后计算平均值。</w:t>
            </w:r>
          </w:p>
          <w:p>
            <w:pPr>
              <w:widowControl/>
              <w:adjustRightInd w:val="0"/>
              <w:snapToGrid w:val="0"/>
              <w:spacing w:line="0" w:lineRule="atLeast"/>
              <w:textAlignment w:val="center"/>
              <w:rPr>
                <w:snapToGrid w:val="0"/>
                <w:kern w:val="0"/>
                <w:sz w:val="21"/>
                <w:szCs w:val="21"/>
              </w:rPr>
            </w:pPr>
            <w:r>
              <w:rPr>
                <w:snapToGrid w:val="0"/>
                <w:kern w:val="0"/>
                <w:sz w:val="21"/>
                <w:szCs w:val="21"/>
              </w:rPr>
              <w:t>当</w:t>
            </w:r>
            <w:r>
              <w:rPr>
                <w:rFonts w:hint="eastAsia"/>
                <w:snapToGrid w:val="0"/>
                <w:kern w:val="0"/>
                <w:sz w:val="21"/>
                <w:szCs w:val="21"/>
              </w:rPr>
              <w:t>所有</w:t>
            </w:r>
            <w:r>
              <w:rPr>
                <w:snapToGrid w:val="0"/>
                <w:kern w:val="0"/>
                <w:sz w:val="21"/>
                <w:szCs w:val="21"/>
              </w:rPr>
              <w:t>通过初步评审投标人的家数大于10家小于等于20家时</w:t>
            </w:r>
            <w:r>
              <w:rPr>
                <w:rFonts w:hint="eastAsia"/>
                <w:snapToGrid w:val="0"/>
                <w:kern w:val="0"/>
                <w:sz w:val="21"/>
                <w:szCs w:val="21"/>
              </w:rPr>
              <w:t>，</w:t>
            </w:r>
            <w:r>
              <w:rPr>
                <w:snapToGrid w:val="0"/>
                <w:kern w:val="0"/>
                <w:sz w:val="21"/>
                <w:szCs w:val="21"/>
              </w:rPr>
              <w:t>去掉两个最高值和两个最低值后计算平均值。</w:t>
            </w:r>
          </w:p>
          <w:p>
            <w:pPr>
              <w:spacing w:line="276" w:lineRule="auto"/>
              <w:ind w:firstLine="420" w:firstLineChars="200"/>
              <w:jc w:val="left"/>
              <w:rPr>
                <w:rFonts w:ascii="宋体" w:hAnsi="宋体"/>
                <w:spacing w:val="-4"/>
                <w:sz w:val="21"/>
                <w:szCs w:val="21"/>
              </w:rPr>
            </w:pPr>
            <w:r>
              <w:rPr>
                <w:snapToGrid w:val="0"/>
                <w:kern w:val="0"/>
                <w:sz w:val="21"/>
                <w:szCs w:val="21"/>
              </w:rPr>
              <w:t>当</w:t>
            </w:r>
            <w:r>
              <w:rPr>
                <w:rFonts w:hint="eastAsia"/>
                <w:snapToGrid w:val="0"/>
                <w:kern w:val="0"/>
                <w:sz w:val="21"/>
                <w:szCs w:val="21"/>
              </w:rPr>
              <w:t>所有</w:t>
            </w:r>
            <w:r>
              <w:rPr>
                <w:snapToGrid w:val="0"/>
                <w:kern w:val="0"/>
                <w:sz w:val="21"/>
                <w:szCs w:val="21"/>
              </w:rPr>
              <w:t>通过初步评审投标人的家数大于20家时</w:t>
            </w:r>
            <w:r>
              <w:rPr>
                <w:rFonts w:hint="eastAsia"/>
                <w:snapToGrid w:val="0"/>
                <w:kern w:val="0"/>
                <w:sz w:val="21"/>
                <w:szCs w:val="21"/>
              </w:rPr>
              <w:t>，</w:t>
            </w:r>
            <w:r>
              <w:rPr>
                <w:snapToGrid w:val="0"/>
                <w:kern w:val="0"/>
                <w:sz w:val="21"/>
                <w:szCs w:val="21"/>
              </w:rPr>
              <w:t>去掉3个最高值和3个最低值后计算平均值。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276" w:lineRule="auto"/>
              <w:jc w:val="center"/>
              <w:rPr>
                <w:rFonts w:ascii="宋体" w:hAnsi="宋体"/>
                <w:sz w:val="21"/>
                <w:szCs w:val="21"/>
              </w:rPr>
            </w:pPr>
            <w:r>
              <w:rPr>
                <w:rFonts w:hint="eastAsia" w:ascii="宋体" w:hAnsi="宋体"/>
                <w:sz w:val="21"/>
                <w:szCs w:val="21"/>
              </w:rPr>
              <w:t>2.2.3</w:t>
            </w:r>
          </w:p>
        </w:tc>
        <w:tc>
          <w:tcPr>
            <w:tcW w:w="1134" w:type="dxa"/>
            <w:noWrap w:val="0"/>
            <w:vAlign w:val="center"/>
          </w:tcPr>
          <w:p>
            <w:pPr>
              <w:spacing w:line="276" w:lineRule="auto"/>
              <w:jc w:val="center"/>
              <w:rPr>
                <w:rFonts w:ascii="宋体" w:hAnsi="宋体"/>
                <w:sz w:val="21"/>
                <w:szCs w:val="21"/>
              </w:rPr>
            </w:pPr>
            <w:r>
              <w:rPr>
                <w:rFonts w:hint="eastAsia" w:ascii="宋体" w:hAnsi="宋体"/>
                <w:sz w:val="21"/>
                <w:szCs w:val="21"/>
              </w:rPr>
              <w:t>评标价的偏差率计算公式</w:t>
            </w:r>
          </w:p>
        </w:tc>
        <w:tc>
          <w:tcPr>
            <w:tcW w:w="7363" w:type="dxa"/>
            <w:noWrap w:val="0"/>
            <w:vAlign w:val="center"/>
          </w:tcPr>
          <w:p>
            <w:pPr>
              <w:spacing w:line="276" w:lineRule="auto"/>
              <w:rPr>
                <w:rFonts w:ascii="宋体" w:hAnsi="宋体"/>
                <w:sz w:val="21"/>
                <w:szCs w:val="21"/>
              </w:rPr>
            </w:pPr>
            <w:r>
              <w:rPr>
                <w:rFonts w:hint="eastAsia" w:ascii="宋体" w:hAnsi="宋体"/>
                <w:sz w:val="21"/>
                <w:szCs w:val="21"/>
              </w:rPr>
              <w:t>偏差率=100%×（投标人评标价-评标基准价）/评标基准价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276" w:lineRule="auto"/>
              <w:jc w:val="center"/>
              <w:rPr>
                <w:rFonts w:ascii="宋体" w:hAnsi="宋体"/>
                <w:sz w:val="21"/>
                <w:szCs w:val="21"/>
              </w:rPr>
            </w:pPr>
            <w:r>
              <w:rPr>
                <w:rFonts w:hint="eastAsia" w:ascii="宋体" w:hAnsi="宋体"/>
                <w:sz w:val="21"/>
                <w:szCs w:val="21"/>
              </w:rPr>
              <w:t>2.2.4</w:t>
            </w:r>
          </w:p>
        </w:tc>
        <w:tc>
          <w:tcPr>
            <w:tcW w:w="1134" w:type="dxa"/>
            <w:noWrap w:val="0"/>
            <w:vAlign w:val="center"/>
          </w:tcPr>
          <w:p>
            <w:pPr>
              <w:spacing w:line="276" w:lineRule="auto"/>
              <w:jc w:val="center"/>
              <w:rPr>
                <w:rFonts w:ascii="宋体" w:hAnsi="宋体"/>
                <w:sz w:val="21"/>
                <w:szCs w:val="21"/>
              </w:rPr>
            </w:pPr>
            <w:r>
              <w:rPr>
                <w:rFonts w:hint="eastAsia" w:ascii="宋体" w:hAnsi="宋体"/>
                <w:sz w:val="21"/>
                <w:szCs w:val="21"/>
              </w:rPr>
              <w:t>评标价</w:t>
            </w:r>
          </w:p>
        </w:tc>
        <w:tc>
          <w:tcPr>
            <w:tcW w:w="7363" w:type="dxa"/>
            <w:noWrap w:val="0"/>
            <w:vAlign w:val="center"/>
          </w:tcPr>
          <w:p>
            <w:pPr>
              <w:snapToGrid w:val="0"/>
              <w:ind w:left="113" w:right="113" w:firstLine="210" w:firstLineChars="100"/>
              <w:rPr>
                <w:rFonts w:ascii="宋体" w:hAnsi="宋体"/>
                <w:sz w:val="21"/>
                <w:szCs w:val="21"/>
              </w:rPr>
            </w:pPr>
            <w:r>
              <w:rPr>
                <w:rFonts w:hint="eastAsia" w:ascii="宋体" w:hAnsi="宋体"/>
                <w:sz w:val="21"/>
                <w:szCs w:val="21"/>
              </w:rPr>
              <w:t>100分</w:t>
            </w:r>
          </w:p>
          <w:p>
            <w:pPr>
              <w:snapToGrid w:val="0"/>
              <w:ind w:left="113" w:right="113" w:firstLine="210" w:firstLineChars="100"/>
              <w:rPr>
                <w:rFonts w:ascii="宋体" w:hAnsi="宋体"/>
                <w:sz w:val="21"/>
                <w:szCs w:val="21"/>
              </w:rPr>
            </w:pPr>
            <w:r>
              <w:rPr>
                <w:rFonts w:hint="eastAsia" w:ascii="宋体" w:hAnsi="宋体"/>
                <w:sz w:val="21"/>
                <w:szCs w:val="21"/>
              </w:rPr>
              <w:t>评标价得分计算公式示例：</w:t>
            </w:r>
          </w:p>
          <w:p>
            <w:pPr>
              <w:snapToGrid w:val="0"/>
              <w:ind w:left="113" w:right="113" w:firstLine="210" w:firstLineChars="100"/>
              <w:rPr>
                <w:rFonts w:ascii="宋体" w:hAnsi="宋体"/>
                <w:sz w:val="21"/>
                <w:szCs w:val="21"/>
              </w:rPr>
            </w:pPr>
            <w:r>
              <w:rPr>
                <w:rFonts w:hint="eastAsia" w:ascii="宋体" w:hAnsi="宋体"/>
                <w:sz w:val="21"/>
                <w:szCs w:val="21"/>
              </w:rPr>
              <w:t>（1）如果投标人的评标价＞评标基准价，则评标价得分=100-偏差率×100×E1；</w:t>
            </w:r>
          </w:p>
          <w:p>
            <w:pPr>
              <w:snapToGrid w:val="0"/>
              <w:ind w:left="113" w:right="113" w:firstLine="210" w:firstLineChars="100"/>
              <w:rPr>
                <w:rFonts w:ascii="宋体" w:hAnsi="宋体"/>
                <w:sz w:val="21"/>
                <w:szCs w:val="21"/>
              </w:rPr>
            </w:pPr>
            <w:r>
              <w:rPr>
                <w:rFonts w:hint="eastAsia" w:ascii="宋体" w:hAnsi="宋体"/>
                <w:sz w:val="21"/>
                <w:szCs w:val="21"/>
              </w:rPr>
              <w:t>（2）如果投标人的评标价≤评标基准价，则评标价得分=100+偏差率×100×E2；</w:t>
            </w:r>
          </w:p>
          <w:p>
            <w:pPr>
              <w:adjustRightInd w:val="0"/>
              <w:snapToGrid w:val="0"/>
              <w:ind w:firstLine="210" w:firstLineChars="100"/>
              <w:rPr>
                <w:rFonts w:ascii="宋体" w:hAnsi="宋体"/>
                <w:sz w:val="21"/>
                <w:szCs w:val="21"/>
              </w:rPr>
            </w:pPr>
            <w:r>
              <w:rPr>
                <w:rFonts w:hint="eastAsia" w:ascii="宋体" w:hAnsi="宋体"/>
                <w:sz w:val="21"/>
                <w:szCs w:val="21"/>
              </w:rPr>
              <w:t>其中：E1是评标价每高于评标基准价一个百分点的扣分值，</w:t>
            </w:r>
            <w:r>
              <w:rPr>
                <w:rFonts w:ascii="宋体" w:hAnsi="宋体"/>
                <w:sz w:val="21"/>
                <w:szCs w:val="21"/>
              </w:rPr>
              <w:t>E</w:t>
            </w:r>
            <w:r>
              <w:rPr>
                <w:rFonts w:hint="eastAsia" w:ascii="宋体" w:hAnsi="宋体"/>
                <w:sz w:val="21"/>
                <w:szCs w:val="21"/>
              </w:rPr>
              <w:t>1＝2；</w:t>
            </w:r>
          </w:p>
          <w:p>
            <w:pPr>
              <w:ind w:firstLine="840" w:firstLineChars="400"/>
              <w:rPr>
                <w:rFonts w:ascii="宋体" w:hAnsi="宋体"/>
                <w:sz w:val="21"/>
                <w:szCs w:val="21"/>
              </w:rPr>
            </w:pPr>
            <w:r>
              <w:rPr>
                <w:rFonts w:hint="eastAsia" w:ascii="宋体" w:hAnsi="宋体"/>
                <w:sz w:val="21"/>
                <w:szCs w:val="21"/>
              </w:rPr>
              <w:t>E2是评标价每低于评标基准价一个百分点的扣分值，</w:t>
            </w:r>
            <w:r>
              <w:rPr>
                <w:rFonts w:ascii="宋体" w:hAnsi="宋体"/>
                <w:sz w:val="21"/>
                <w:szCs w:val="21"/>
              </w:rPr>
              <w:t>E</w:t>
            </w:r>
            <w:r>
              <w:rPr>
                <w:rFonts w:hint="eastAsia" w:ascii="宋体" w:hAnsi="宋体"/>
                <w:sz w:val="21"/>
                <w:szCs w:val="21"/>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46" w:type="dxa"/>
            <w:noWrap w:val="0"/>
            <w:vAlign w:val="center"/>
          </w:tcPr>
          <w:p>
            <w:pPr>
              <w:spacing w:line="276" w:lineRule="auto"/>
              <w:jc w:val="center"/>
              <w:rPr>
                <w:rFonts w:ascii="宋体" w:hAnsi="宋体"/>
                <w:sz w:val="21"/>
                <w:szCs w:val="21"/>
              </w:rPr>
            </w:pPr>
            <w:r>
              <w:rPr>
                <w:rFonts w:hint="eastAsia" w:ascii="宋体" w:hAnsi="宋体"/>
                <w:sz w:val="21"/>
                <w:szCs w:val="21"/>
              </w:rPr>
              <w:t>3.</w:t>
            </w:r>
            <w:r>
              <w:rPr>
                <w:rFonts w:ascii="宋体" w:hAnsi="宋体"/>
                <w:sz w:val="21"/>
                <w:szCs w:val="21"/>
              </w:rPr>
              <w:t>6.1</w:t>
            </w:r>
          </w:p>
        </w:tc>
        <w:tc>
          <w:tcPr>
            <w:tcW w:w="1134" w:type="dxa"/>
            <w:noWrap w:val="0"/>
            <w:vAlign w:val="center"/>
          </w:tcPr>
          <w:p>
            <w:pPr>
              <w:spacing w:line="276" w:lineRule="auto"/>
              <w:jc w:val="center"/>
              <w:rPr>
                <w:rFonts w:ascii="宋体" w:hAnsi="宋体"/>
                <w:sz w:val="21"/>
                <w:szCs w:val="21"/>
              </w:rPr>
            </w:pPr>
            <w:r>
              <w:rPr>
                <w:rFonts w:hint="eastAsia" w:ascii="宋体" w:hAnsi="宋体"/>
                <w:sz w:val="21"/>
                <w:szCs w:val="21"/>
              </w:rPr>
              <w:t>投标文件相关信息核查</w:t>
            </w:r>
          </w:p>
        </w:tc>
        <w:tc>
          <w:tcPr>
            <w:tcW w:w="7363" w:type="dxa"/>
            <w:noWrap w:val="0"/>
            <w:vAlign w:val="center"/>
          </w:tcPr>
          <w:p>
            <w:pPr>
              <w:spacing w:line="276" w:lineRule="auto"/>
              <w:ind w:firstLine="404" w:firstLineChars="200"/>
              <w:jc w:val="left"/>
              <w:rPr>
                <w:rFonts w:ascii="宋体" w:hAnsi="宋体"/>
                <w:spacing w:val="-4"/>
                <w:sz w:val="21"/>
                <w:szCs w:val="21"/>
              </w:rPr>
            </w:pPr>
            <w:r>
              <w:rPr>
                <w:rFonts w:hint="eastAsia" w:ascii="宋体" w:hAnsi="宋体"/>
                <w:spacing w:val="-4"/>
                <w:sz w:val="21"/>
                <w:szCs w:val="21"/>
              </w:rPr>
              <w:t>本条修改为：</w:t>
            </w:r>
          </w:p>
          <w:p>
            <w:pPr>
              <w:spacing w:line="276" w:lineRule="auto"/>
              <w:ind w:firstLine="420" w:firstLineChars="200"/>
              <w:jc w:val="left"/>
              <w:rPr>
                <w:rFonts w:ascii="宋体" w:hAnsi="宋体" w:cs="宋体"/>
                <w:kern w:val="2"/>
                <w:sz w:val="21"/>
                <w:szCs w:val="21"/>
              </w:rPr>
            </w:pPr>
            <w:r>
              <w:rPr>
                <w:rFonts w:hint="eastAsia" w:ascii="宋体" w:hAnsi="宋体" w:cs="宋体"/>
                <w:kern w:val="2"/>
                <w:sz w:val="21"/>
                <w:szCs w:val="21"/>
              </w:rPr>
              <w:t>在评标过程中，评标委员会应对投标人以下信息进行查询：</w:t>
            </w:r>
          </w:p>
          <w:p>
            <w:pPr>
              <w:spacing w:line="276" w:lineRule="auto"/>
              <w:ind w:firstLine="420" w:firstLineChars="200"/>
              <w:jc w:val="left"/>
              <w:rPr>
                <w:rFonts w:hint="eastAsia" w:ascii="宋体" w:hAnsi="宋体" w:cs="宋体"/>
                <w:kern w:val="2"/>
                <w:sz w:val="21"/>
                <w:szCs w:val="21"/>
              </w:rPr>
            </w:pPr>
            <w:r>
              <w:rPr>
                <w:rFonts w:hint="eastAsia" w:ascii="宋体" w:hAnsi="宋体" w:cs="宋体"/>
                <w:kern w:val="2"/>
                <w:sz w:val="21"/>
                <w:szCs w:val="21"/>
              </w:rPr>
              <w:t>（1）投标人名称和资质与“全国建筑市场监管公共服务平台（http://jzsc.mohurd.gov.cn/）”核查的结果一致；</w:t>
            </w:r>
          </w:p>
          <w:p>
            <w:pPr>
              <w:spacing w:line="276" w:lineRule="auto"/>
              <w:ind w:firstLine="420" w:firstLineChars="200"/>
              <w:jc w:val="left"/>
              <w:rPr>
                <w:rFonts w:ascii="宋体" w:hAnsi="宋体" w:cs="宋体"/>
                <w:kern w:val="2"/>
                <w:sz w:val="21"/>
                <w:szCs w:val="21"/>
              </w:rPr>
            </w:pPr>
            <w:r>
              <w:rPr>
                <w:rFonts w:hint="eastAsia" w:ascii="宋体" w:hAnsi="宋体" w:cs="宋体"/>
                <w:kern w:val="2"/>
                <w:sz w:val="21"/>
                <w:szCs w:val="21"/>
              </w:rPr>
              <w:t>（2）所附项目经理二级注册建造师信息的网页截图复印件与“全国建筑市场监管公共服务平台（http://jzsc.mohurd.gov.cn/） ”核查的结果一致；</w:t>
            </w:r>
          </w:p>
          <w:p>
            <w:pPr>
              <w:spacing w:line="276" w:lineRule="auto"/>
              <w:ind w:firstLine="420" w:firstLineChars="200"/>
              <w:jc w:val="left"/>
              <w:rPr>
                <w:rFonts w:ascii="宋体" w:hAnsi="宋体" w:cs="宋体"/>
                <w:kern w:val="2"/>
                <w:sz w:val="21"/>
                <w:szCs w:val="21"/>
              </w:rPr>
            </w:pPr>
            <w:r>
              <w:rPr>
                <w:rFonts w:hint="eastAsia" w:ascii="宋体" w:hAnsi="宋体" w:cs="宋体"/>
                <w:kern w:val="2"/>
                <w:sz w:val="21"/>
                <w:szCs w:val="21"/>
              </w:rPr>
              <w:t>（3）评标委员会评标时在“国家企业信用信息公示系统（http://www.gsxt.gov.cn/)”对投标人的信用情况进行查询，若投标人存在被列入“严重违法失信企业名单”情形的（不含分公司），评标委员会应否决其投标。</w:t>
            </w:r>
          </w:p>
          <w:p>
            <w:pPr>
              <w:spacing w:line="276" w:lineRule="auto"/>
              <w:ind w:firstLine="420" w:firstLineChars="200"/>
              <w:jc w:val="left"/>
              <w:rPr>
                <w:rFonts w:hint="eastAsia" w:ascii="宋体" w:hAnsi="宋体" w:cs="宋体"/>
                <w:kern w:val="2"/>
                <w:sz w:val="21"/>
                <w:szCs w:val="21"/>
              </w:rPr>
            </w:pPr>
            <w:r>
              <w:rPr>
                <w:rFonts w:hint="eastAsia" w:ascii="宋体" w:hAnsi="宋体" w:cs="宋体"/>
                <w:kern w:val="2"/>
                <w:sz w:val="21"/>
                <w:szCs w:val="21"/>
              </w:rPr>
              <w:t>（4）评标委员会评标时在“信用中国网站（http://www.creditchina.gov.cn/)”进行查询，若投标人存在被列入“失信被执行人名单、异常经营名录（或经营异常名录信息查询）、税收违法黑名单（或重大税收违法失信主体）、政府采购严重违法失信行为记录名单”情形的（均不含分公司），评标委员会应否决其投标。</w:t>
            </w:r>
          </w:p>
          <w:p>
            <w:pPr>
              <w:spacing w:line="276" w:lineRule="auto"/>
              <w:ind w:firstLine="404" w:firstLineChars="200"/>
              <w:jc w:val="left"/>
              <w:rPr>
                <w:rFonts w:ascii="宋体" w:hAnsi="宋体"/>
                <w:spacing w:val="-4"/>
                <w:sz w:val="21"/>
                <w:szCs w:val="21"/>
              </w:rPr>
            </w:pPr>
            <w:r>
              <w:rPr>
                <w:rFonts w:hint="eastAsia" w:ascii="宋体" w:hAnsi="宋体"/>
                <w:spacing w:val="-4"/>
                <w:kern w:val="2"/>
                <w:sz w:val="21"/>
                <w:szCs w:val="21"/>
              </w:rPr>
              <w:t>前述（1）、（2）、</w:t>
            </w:r>
            <w:r>
              <w:rPr>
                <w:rFonts w:hint="eastAsia" w:ascii="宋体" w:hAnsi="宋体" w:cs="宋体"/>
                <w:kern w:val="2"/>
                <w:sz w:val="21"/>
                <w:szCs w:val="21"/>
              </w:rPr>
              <w:t>（3）、（4）</w:t>
            </w:r>
            <w:r>
              <w:rPr>
                <w:rFonts w:hint="eastAsia" w:ascii="宋体" w:hAnsi="宋体"/>
                <w:spacing w:val="-4"/>
                <w:kern w:val="2"/>
                <w:sz w:val="21"/>
                <w:szCs w:val="21"/>
              </w:rPr>
              <w:t>项，如投标人未提供相关网页截图或所附截图与复核结果不一致导致不能满足资格评审要求的，评标委员会应否决其投标。</w:t>
            </w:r>
          </w:p>
          <w:p>
            <w:pPr>
              <w:spacing w:line="276" w:lineRule="auto"/>
              <w:ind w:firstLine="404" w:firstLineChars="200"/>
              <w:jc w:val="left"/>
              <w:rPr>
                <w:rFonts w:ascii="宋体" w:hAnsi="宋体" w:cs="宋体"/>
                <w:kern w:val="2"/>
                <w:sz w:val="21"/>
                <w:szCs w:val="21"/>
              </w:rPr>
            </w:pPr>
            <w:r>
              <w:rPr>
                <w:rFonts w:hint="eastAsia" w:ascii="宋体" w:hAnsi="宋体"/>
                <w:spacing w:val="-4"/>
                <w:kern w:val="2"/>
                <w:sz w:val="21"/>
                <w:szCs w:val="21"/>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为，按相关规定处理。</w:t>
            </w:r>
          </w:p>
          <w:p>
            <w:pPr>
              <w:spacing w:line="276" w:lineRule="auto"/>
              <w:ind w:firstLine="420" w:firstLineChars="200"/>
            </w:pPr>
            <w:r>
              <w:rPr>
                <w:rFonts w:hint="eastAsia" w:ascii="宋体" w:hAnsi="宋体" w:cs="宋体"/>
                <w:kern w:val="2"/>
                <w:sz w:val="21"/>
                <w:szCs w:val="21"/>
              </w:rPr>
              <w:t>（5）</w:t>
            </w:r>
            <w:r>
              <w:rPr>
                <w:rFonts w:hint="eastAsia" w:ascii="宋体" w:hAnsi="宋体"/>
                <w:spacing w:val="-4"/>
                <w:kern w:val="2"/>
                <w:sz w:val="21"/>
                <w:szCs w:val="21"/>
              </w:rPr>
              <w:t>评标委员会在评标时按照投标人提供的验证方式对电子保函或电子保证保险进行验证。如投标人未提供电子保函或电子保证保险的验证方式，或根据提供的验证方式无法核实的，评标委员会应否决其投标</w:t>
            </w:r>
            <w:r>
              <w:rPr>
                <w:rFonts w:hint="eastAsia" w:ascii="宋体" w:hAnsi="宋体"/>
                <w:spacing w:val="-4"/>
                <w:sz w:val="21"/>
                <w:szCs w:val="21"/>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5MmIzNmM0MmQzNmQxNDU2NDNjZTJkYzZkYzZlNjcifQ=="/>
  </w:docVars>
  <w:rsids>
    <w:rsidRoot w:val="00000000"/>
    <w:rsid w:val="1A0B577F"/>
    <w:rsid w:val="1E65008B"/>
    <w:rsid w:val="45925DC7"/>
    <w:rsid w:val="5FD86903"/>
    <w:rsid w:val="617D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8"/>
      <w:sz w:val="28"/>
      <w:lang w:val="en-US" w:eastAsia="zh-CN" w:bidi="ar-SA"/>
    </w:rPr>
  </w:style>
  <w:style w:type="paragraph" w:styleId="4">
    <w:name w:val="heading 3"/>
    <w:basedOn w:val="1"/>
    <w:next w:val="1"/>
    <w:qFormat/>
    <w:uiPriority w:val="0"/>
    <w:pPr>
      <w:keepNext/>
      <w:keepLines/>
      <w:spacing w:before="260" w:beforeLines="0" w:after="260" w:afterLines="0" w:line="416" w:lineRule="auto"/>
      <w:outlineLvl w:val="2"/>
    </w:pPr>
    <w:rPr>
      <w:b/>
      <w:bCs/>
      <w:kern w:val="28"/>
      <w:sz w:val="32"/>
      <w:szCs w:val="32"/>
    </w:rPr>
  </w:style>
  <w:style w:type="paragraph" w:styleId="5">
    <w:name w:val="heading 6"/>
    <w:basedOn w:val="1"/>
    <w:next w:val="1"/>
    <w:qFormat/>
    <w:uiPriority w:val="0"/>
    <w:pPr>
      <w:keepNext/>
      <w:keepLines/>
      <w:spacing w:before="240" w:beforeLines="0" w:after="64" w:afterLines="0" w:line="320" w:lineRule="auto"/>
      <w:outlineLvl w:val="5"/>
    </w:pPr>
    <w:rPr>
      <w:rFonts w:ascii="Arial" w:hAnsi="Arial" w:eastAsia="黑体" w:cs="Times New Roman"/>
      <w:b/>
      <w:bCs/>
      <w:kern w:val="2"/>
      <w:sz w:val="24"/>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kern w:val="2"/>
      <w:sz w:val="28"/>
      <w:szCs w:val="24"/>
    </w:rPr>
  </w:style>
  <w:style w:type="paragraph" w:styleId="3">
    <w:name w:val="Body Text 2"/>
    <w:basedOn w:val="1"/>
    <w:uiPriority w:val="0"/>
    <w:rPr>
      <w:kern w:val="2"/>
      <w:sz w:val="28"/>
    </w:rPr>
  </w:style>
  <w:style w:type="paragraph" w:styleId="6">
    <w:name w:val="annotation text"/>
    <w:basedOn w:val="1"/>
    <w:uiPriority w:val="0"/>
    <w:pPr>
      <w:jc w:val="left"/>
    </w:pPr>
    <w:rPr>
      <w:rFonts w:ascii="Times New Roman" w:hAnsi="Times New Roman" w:eastAsia="宋体" w:cs="Times New Roman"/>
      <w:kern w:val="2"/>
      <w:sz w:val="21"/>
    </w:rPr>
  </w:style>
  <w:style w:type="paragraph" w:styleId="7">
    <w:name w:val="Normal (Web)"/>
    <w:basedOn w:val="1"/>
    <w:qFormat/>
    <w:uiPriority w:val="0"/>
    <w:pPr>
      <w:widowControl/>
      <w:spacing w:before="100" w:beforeLines="0" w:beforeAutospacing="1" w:after="100" w:afterLines="0" w:afterAutospacing="1" w:line="432" w:lineRule="auto"/>
      <w:ind w:firstLine="480"/>
      <w:jc w:val="left"/>
    </w:pPr>
    <w:rPr>
      <w:rFonts w:ascii="宋体" w:hAnsi="宋体" w:cs="宋体"/>
      <w:sz w:val="24"/>
      <w:szCs w:val="24"/>
    </w:rPr>
  </w:style>
  <w:style w:type="paragraph" w:customStyle="1" w:styleId="10">
    <w:name w:val="UserStyle_340"/>
    <w:basedOn w:val="1"/>
    <w:qFormat/>
    <w:uiPriority w:val="0"/>
    <w:pPr>
      <w:widowControl/>
      <w:spacing w:line="340" w:lineRule="exact"/>
      <w:jc w:val="center"/>
    </w:pPr>
    <w:rPr>
      <w:rFonts w:ascii="宋体" w:hAnsi="Calibri"/>
      <w:bCs/>
      <w:color w:val="000000"/>
      <w:kern w:val="0"/>
      <w:szCs w:val="21"/>
    </w:rPr>
  </w:style>
  <w:style w:type="character" w:customStyle="1" w:styleId="11">
    <w:name w:val="NormalCharacter"/>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2023-09-26T00:28:00Z</dcterms:created>
  <dc:creator>Administrator</dc:creator>
  <cp:lastModifiedBy>李娜</cp:lastModifiedBy>
  <dcterms:modified xsi:type="dcterms:W3CDTF">2023-09-26T00:40:29Z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457548025EAC45B7ADA410C3B0B08E3C_12</vt:lpwstr>
  </property>
</Properties>
</file>