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outlineLvl w:val="2"/>
        <w:rPr>
          <w:rStyle w:val="11"/>
          <w:rFonts w:hint="eastAsia" w:ascii="宋体" w:hAnsi="宋体" w:eastAsia="宋体" w:cs="仿宋"/>
          <w:b/>
          <w:color w:val="auto"/>
          <w:highlight w:val="none"/>
        </w:rPr>
      </w:pPr>
      <w:bookmarkStart w:id="1" w:name="_GoBack"/>
      <w:bookmarkEnd w:id="1"/>
      <w:r>
        <w:rPr>
          <w:rStyle w:val="11"/>
          <w:rFonts w:hint="eastAsia" w:ascii="宋体" w:hAnsi="宋体" w:eastAsia="宋体" w:cs="仿宋"/>
          <w:b/>
          <w:color w:val="auto"/>
          <w:highlight w:val="none"/>
        </w:rPr>
        <w:t>附件3 评标办法</w:t>
      </w:r>
    </w:p>
    <w:p>
      <w:pPr>
        <w:pStyle w:val="4"/>
        <w:snapToGrid w:val="0"/>
        <w:spacing w:before="120" w:after="120" w:line="240" w:lineRule="auto"/>
        <w:rPr>
          <w:rFonts w:hint="eastAsia" w:ascii="宋体" w:hAnsi="宋体" w:cs="仿宋"/>
          <w:color w:val="auto"/>
          <w:sz w:val="24"/>
          <w:szCs w:val="24"/>
          <w:highlight w:val="none"/>
        </w:rPr>
      </w:pPr>
      <w:bookmarkStart w:id="0" w:name="_Toc514824391"/>
      <w:r>
        <w:rPr>
          <w:rFonts w:hint="eastAsia" w:ascii="宋体" w:hAnsi="宋体" w:cs="仿宋"/>
          <w:color w:val="auto"/>
          <w:sz w:val="24"/>
          <w:szCs w:val="24"/>
          <w:highlight w:val="none"/>
        </w:rPr>
        <w:t>评标办法前附表</w:t>
      </w:r>
      <w:bookmarkEnd w:id="0"/>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01"/>
        <w:gridCol w:w="1400"/>
        <w:gridCol w:w="7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7" w:hRule="atLeast"/>
          <w:jc w:val="center"/>
        </w:trPr>
        <w:tc>
          <w:tcPr>
            <w:tcW w:w="2301" w:type="dxa"/>
            <w:gridSpan w:val="2"/>
            <w:noWrap w:val="0"/>
            <w:vAlign w:val="center"/>
          </w:tcPr>
          <w:p>
            <w:pPr>
              <w:pStyle w:val="7"/>
              <w:adjustRightInd w:val="0"/>
              <w:snapToGrid w:val="0"/>
              <w:spacing w:before="0" w:beforeAutospacing="0" w:after="0" w:afterAutospacing="0"/>
              <w:jc w:val="center"/>
              <w:rPr>
                <w:rFonts w:hint="eastAsia" w:cs="仿宋"/>
                <w:color w:val="auto"/>
                <w:sz w:val="21"/>
                <w:szCs w:val="21"/>
                <w:highlight w:val="none"/>
              </w:rPr>
            </w:pPr>
            <w:r>
              <w:rPr>
                <w:rFonts w:hint="eastAsia" w:cs="仿宋"/>
                <w:b/>
                <w:color w:val="auto"/>
                <w:sz w:val="21"/>
                <w:szCs w:val="21"/>
                <w:highlight w:val="none"/>
              </w:rPr>
              <w:t>条款号</w:t>
            </w:r>
          </w:p>
        </w:tc>
        <w:tc>
          <w:tcPr>
            <w:tcW w:w="7117" w:type="dxa"/>
            <w:noWrap w:val="0"/>
            <w:vAlign w:val="center"/>
          </w:tcPr>
          <w:p>
            <w:pPr>
              <w:pStyle w:val="7"/>
              <w:adjustRightInd w:val="0"/>
              <w:snapToGrid w:val="0"/>
              <w:spacing w:before="0" w:beforeAutospacing="0" w:after="0" w:afterAutospacing="0"/>
              <w:jc w:val="center"/>
              <w:rPr>
                <w:rFonts w:hint="eastAsia" w:cs="仿宋"/>
                <w:color w:val="auto"/>
                <w:sz w:val="21"/>
                <w:szCs w:val="21"/>
                <w:highlight w:val="none"/>
              </w:rPr>
            </w:pPr>
            <w:r>
              <w:rPr>
                <w:rFonts w:hint="eastAsia" w:cs="仿宋"/>
                <w:b/>
                <w:color w:val="auto"/>
                <w:sz w:val="21"/>
                <w:szCs w:val="21"/>
                <w:highlight w:val="none"/>
              </w:rPr>
              <w:t>评审因素与标准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63" w:hRule="atLeast"/>
          <w:jc w:val="center"/>
        </w:trPr>
        <w:tc>
          <w:tcPr>
            <w:tcW w:w="901" w:type="dxa"/>
            <w:noWrap w:val="0"/>
            <w:vAlign w:val="center"/>
          </w:tcPr>
          <w:p>
            <w:pPr>
              <w:pStyle w:val="7"/>
              <w:adjustRightInd w:val="0"/>
              <w:snapToGrid w:val="0"/>
              <w:spacing w:before="0" w:beforeAutospacing="0" w:after="0" w:afterAutospacing="0"/>
              <w:jc w:val="center"/>
              <w:rPr>
                <w:rFonts w:hint="eastAsia" w:cs="仿宋"/>
                <w:color w:val="auto"/>
                <w:kern w:val="2"/>
                <w:sz w:val="21"/>
                <w:szCs w:val="21"/>
                <w:highlight w:val="none"/>
              </w:rPr>
            </w:pPr>
            <w:r>
              <w:rPr>
                <w:rFonts w:hint="eastAsia" w:cs="仿宋"/>
                <w:color w:val="auto"/>
                <w:kern w:val="2"/>
                <w:sz w:val="21"/>
                <w:szCs w:val="21"/>
                <w:highlight w:val="none"/>
              </w:rPr>
              <w:t>1</w:t>
            </w:r>
          </w:p>
        </w:tc>
        <w:tc>
          <w:tcPr>
            <w:tcW w:w="1400" w:type="dxa"/>
            <w:noWrap w:val="0"/>
            <w:vAlign w:val="center"/>
          </w:tcPr>
          <w:p>
            <w:pPr>
              <w:pStyle w:val="7"/>
              <w:adjustRightInd w:val="0"/>
              <w:snapToGrid w:val="0"/>
              <w:spacing w:before="0" w:beforeAutospacing="0" w:after="0" w:afterAutospacing="0"/>
              <w:jc w:val="center"/>
              <w:rPr>
                <w:rFonts w:hint="eastAsia" w:cs="仿宋"/>
                <w:color w:val="auto"/>
                <w:kern w:val="2"/>
                <w:sz w:val="21"/>
                <w:szCs w:val="21"/>
                <w:highlight w:val="none"/>
              </w:rPr>
            </w:pPr>
            <w:r>
              <w:rPr>
                <w:rFonts w:hint="eastAsia" w:cs="仿宋"/>
                <w:color w:val="auto"/>
                <w:kern w:val="2"/>
                <w:sz w:val="21"/>
                <w:szCs w:val="21"/>
                <w:highlight w:val="none"/>
              </w:rPr>
              <w:t>评标办法</w:t>
            </w:r>
          </w:p>
        </w:tc>
        <w:tc>
          <w:tcPr>
            <w:tcW w:w="7117" w:type="dxa"/>
            <w:noWrap w:val="0"/>
            <w:vAlign w:val="center"/>
          </w:tcPr>
          <w:p>
            <w:pPr>
              <w:spacing w:line="400" w:lineRule="exact"/>
              <w:jc w:val="left"/>
              <w:rPr>
                <w:rFonts w:hint="eastAsia" w:ascii="宋体" w:hAnsi="宋体" w:cs="仿宋"/>
                <w:color w:val="auto"/>
                <w:szCs w:val="21"/>
                <w:highlight w:val="none"/>
              </w:rPr>
            </w:pPr>
            <w:r>
              <w:rPr>
                <w:rFonts w:hint="eastAsia" w:ascii="宋体" w:hAnsi="宋体" w:cs="仿宋"/>
                <w:color w:val="auto"/>
                <w:szCs w:val="21"/>
                <w:highlight w:val="none"/>
              </w:rPr>
              <w:t>本次评标采用综合评估法。评标委员会对满足招标文件实质性要求的投标文件，按照本章第2.2款规定的评分标准进行打分，并按综合得分由高到低顺序推荐1-3名中标候选人。综合评分相等时，评标委员会依次按照以下优先顺序推荐中标候选人：</w:t>
            </w:r>
          </w:p>
          <w:p>
            <w:pPr>
              <w:spacing w:line="400" w:lineRule="exact"/>
              <w:jc w:val="left"/>
              <w:rPr>
                <w:rFonts w:hint="eastAsia" w:ascii="宋体" w:hAnsi="宋体" w:cs="仿宋"/>
                <w:color w:val="auto"/>
                <w:szCs w:val="21"/>
                <w:highlight w:val="none"/>
              </w:rPr>
            </w:pPr>
            <w:r>
              <w:rPr>
                <w:rFonts w:hint="eastAsia" w:ascii="宋体" w:hAnsi="宋体" w:cs="仿宋"/>
                <w:color w:val="auto"/>
                <w:szCs w:val="21"/>
                <w:highlight w:val="none"/>
              </w:rPr>
              <w:t>（1）评标价低的投标人优先；</w:t>
            </w:r>
          </w:p>
          <w:p>
            <w:pPr>
              <w:spacing w:line="400" w:lineRule="exact"/>
              <w:jc w:val="left"/>
              <w:rPr>
                <w:rFonts w:hint="eastAsia" w:ascii="宋体" w:hAnsi="宋体" w:cs="仿宋"/>
                <w:color w:val="auto"/>
                <w:szCs w:val="21"/>
                <w:highlight w:val="none"/>
              </w:rPr>
            </w:pPr>
            <w:r>
              <w:rPr>
                <w:rFonts w:hint="eastAsia" w:ascii="宋体" w:hAnsi="宋体" w:cs="仿宋"/>
                <w:color w:val="auto"/>
                <w:szCs w:val="21"/>
                <w:highlight w:val="none"/>
              </w:rPr>
              <w:t>（2）技术建议书得分较高的投标人优先；</w:t>
            </w:r>
          </w:p>
          <w:p>
            <w:pPr>
              <w:spacing w:line="400" w:lineRule="exact"/>
              <w:jc w:val="left"/>
              <w:rPr>
                <w:rFonts w:hint="eastAsia" w:ascii="宋体" w:hAnsi="宋体" w:cs="仿宋"/>
                <w:color w:val="auto"/>
                <w:szCs w:val="21"/>
                <w:highlight w:val="none"/>
              </w:rPr>
            </w:pPr>
            <w:r>
              <w:rPr>
                <w:rFonts w:hint="eastAsia" w:ascii="宋体" w:hAnsi="宋体" w:cs="仿宋"/>
                <w:color w:val="auto"/>
                <w:szCs w:val="21"/>
                <w:highlight w:val="none"/>
              </w:rPr>
              <w:t>（3）投标人满足资格审查条件(业绩最低要求)的业绩累计金额高的优先。</w:t>
            </w:r>
          </w:p>
          <w:p>
            <w:pPr>
              <w:spacing w:line="400" w:lineRule="exact"/>
              <w:jc w:val="left"/>
              <w:rPr>
                <w:rFonts w:hint="eastAsia" w:ascii="宋体" w:hAnsi="宋体" w:cs="仿宋"/>
                <w:color w:val="auto"/>
                <w:szCs w:val="21"/>
                <w:highlight w:val="none"/>
              </w:rPr>
            </w:pPr>
            <w:r>
              <w:rPr>
                <w:rFonts w:hint="eastAsia" w:ascii="宋体" w:hAnsi="宋体" w:cs="仿宋"/>
                <w:color w:val="auto"/>
                <w:szCs w:val="21"/>
                <w:highlight w:val="none"/>
              </w:rPr>
              <w:t>通过第一个信封（商务及技术文件）评审的投标人少于3个的，评标委员会可以否决全部投标；未否决全部投标的，评标委员会应当在评标报告中阐明理由；通过第二个信封（报价文件）评审的投标人少于3个的，评标委员会可以否决全部投标；未否决全部投标的，评标委员会应当在评标报告中阐明理由并推荐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89" w:hRule="atLeast"/>
          <w:jc w:val="center"/>
        </w:trPr>
        <w:tc>
          <w:tcPr>
            <w:tcW w:w="901" w:type="dxa"/>
            <w:noWrap w:val="0"/>
            <w:vAlign w:val="center"/>
          </w:tcPr>
          <w:p>
            <w:pPr>
              <w:pStyle w:val="7"/>
              <w:adjustRightInd w:val="0"/>
              <w:snapToGrid w:val="0"/>
              <w:spacing w:before="0" w:beforeAutospacing="0" w:after="0" w:afterAutospacing="0"/>
              <w:jc w:val="center"/>
              <w:rPr>
                <w:rFonts w:hint="eastAsia" w:cs="仿宋"/>
                <w:color w:val="auto"/>
                <w:kern w:val="2"/>
                <w:sz w:val="21"/>
                <w:szCs w:val="21"/>
                <w:highlight w:val="none"/>
              </w:rPr>
            </w:pPr>
            <w:r>
              <w:rPr>
                <w:rFonts w:hint="eastAsia" w:cs="仿宋"/>
                <w:color w:val="auto"/>
                <w:kern w:val="2"/>
                <w:sz w:val="21"/>
                <w:szCs w:val="21"/>
                <w:highlight w:val="none"/>
              </w:rPr>
              <w:t>2.1.1</w:t>
            </w:r>
          </w:p>
          <w:p>
            <w:pPr>
              <w:pStyle w:val="7"/>
              <w:adjustRightInd w:val="0"/>
              <w:snapToGrid w:val="0"/>
              <w:spacing w:before="0" w:beforeAutospacing="0" w:after="0" w:afterAutospacing="0"/>
              <w:jc w:val="center"/>
              <w:rPr>
                <w:rFonts w:hint="eastAsia" w:cs="仿宋"/>
                <w:color w:val="auto"/>
                <w:kern w:val="2"/>
                <w:sz w:val="21"/>
                <w:szCs w:val="21"/>
                <w:highlight w:val="none"/>
              </w:rPr>
            </w:pPr>
            <w:r>
              <w:rPr>
                <w:rFonts w:hint="eastAsia" w:cs="仿宋"/>
                <w:color w:val="auto"/>
                <w:kern w:val="2"/>
                <w:sz w:val="21"/>
                <w:szCs w:val="21"/>
                <w:highlight w:val="none"/>
              </w:rPr>
              <w:t>2.1.3</w:t>
            </w:r>
          </w:p>
        </w:tc>
        <w:tc>
          <w:tcPr>
            <w:tcW w:w="1400" w:type="dxa"/>
            <w:noWrap w:val="0"/>
            <w:vAlign w:val="center"/>
          </w:tcPr>
          <w:p>
            <w:pPr>
              <w:pStyle w:val="7"/>
              <w:adjustRightInd w:val="0"/>
              <w:snapToGrid w:val="0"/>
              <w:spacing w:before="0" w:beforeAutospacing="0" w:after="0" w:afterAutospacing="0"/>
              <w:jc w:val="center"/>
              <w:rPr>
                <w:rFonts w:hint="eastAsia" w:cs="仿宋"/>
                <w:color w:val="auto"/>
                <w:kern w:val="2"/>
                <w:sz w:val="21"/>
                <w:szCs w:val="21"/>
                <w:highlight w:val="none"/>
              </w:rPr>
            </w:pPr>
            <w:r>
              <w:rPr>
                <w:rFonts w:hint="eastAsia" w:cs="仿宋"/>
                <w:color w:val="auto"/>
                <w:kern w:val="2"/>
                <w:sz w:val="21"/>
                <w:szCs w:val="21"/>
                <w:highlight w:val="none"/>
              </w:rPr>
              <w:t>形式评审与响应性评审标准</w:t>
            </w:r>
          </w:p>
        </w:tc>
        <w:tc>
          <w:tcPr>
            <w:tcW w:w="7117" w:type="dxa"/>
            <w:noWrap w:val="0"/>
            <w:vAlign w:val="center"/>
          </w:tcPr>
          <w:p>
            <w:pPr>
              <w:spacing w:line="400" w:lineRule="exact"/>
              <w:jc w:val="left"/>
              <w:rPr>
                <w:rFonts w:hint="eastAsia" w:ascii="宋体" w:hAnsi="宋体" w:cs="仿宋"/>
                <w:color w:val="auto"/>
                <w:szCs w:val="21"/>
                <w:highlight w:val="none"/>
              </w:rPr>
            </w:pPr>
            <w:r>
              <w:rPr>
                <w:rFonts w:hint="eastAsia" w:ascii="宋体" w:hAnsi="宋体" w:cs="仿宋"/>
                <w:b/>
                <w:bCs/>
                <w:color w:val="auto"/>
                <w:szCs w:val="21"/>
                <w:highlight w:val="none"/>
              </w:rPr>
              <w:t>第一个信封（商务及技术文件）评审标准：</w:t>
            </w:r>
            <w:r>
              <w:rPr>
                <w:rFonts w:hint="eastAsia" w:ascii="宋体" w:hAnsi="宋体" w:cs="仿宋"/>
                <w:color w:val="auto"/>
                <w:szCs w:val="21"/>
                <w:highlight w:val="none"/>
              </w:rPr>
              <w:t xml:space="preserve"> </w:t>
            </w:r>
          </w:p>
          <w:p>
            <w:pPr>
              <w:spacing w:line="400" w:lineRule="exact"/>
              <w:jc w:val="left"/>
              <w:rPr>
                <w:rFonts w:hint="eastAsia" w:ascii="宋体" w:hAnsi="宋体" w:cs="仿宋"/>
                <w:color w:val="auto"/>
                <w:szCs w:val="21"/>
                <w:highlight w:val="none"/>
              </w:rPr>
            </w:pPr>
            <w:r>
              <w:rPr>
                <w:rFonts w:hint="eastAsia" w:ascii="宋体" w:hAnsi="宋体" w:cs="仿宋"/>
                <w:color w:val="auto"/>
                <w:szCs w:val="21"/>
                <w:highlight w:val="none"/>
              </w:rPr>
              <w:t>（1）投标文件按照招标文件规定的格式、内容填写，字迹清晰可辨：</w:t>
            </w:r>
          </w:p>
          <w:p>
            <w:pPr>
              <w:spacing w:line="400" w:lineRule="exact"/>
              <w:jc w:val="left"/>
              <w:rPr>
                <w:rFonts w:hint="eastAsia" w:ascii="宋体" w:hAnsi="宋体" w:cs="仿宋"/>
                <w:color w:val="auto"/>
                <w:szCs w:val="21"/>
                <w:highlight w:val="none"/>
              </w:rPr>
            </w:pPr>
            <w:r>
              <w:rPr>
                <w:rFonts w:hint="eastAsia" w:ascii="宋体" w:hAnsi="宋体" w:cs="仿宋"/>
                <w:color w:val="auto"/>
                <w:szCs w:val="21"/>
                <w:highlight w:val="none"/>
              </w:rPr>
              <w:t>a．投标函按招标文件规定填报了项目名称（招标编号）、补遗书编号（如有）、服务期限、项目负责人、质量要求、安全目标、服务期限等信息；</w:t>
            </w:r>
          </w:p>
          <w:p>
            <w:pPr>
              <w:spacing w:line="400" w:lineRule="exact"/>
              <w:jc w:val="left"/>
              <w:rPr>
                <w:rFonts w:hint="eastAsia" w:ascii="宋体" w:hAnsi="宋体" w:cs="仿宋"/>
                <w:color w:val="auto"/>
                <w:szCs w:val="21"/>
                <w:highlight w:val="none"/>
              </w:rPr>
            </w:pPr>
            <w:r>
              <w:rPr>
                <w:rFonts w:hint="eastAsia" w:ascii="宋体" w:hAnsi="宋体" w:cs="仿宋"/>
                <w:color w:val="auto"/>
                <w:szCs w:val="21"/>
                <w:highlight w:val="none"/>
              </w:rPr>
              <w:t>b．投标文件组成齐全完整，内容均按规定填写。</w:t>
            </w:r>
          </w:p>
          <w:p>
            <w:pPr>
              <w:spacing w:line="400" w:lineRule="exact"/>
              <w:jc w:val="left"/>
              <w:rPr>
                <w:rFonts w:hint="eastAsia" w:ascii="宋体" w:hAnsi="宋体" w:cs="仿宋"/>
                <w:color w:val="auto"/>
                <w:szCs w:val="21"/>
                <w:highlight w:val="none"/>
              </w:rPr>
            </w:pPr>
            <w:r>
              <w:rPr>
                <w:rFonts w:hint="eastAsia" w:ascii="宋体" w:hAnsi="宋体" w:cs="仿宋"/>
                <w:color w:val="auto"/>
                <w:szCs w:val="21"/>
                <w:highlight w:val="none"/>
              </w:rPr>
              <w:t xml:space="preserve">（2）投标文件上法定代表人或其委托代理人的签字、投标人的单位盖章齐全，符合招标文件规定。 </w:t>
            </w:r>
          </w:p>
          <w:p>
            <w:pPr>
              <w:spacing w:line="400" w:lineRule="exact"/>
              <w:jc w:val="left"/>
              <w:rPr>
                <w:rFonts w:hint="eastAsia" w:ascii="宋体" w:hAnsi="宋体" w:cs="仿宋"/>
                <w:color w:val="auto"/>
                <w:szCs w:val="21"/>
                <w:highlight w:val="none"/>
              </w:rPr>
            </w:pPr>
            <w:r>
              <w:rPr>
                <w:rFonts w:hint="eastAsia" w:ascii="宋体" w:hAnsi="宋体" w:cs="仿宋"/>
                <w:color w:val="auto"/>
                <w:szCs w:val="21"/>
                <w:highlight w:val="none"/>
              </w:rPr>
              <w:t xml:space="preserve">（3）投标人按照招标文件的规定提供了投标保证金： </w:t>
            </w:r>
          </w:p>
          <w:p>
            <w:pPr>
              <w:spacing w:line="400" w:lineRule="exact"/>
              <w:jc w:val="left"/>
              <w:rPr>
                <w:rFonts w:hint="eastAsia" w:ascii="宋体" w:hAnsi="宋体" w:cs="仿宋"/>
                <w:color w:val="auto"/>
                <w:szCs w:val="21"/>
                <w:highlight w:val="none"/>
              </w:rPr>
            </w:pPr>
            <w:r>
              <w:rPr>
                <w:rFonts w:hint="eastAsia" w:ascii="宋体" w:hAnsi="宋体" w:cs="仿宋"/>
                <w:color w:val="auto"/>
                <w:szCs w:val="21"/>
                <w:highlight w:val="none"/>
              </w:rPr>
              <w:t>a.投标保证金金额符合招标文件规定的金额，且投标保证金有效期不少于投标有效期；</w:t>
            </w:r>
          </w:p>
          <w:p>
            <w:pPr>
              <w:spacing w:line="400" w:lineRule="exact"/>
              <w:jc w:val="left"/>
              <w:rPr>
                <w:rFonts w:hint="eastAsia" w:ascii="宋体" w:hAnsi="宋体" w:cs="仿宋"/>
                <w:color w:val="auto"/>
                <w:szCs w:val="21"/>
                <w:highlight w:val="none"/>
              </w:rPr>
            </w:pPr>
            <w:r>
              <w:rPr>
                <w:rFonts w:hint="eastAsia" w:ascii="宋体" w:hAnsi="宋体" w:cs="仿宋"/>
                <w:color w:val="auto"/>
                <w:szCs w:val="21"/>
                <w:highlight w:val="none"/>
              </w:rPr>
              <w:t>b.若投标保证金采用电汇或转账形式提交，投标人应在递交投标文件截止时间之前，将投标保证金由投标人的基本账户转入招标人指定账户；</w:t>
            </w:r>
          </w:p>
          <w:p>
            <w:pPr>
              <w:spacing w:line="400" w:lineRule="exact"/>
              <w:jc w:val="left"/>
              <w:rPr>
                <w:rFonts w:hint="eastAsia" w:ascii="宋体" w:hAnsi="宋体" w:cs="仿宋"/>
                <w:color w:val="auto"/>
                <w:szCs w:val="21"/>
                <w:highlight w:val="none"/>
              </w:rPr>
            </w:pPr>
            <w:r>
              <w:rPr>
                <w:rFonts w:hint="eastAsia" w:ascii="宋体" w:hAnsi="宋体" w:cs="仿宋"/>
                <w:color w:val="auto"/>
                <w:szCs w:val="21"/>
                <w:highlight w:val="none"/>
              </w:rPr>
              <w:t>c.若投标保证金采用银行保函形式提交，银行保函的格式、开具保函的银行均满足招标文件要求，如为纸质银行保函还需在递交投标文件截止时间之前向招标人提交了银行保函原件；</w:t>
            </w:r>
          </w:p>
          <w:p>
            <w:pPr>
              <w:spacing w:line="400" w:lineRule="exact"/>
              <w:jc w:val="left"/>
              <w:rPr>
                <w:rFonts w:hint="eastAsia" w:ascii="宋体" w:hAnsi="宋体" w:cs="仿宋"/>
                <w:color w:val="auto"/>
                <w:szCs w:val="21"/>
                <w:highlight w:val="none"/>
              </w:rPr>
            </w:pPr>
            <w:r>
              <w:rPr>
                <w:rFonts w:hint="eastAsia" w:ascii="宋体" w:hAnsi="宋体" w:cs="仿宋"/>
                <w:color w:val="auto"/>
                <w:szCs w:val="21"/>
                <w:highlight w:val="none"/>
              </w:rPr>
              <w:t>d．若投标保证金采用保证保险或担保保函形式提交，投标人应满足招标文件要求。如为纸质保证保险、纸质担保保函还需在递交投标文件截止时间之前向招标人提交了纸质保证保险、纸质担保保函原件。</w:t>
            </w:r>
          </w:p>
          <w:p>
            <w:pPr>
              <w:spacing w:line="400" w:lineRule="exact"/>
              <w:jc w:val="left"/>
              <w:rPr>
                <w:rFonts w:hint="eastAsia" w:ascii="宋体" w:hAnsi="宋体" w:cs="仿宋"/>
                <w:color w:val="auto"/>
                <w:szCs w:val="21"/>
                <w:highlight w:val="none"/>
              </w:rPr>
            </w:pPr>
            <w:r>
              <w:rPr>
                <w:rFonts w:hint="eastAsia" w:ascii="宋体" w:hAnsi="宋体" w:cs="仿宋"/>
                <w:color w:val="auto"/>
                <w:szCs w:val="21"/>
                <w:highlight w:val="none"/>
              </w:rPr>
              <w:t>（4）若为投标人法定代表人授权委托代理人签署投标文件的，须提交授权委托书；符合招标文件规定。</w:t>
            </w:r>
          </w:p>
          <w:p>
            <w:pPr>
              <w:spacing w:line="400" w:lineRule="exact"/>
              <w:jc w:val="left"/>
              <w:rPr>
                <w:rFonts w:hint="eastAsia" w:ascii="宋体" w:hAnsi="宋体" w:cs="仿宋"/>
                <w:color w:val="auto"/>
                <w:szCs w:val="21"/>
                <w:highlight w:val="none"/>
              </w:rPr>
            </w:pPr>
            <w:r>
              <w:rPr>
                <w:rFonts w:hint="eastAsia" w:ascii="宋体" w:hAnsi="宋体" w:cs="仿宋"/>
                <w:color w:val="auto"/>
                <w:szCs w:val="21"/>
                <w:highlight w:val="none"/>
              </w:rPr>
              <w:t>（5）若为投标人法定代表人若亲自签署投标文件的，提供了法定代表人身份证明；符合招标文件规定。</w:t>
            </w:r>
          </w:p>
          <w:p>
            <w:pPr>
              <w:spacing w:line="400" w:lineRule="exact"/>
              <w:jc w:val="left"/>
              <w:rPr>
                <w:rFonts w:hint="eastAsia" w:ascii="宋体" w:hAnsi="宋体" w:cs="仿宋"/>
                <w:color w:val="auto"/>
                <w:szCs w:val="21"/>
                <w:highlight w:val="none"/>
              </w:rPr>
            </w:pPr>
            <w:r>
              <w:rPr>
                <w:rFonts w:hint="eastAsia" w:ascii="宋体" w:hAnsi="宋体" w:cs="仿宋"/>
                <w:color w:val="auto"/>
                <w:szCs w:val="21"/>
                <w:highlight w:val="none"/>
              </w:rPr>
              <w:t xml:space="preserve">（6）投标人未以联合体形式投标。 </w:t>
            </w:r>
          </w:p>
          <w:p>
            <w:pPr>
              <w:snapToGrid w:val="0"/>
              <w:spacing w:line="360" w:lineRule="exact"/>
              <w:rPr>
                <w:rFonts w:hint="eastAsia" w:ascii="宋体" w:hAnsi="宋体" w:cs="宋体"/>
                <w:color w:val="auto"/>
                <w:kern w:val="0"/>
                <w:sz w:val="20"/>
                <w:szCs w:val="21"/>
                <w:highlight w:val="none"/>
              </w:rPr>
            </w:pPr>
            <w:r>
              <w:rPr>
                <w:rFonts w:hint="eastAsia" w:ascii="宋体" w:hAnsi="宋体" w:cs="宋体"/>
                <w:color w:val="auto"/>
                <w:kern w:val="0"/>
                <w:szCs w:val="21"/>
                <w:highlight w:val="none"/>
              </w:rPr>
              <w:t>（7）</w:t>
            </w:r>
            <w:r>
              <w:rPr>
                <w:rFonts w:hint="eastAsia" w:ascii="宋体" w:hAnsi="宋体"/>
                <w:color w:val="auto"/>
                <w:szCs w:val="21"/>
                <w:highlight w:val="none"/>
              </w:rPr>
              <w:t>投标人</w:t>
            </w:r>
            <w:r>
              <w:rPr>
                <w:rFonts w:hint="eastAsia" w:ascii="宋体" w:hAnsi="宋体" w:cs="宋体"/>
                <w:color w:val="auto"/>
                <w:kern w:val="0"/>
                <w:szCs w:val="21"/>
                <w:highlight w:val="none"/>
              </w:rPr>
              <w:t>未对本项目提出分包计划。</w:t>
            </w:r>
          </w:p>
          <w:p>
            <w:pPr>
              <w:spacing w:line="400" w:lineRule="exact"/>
              <w:jc w:val="left"/>
              <w:rPr>
                <w:rFonts w:hint="eastAsia" w:ascii="宋体" w:hAnsi="宋体" w:cs="仿宋"/>
                <w:color w:val="auto"/>
                <w:szCs w:val="21"/>
                <w:highlight w:val="none"/>
              </w:rPr>
            </w:pPr>
            <w:r>
              <w:rPr>
                <w:rFonts w:hint="eastAsia" w:ascii="宋体" w:hAnsi="宋体" w:cs="仿宋"/>
                <w:color w:val="auto"/>
                <w:szCs w:val="21"/>
                <w:highlight w:val="none"/>
              </w:rPr>
              <w:t>（8）同一投标人未提交两个以上不同的投标文件。</w:t>
            </w:r>
          </w:p>
          <w:p>
            <w:pPr>
              <w:spacing w:line="400" w:lineRule="exact"/>
              <w:jc w:val="left"/>
              <w:rPr>
                <w:rFonts w:hint="eastAsia" w:ascii="宋体" w:hAnsi="宋体" w:cs="仿宋"/>
                <w:color w:val="auto"/>
                <w:szCs w:val="21"/>
                <w:highlight w:val="none"/>
              </w:rPr>
            </w:pPr>
            <w:r>
              <w:rPr>
                <w:rFonts w:hint="eastAsia" w:ascii="宋体" w:hAnsi="宋体" w:cs="仿宋"/>
                <w:color w:val="auto"/>
                <w:szCs w:val="21"/>
                <w:highlight w:val="none"/>
              </w:rPr>
              <w:t xml:space="preserve">（9）投标文件中未出现有关投标报价的内容。 </w:t>
            </w:r>
          </w:p>
          <w:p>
            <w:pPr>
              <w:spacing w:line="400" w:lineRule="exact"/>
              <w:jc w:val="left"/>
              <w:rPr>
                <w:rFonts w:hint="eastAsia" w:ascii="宋体" w:hAnsi="宋体" w:cs="仿宋"/>
                <w:color w:val="auto"/>
                <w:szCs w:val="21"/>
                <w:highlight w:val="none"/>
              </w:rPr>
            </w:pPr>
            <w:r>
              <w:rPr>
                <w:rFonts w:hint="eastAsia" w:ascii="宋体" w:hAnsi="宋体" w:cs="仿宋"/>
                <w:color w:val="auto"/>
                <w:szCs w:val="21"/>
                <w:highlight w:val="none"/>
              </w:rPr>
              <w:t xml:space="preserve">（10）投标文件载明的招标项目完成期限满足招标文件规定的时限。 </w:t>
            </w:r>
          </w:p>
          <w:p>
            <w:pPr>
              <w:spacing w:line="400" w:lineRule="exact"/>
              <w:jc w:val="left"/>
              <w:rPr>
                <w:rFonts w:hint="eastAsia" w:ascii="宋体" w:hAnsi="宋体" w:cs="仿宋"/>
                <w:color w:val="auto"/>
                <w:szCs w:val="21"/>
                <w:highlight w:val="none"/>
              </w:rPr>
            </w:pPr>
            <w:r>
              <w:rPr>
                <w:rFonts w:hint="eastAsia" w:ascii="宋体" w:hAnsi="宋体" w:cs="仿宋"/>
                <w:color w:val="auto"/>
                <w:szCs w:val="21"/>
                <w:highlight w:val="none"/>
              </w:rPr>
              <w:t xml:space="preserve">（11）投标文件对招标文件的实质性要求和条件作出响应。 </w:t>
            </w:r>
          </w:p>
          <w:p>
            <w:pPr>
              <w:spacing w:line="400" w:lineRule="exact"/>
              <w:jc w:val="left"/>
              <w:rPr>
                <w:rFonts w:hint="eastAsia" w:ascii="宋体" w:hAnsi="宋体" w:cs="仿宋"/>
                <w:color w:val="auto"/>
                <w:szCs w:val="21"/>
                <w:highlight w:val="none"/>
              </w:rPr>
            </w:pPr>
            <w:r>
              <w:rPr>
                <w:rFonts w:hint="eastAsia" w:ascii="宋体" w:hAnsi="宋体" w:cs="仿宋"/>
                <w:color w:val="auto"/>
                <w:szCs w:val="21"/>
                <w:highlight w:val="none"/>
              </w:rPr>
              <w:t xml:space="preserve">（12）权利义务符合招标文件规定： </w:t>
            </w:r>
          </w:p>
          <w:p>
            <w:pPr>
              <w:spacing w:line="400" w:lineRule="exact"/>
              <w:jc w:val="left"/>
              <w:rPr>
                <w:rFonts w:hint="eastAsia" w:ascii="宋体" w:hAnsi="宋体" w:cs="仿宋"/>
                <w:color w:val="auto"/>
                <w:szCs w:val="21"/>
                <w:highlight w:val="none"/>
              </w:rPr>
            </w:pPr>
            <w:r>
              <w:rPr>
                <w:rFonts w:hint="eastAsia" w:ascii="宋体" w:hAnsi="宋体" w:cs="仿宋"/>
                <w:color w:val="auto"/>
                <w:szCs w:val="21"/>
                <w:highlight w:val="none"/>
              </w:rPr>
              <w:t xml:space="preserve">a.投标人应接受招标文件规定的风险划分原则，未提出新的风险划分办法； </w:t>
            </w:r>
          </w:p>
          <w:p>
            <w:pPr>
              <w:spacing w:line="400" w:lineRule="exact"/>
              <w:jc w:val="left"/>
              <w:rPr>
                <w:rFonts w:hint="eastAsia" w:ascii="宋体" w:hAnsi="宋体" w:cs="仿宋"/>
                <w:color w:val="auto"/>
                <w:szCs w:val="21"/>
                <w:highlight w:val="none"/>
              </w:rPr>
            </w:pPr>
            <w:r>
              <w:rPr>
                <w:rFonts w:hint="eastAsia" w:ascii="宋体" w:hAnsi="宋体" w:cs="仿宋"/>
                <w:color w:val="auto"/>
                <w:szCs w:val="21"/>
                <w:highlight w:val="none"/>
              </w:rPr>
              <w:t xml:space="preserve">b.投标人未增加委托人的责任范围，或减少投标人义务； </w:t>
            </w:r>
          </w:p>
          <w:p>
            <w:pPr>
              <w:spacing w:line="400" w:lineRule="exact"/>
              <w:jc w:val="left"/>
              <w:rPr>
                <w:rFonts w:hint="eastAsia" w:ascii="宋体" w:hAnsi="宋体" w:cs="仿宋"/>
                <w:color w:val="auto"/>
                <w:szCs w:val="21"/>
                <w:highlight w:val="none"/>
              </w:rPr>
            </w:pPr>
            <w:r>
              <w:rPr>
                <w:rFonts w:hint="eastAsia" w:ascii="宋体" w:hAnsi="宋体" w:cs="仿宋"/>
                <w:color w:val="auto"/>
                <w:szCs w:val="21"/>
                <w:highlight w:val="none"/>
              </w:rPr>
              <w:t xml:space="preserve">c.投标人未提出不同的支付办法； </w:t>
            </w:r>
          </w:p>
          <w:p>
            <w:pPr>
              <w:spacing w:line="400" w:lineRule="exact"/>
              <w:jc w:val="left"/>
              <w:rPr>
                <w:rFonts w:hint="eastAsia" w:ascii="宋体" w:hAnsi="宋体" w:cs="仿宋"/>
                <w:color w:val="auto"/>
                <w:szCs w:val="21"/>
                <w:highlight w:val="none"/>
              </w:rPr>
            </w:pPr>
            <w:r>
              <w:rPr>
                <w:rFonts w:hint="eastAsia" w:ascii="宋体" w:hAnsi="宋体" w:cs="仿宋"/>
                <w:color w:val="auto"/>
                <w:szCs w:val="21"/>
                <w:highlight w:val="none"/>
              </w:rPr>
              <w:t xml:space="preserve">d.投标人对合同纠纷、事故处理办法未提出异议； </w:t>
            </w:r>
          </w:p>
          <w:p>
            <w:pPr>
              <w:spacing w:line="400" w:lineRule="exact"/>
              <w:jc w:val="left"/>
              <w:rPr>
                <w:rFonts w:hint="eastAsia" w:ascii="宋体" w:hAnsi="宋体" w:cs="仿宋"/>
                <w:color w:val="auto"/>
                <w:szCs w:val="21"/>
                <w:highlight w:val="none"/>
              </w:rPr>
            </w:pPr>
            <w:r>
              <w:rPr>
                <w:rFonts w:hint="eastAsia" w:ascii="宋体" w:hAnsi="宋体" w:cs="仿宋"/>
                <w:color w:val="auto"/>
                <w:szCs w:val="21"/>
                <w:highlight w:val="none"/>
              </w:rPr>
              <w:t xml:space="preserve">e.投标人在投标活动中无欺诈行为； </w:t>
            </w:r>
          </w:p>
          <w:p>
            <w:pPr>
              <w:spacing w:line="400" w:lineRule="exact"/>
              <w:jc w:val="left"/>
              <w:rPr>
                <w:rFonts w:hint="eastAsia" w:ascii="宋体" w:hAnsi="宋体" w:cs="仿宋"/>
                <w:color w:val="auto"/>
                <w:szCs w:val="21"/>
                <w:highlight w:val="none"/>
              </w:rPr>
            </w:pPr>
            <w:r>
              <w:rPr>
                <w:rFonts w:hint="eastAsia" w:ascii="宋体" w:hAnsi="宋体" w:cs="仿宋"/>
                <w:color w:val="auto"/>
                <w:szCs w:val="21"/>
                <w:highlight w:val="none"/>
              </w:rPr>
              <w:t xml:space="preserve">f.投标人未对合同条款有重要保留。 </w:t>
            </w:r>
          </w:p>
          <w:p>
            <w:pPr>
              <w:spacing w:line="400" w:lineRule="exact"/>
              <w:jc w:val="left"/>
              <w:rPr>
                <w:rFonts w:hint="eastAsia" w:ascii="宋体" w:hAnsi="宋体" w:cs="仿宋"/>
                <w:color w:val="auto"/>
                <w:szCs w:val="21"/>
                <w:highlight w:val="none"/>
              </w:rPr>
            </w:pPr>
            <w:r>
              <w:rPr>
                <w:rFonts w:hint="eastAsia" w:ascii="宋体" w:hAnsi="宋体" w:cs="仿宋"/>
                <w:b/>
                <w:bCs/>
                <w:color w:val="auto"/>
                <w:szCs w:val="21"/>
                <w:highlight w:val="none"/>
              </w:rPr>
              <w:t>第二个信封（报价文件）评审标准：</w:t>
            </w:r>
            <w:r>
              <w:rPr>
                <w:rFonts w:hint="eastAsia" w:ascii="宋体" w:hAnsi="宋体" w:cs="仿宋"/>
                <w:color w:val="auto"/>
                <w:szCs w:val="21"/>
                <w:highlight w:val="none"/>
              </w:rPr>
              <w:t xml:space="preserve"> </w:t>
            </w:r>
          </w:p>
          <w:p>
            <w:pPr>
              <w:spacing w:line="400" w:lineRule="exact"/>
              <w:jc w:val="left"/>
              <w:rPr>
                <w:rFonts w:ascii="宋体" w:hAnsi="宋体" w:cs="仿宋"/>
                <w:color w:val="auto"/>
                <w:szCs w:val="21"/>
                <w:highlight w:val="none"/>
              </w:rPr>
            </w:pPr>
            <w:r>
              <w:rPr>
                <w:rFonts w:hint="eastAsia" w:ascii="宋体" w:hAnsi="宋体" w:cs="宋体"/>
                <w:color w:val="auto"/>
                <w:kern w:val="0"/>
                <w:szCs w:val="21"/>
                <w:highlight w:val="none"/>
              </w:rPr>
              <w:t>（</w:t>
            </w:r>
            <w:r>
              <w:rPr>
                <w:rFonts w:hint="eastAsia" w:ascii="宋体" w:hAnsi="宋体" w:cs="仿宋"/>
                <w:color w:val="auto"/>
                <w:szCs w:val="21"/>
                <w:highlight w:val="none"/>
              </w:rPr>
              <w:t>1）投标文件按照招标文件规定的格式、内容填写，字迹清晰可辨。</w:t>
            </w:r>
          </w:p>
          <w:p>
            <w:pPr>
              <w:spacing w:line="400" w:lineRule="exact"/>
              <w:jc w:val="left"/>
              <w:rPr>
                <w:rFonts w:ascii="宋体" w:hAnsi="宋体" w:cs="仿宋"/>
                <w:color w:val="auto"/>
                <w:szCs w:val="21"/>
                <w:highlight w:val="none"/>
              </w:rPr>
            </w:pPr>
            <w:r>
              <w:rPr>
                <w:rFonts w:hint="eastAsia" w:ascii="宋体" w:hAnsi="宋体" w:cs="仿宋"/>
                <w:color w:val="auto"/>
                <w:szCs w:val="21"/>
                <w:highlight w:val="none"/>
              </w:rPr>
              <w:t>a．投标函按招标文件规定填报了项目名称、补遗书编号（如有）、投标总报价等；</w:t>
            </w:r>
          </w:p>
          <w:p>
            <w:pPr>
              <w:spacing w:line="400" w:lineRule="exact"/>
              <w:jc w:val="left"/>
              <w:rPr>
                <w:rFonts w:hint="eastAsia" w:ascii="宋体" w:hAnsi="宋体" w:cs="仿宋"/>
                <w:color w:val="auto"/>
                <w:szCs w:val="21"/>
                <w:highlight w:val="none"/>
              </w:rPr>
            </w:pPr>
            <w:r>
              <w:rPr>
                <w:rFonts w:hint="eastAsia" w:ascii="宋体" w:hAnsi="宋体" w:cs="仿宋"/>
                <w:color w:val="auto"/>
                <w:szCs w:val="21"/>
                <w:highlight w:val="none"/>
              </w:rPr>
              <w:t>b.已标价报价清单说明文字与招标文件一致，未进行实质性修改和删减。</w:t>
            </w:r>
          </w:p>
          <w:p>
            <w:pPr>
              <w:spacing w:line="400" w:lineRule="exact"/>
              <w:jc w:val="left"/>
              <w:rPr>
                <w:rFonts w:ascii="宋体" w:hAnsi="宋体" w:cs="仿宋"/>
                <w:color w:val="auto"/>
                <w:szCs w:val="21"/>
                <w:highlight w:val="none"/>
              </w:rPr>
            </w:pPr>
            <w:r>
              <w:rPr>
                <w:rFonts w:hint="eastAsia" w:ascii="宋体" w:hAnsi="宋体" w:cs="仿宋"/>
                <w:color w:val="auto"/>
                <w:szCs w:val="21"/>
                <w:highlight w:val="none"/>
              </w:rPr>
              <w:t>c．投标文件组成齐全完整，内容均按规定填写。</w:t>
            </w:r>
          </w:p>
          <w:p>
            <w:pPr>
              <w:spacing w:line="400" w:lineRule="exact"/>
              <w:jc w:val="left"/>
              <w:rPr>
                <w:rFonts w:ascii="宋体" w:hAnsi="宋体" w:cs="仿宋"/>
                <w:color w:val="auto"/>
                <w:szCs w:val="21"/>
                <w:highlight w:val="none"/>
              </w:rPr>
            </w:pPr>
            <w:r>
              <w:rPr>
                <w:rFonts w:hint="eastAsia" w:ascii="宋体" w:hAnsi="宋体" w:cs="仿宋"/>
                <w:color w:val="auto"/>
                <w:szCs w:val="21"/>
                <w:highlight w:val="none"/>
              </w:rPr>
              <w:t>（2）投标文件上法定代表人或其授权代理人的签字、投标人的单位章盖章齐全，符合招标文件规定。</w:t>
            </w:r>
          </w:p>
          <w:p>
            <w:pPr>
              <w:spacing w:line="400" w:lineRule="exact"/>
              <w:jc w:val="left"/>
              <w:rPr>
                <w:rFonts w:ascii="宋体" w:hAnsi="宋体" w:cs="仿宋"/>
                <w:color w:val="auto"/>
                <w:szCs w:val="21"/>
                <w:highlight w:val="none"/>
              </w:rPr>
            </w:pPr>
            <w:r>
              <w:rPr>
                <w:rFonts w:hint="eastAsia" w:ascii="宋体" w:hAnsi="宋体" w:cs="仿宋"/>
                <w:color w:val="auto"/>
                <w:szCs w:val="21"/>
                <w:highlight w:val="none"/>
              </w:rPr>
              <w:t>（3）投标报价未超过招标文件设定的最高投标限价。</w:t>
            </w:r>
          </w:p>
          <w:p>
            <w:pPr>
              <w:spacing w:line="400" w:lineRule="exact"/>
              <w:jc w:val="left"/>
              <w:rPr>
                <w:rFonts w:ascii="宋体" w:hAnsi="宋体" w:cs="仿宋"/>
                <w:color w:val="auto"/>
                <w:szCs w:val="21"/>
                <w:highlight w:val="none"/>
              </w:rPr>
            </w:pPr>
            <w:r>
              <w:rPr>
                <w:rFonts w:hint="eastAsia" w:ascii="宋体" w:hAnsi="宋体" w:cs="仿宋"/>
                <w:color w:val="auto"/>
                <w:szCs w:val="21"/>
                <w:highlight w:val="none"/>
              </w:rPr>
              <w:t>（4）投标报价的大写金额能够确定具体数值。</w:t>
            </w:r>
          </w:p>
          <w:p>
            <w:pPr>
              <w:spacing w:line="400" w:lineRule="exact"/>
              <w:jc w:val="left"/>
              <w:rPr>
                <w:rFonts w:hint="eastAsia" w:ascii="宋体" w:hAnsi="宋体" w:cs="仿宋"/>
                <w:color w:val="auto"/>
                <w:szCs w:val="21"/>
                <w:highlight w:val="none"/>
              </w:rPr>
            </w:pPr>
            <w:r>
              <w:rPr>
                <w:rFonts w:hint="eastAsia" w:ascii="宋体" w:hAnsi="宋体" w:cs="仿宋"/>
                <w:color w:val="auto"/>
                <w:szCs w:val="21"/>
                <w:highlight w:val="none"/>
              </w:rPr>
              <w:t>（5）同一投标人未提交两个以上不同的投标报价。</w:t>
            </w:r>
          </w:p>
          <w:p>
            <w:pPr>
              <w:spacing w:line="400" w:lineRule="exact"/>
              <w:jc w:val="left"/>
              <w:rPr>
                <w:rFonts w:hint="eastAsia" w:ascii="宋体" w:hAnsi="宋体" w:cs="仿宋"/>
                <w:color w:val="auto"/>
                <w:szCs w:val="21"/>
                <w:highlight w:val="none"/>
              </w:rPr>
            </w:pPr>
            <w:r>
              <w:rPr>
                <w:rFonts w:hint="eastAsia"/>
                <w:color w:val="auto"/>
                <w:highlight w:val="none"/>
              </w:rPr>
              <w:t>（</w:t>
            </w:r>
            <w:r>
              <w:rPr>
                <w:rFonts w:hint="eastAsia" w:ascii="宋体" w:hAnsi="宋体" w:cs="仿宋"/>
                <w:color w:val="auto"/>
                <w:szCs w:val="21"/>
                <w:highlight w:val="none"/>
              </w:rPr>
              <w:t>6）投标人未提交</w:t>
            </w:r>
            <w:r>
              <w:rPr>
                <w:rFonts w:hint="eastAsia" w:ascii="宋体" w:hAnsi="宋体" w:cs="仿宋"/>
                <w:color w:val="auto"/>
                <w:szCs w:val="21"/>
                <w:highlight w:val="none"/>
                <w:lang w:eastAsia="zh-CN"/>
              </w:rPr>
              <w:t>调价函</w:t>
            </w:r>
            <w:r>
              <w:rPr>
                <w:rFonts w:hint="eastAsia" w:ascii="宋体" w:hAnsi="宋体" w:cs="仿宋"/>
                <w:color w:val="auto"/>
                <w:szCs w:val="21"/>
                <w:highlight w:val="none"/>
              </w:rPr>
              <w:t>。</w:t>
            </w:r>
          </w:p>
          <w:p>
            <w:pPr>
              <w:spacing w:line="400" w:lineRule="exact"/>
              <w:jc w:val="left"/>
              <w:rPr>
                <w:rFonts w:hint="eastAsia"/>
                <w:color w:val="auto"/>
                <w:highlight w:val="none"/>
              </w:rPr>
            </w:pPr>
            <w:r>
              <w:rPr>
                <w:rFonts w:hint="eastAsia" w:ascii="宋体" w:hAnsi="宋体" w:cs="仿宋"/>
                <w:color w:val="auto"/>
                <w:szCs w:val="21"/>
                <w:highlight w:val="none"/>
              </w:rPr>
              <w:t>（7）投标人填写完毕的工程量固化清单未对招标人提供的工程量固化清单电子文件中的数据、格式和运算定义进行修改；工程量固化清单中的投标报价和投标函大写金额报价一致。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2" w:hRule="atLeast"/>
          <w:jc w:val="center"/>
        </w:trPr>
        <w:tc>
          <w:tcPr>
            <w:tcW w:w="901" w:type="dxa"/>
            <w:noWrap w:val="0"/>
            <w:vAlign w:val="center"/>
          </w:tcPr>
          <w:p>
            <w:pPr>
              <w:jc w:val="center"/>
              <w:rPr>
                <w:rFonts w:hint="eastAsia" w:ascii="宋体" w:hAnsi="宋体" w:cs="仿宋"/>
                <w:color w:val="auto"/>
                <w:szCs w:val="21"/>
                <w:highlight w:val="none"/>
              </w:rPr>
            </w:pPr>
            <w:r>
              <w:rPr>
                <w:rFonts w:hint="eastAsia" w:ascii="宋体" w:hAnsi="宋体" w:cs="仿宋"/>
                <w:color w:val="auto"/>
                <w:szCs w:val="21"/>
                <w:highlight w:val="none"/>
              </w:rPr>
              <w:t>2.1.2</w:t>
            </w:r>
          </w:p>
        </w:tc>
        <w:tc>
          <w:tcPr>
            <w:tcW w:w="1400" w:type="dxa"/>
            <w:noWrap w:val="0"/>
            <w:vAlign w:val="center"/>
          </w:tcPr>
          <w:p>
            <w:pPr>
              <w:jc w:val="center"/>
              <w:rPr>
                <w:rFonts w:hint="eastAsia" w:ascii="宋体" w:hAnsi="宋体" w:cs="仿宋"/>
                <w:color w:val="auto"/>
                <w:szCs w:val="21"/>
                <w:highlight w:val="none"/>
              </w:rPr>
            </w:pPr>
            <w:r>
              <w:rPr>
                <w:rFonts w:hint="eastAsia" w:ascii="宋体" w:hAnsi="宋体" w:cs="仿宋"/>
                <w:color w:val="auto"/>
                <w:szCs w:val="21"/>
                <w:highlight w:val="none"/>
              </w:rPr>
              <w:t>资格评审标准</w:t>
            </w:r>
          </w:p>
        </w:tc>
        <w:tc>
          <w:tcPr>
            <w:tcW w:w="7117" w:type="dxa"/>
            <w:noWrap w:val="0"/>
            <w:vAlign w:val="center"/>
          </w:tcPr>
          <w:p>
            <w:pPr>
              <w:spacing w:line="400" w:lineRule="exact"/>
              <w:jc w:val="left"/>
              <w:rPr>
                <w:rFonts w:hint="eastAsia" w:ascii="宋体" w:hAnsi="宋体" w:cs="仿宋"/>
                <w:color w:val="auto"/>
                <w:szCs w:val="21"/>
                <w:highlight w:val="none"/>
              </w:rPr>
            </w:pPr>
            <w:r>
              <w:rPr>
                <w:rFonts w:hint="eastAsia" w:ascii="宋体" w:hAnsi="宋体" w:cs="仿宋"/>
                <w:color w:val="auto"/>
                <w:szCs w:val="21"/>
                <w:highlight w:val="none"/>
              </w:rPr>
              <w:t>（1）投标人具备有效的营业执照(或事业单位法人证书)、检测资质证书和计量认证合格证书和基本账户开户许可证(或基本存款账户信息)。</w:t>
            </w:r>
          </w:p>
          <w:p>
            <w:pPr>
              <w:spacing w:line="400" w:lineRule="exact"/>
              <w:jc w:val="left"/>
              <w:rPr>
                <w:rFonts w:hint="eastAsia" w:ascii="宋体" w:hAnsi="宋体" w:cs="仿宋"/>
                <w:color w:val="auto"/>
                <w:szCs w:val="21"/>
                <w:highlight w:val="none"/>
              </w:rPr>
            </w:pPr>
            <w:r>
              <w:rPr>
                <w:rFonts w:hint="eastAsia" w:ascii="宋体" w:hAnsi="宋体" w:cs="仿宋"/>
                <w:color w:val="auto"/>
                <w:szCs w:val="21"/>
                <w:highlight w:val="none"/>
              </w:rPr>
              <w:t>（2）投标人的资质等级符合招标文件规定。</w:t>
            </w:r>
          </w:p>
          <w:p>
            <w:pPr>
              <w:spacing w:line="400" w:lineRule="exact"/>
              <w:jc w:val="left"/>
              <w:rPr>
                <w:rFonts w:hint="eastAsia" w:ascii="宋体" w:hAnsi="宋体" w:cs="仿宋"/>
                <w:color w:val="auto"/>
                <w:szCs w:val="21"/>
                <w:highlight w:val="none"/>
              </w:rPr>
            </w:pPr>
            <w:r>
              <w:rPr>
                <w:rFonts w:hint="eastAsia" w:ascii="宋体" w:hAnsi="宋体" w:cs="仿宋"/>
                <w:color w:val="auto"/>
                <w:szCs w:val="21"/>
                <w:highlight w:val="none"/>
              </w:rPr>
              <w:t>（3）投标人的类似项目业绩符合招标文件的规定。</w:t>
            </w:r>
          </w:p>
          <w:p>
            <w:pPr>
              <w:spacing w:line="400" w:lineRule="exact"/>
              <w:jc w:val="left"/>
              <w:rPr>
                <w:rFonts w:hint="eastAsia" w:ascii="宋体" w:hAnsi="宋体" w:cs="仿宋"/>
                <w:color w:val="auto"/>
                <w:szCs w:val="21"/>
                <w:highlight w:val="none"/>
              </w:rPr>
            </w:pPr>
            <w:r>
              <w:rPr>
                <w:rFonts w:hint="eastAsia" w:ascii="宋体" w:hAnsi="宋体" w:cs="仿宋"/>
                <w:color w:val="auto"/>
                <w:szCs w:val="21"/>
                <w:highlight w:val="none"/>
              </w:rPr>
              <w:t>（4）投标人的信誉符合招标文件规定。</w:t>
            </w:r>
          </w:p>
          <w:p>
            <w:pPr>
              <w:spacing w:line="400" w:lineRule="exact"/>
              <w:jc w:val="left"/>
              <w:rPr>
                <w:rFonts w:hint="eastAsia" w:ascii="宋体" w:hAnsi="宋体" w:cs="仿宋"/>
                <w:color w:val="auto"/>
                <w:szCs w:val="21"/>
                <w:highlight w:val="none"/>
              </w:rPr>
            </w:pPr>
            <w:r>
              <w:rPr>
                <w:rFonts w:hint="eastAsia" w:ascii="宋体" w:hAnsi="宋体" w:cs="仿宋"/>
                <w:color w:val="auto"/>
                <w:szCs w:val="21"/>
                <w:highlight w:val="none"/>
              </w:rPr>
              <w:t>（5）投标人的项目负责人资格符合招标文件规定。</w:t>
            </w:r>
          </w:p>
          <w:p>
            <w:pPr>
              <w:spacing w:line="400" w:lineRule="exact"/>
              <w:jc w:val="left"/>
              <w:rPr>
                <w:rFonts w:hint="eastAsia" w:ascii="宋体" w:hAnsi="宋体" w:cs="仿宋"/>
                <w:color w:val="auto"/>
                <w:szCs w:val="21"/>
                <w:highlight w:val="none"/>
              </w:rPr>
            </w:pPr>
            <w:r>
              <w:rPr>
                <w:rFonts w:hint="eastAsia" w:ascii="宋体" w:hAnsi="宋体" w:cs="仿宋"/>
                <w:color w:val="auto"/>
                <w:szCs w:val="21"/>
                <w:highlight w:val="none"/>
              </w:rPr>
              <w:t>（6）投标人不存在第二章“投标人须知”第1.4.3项或1.4.4项规定的任何一种情形。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8" w:hRule="atLeast"/>
          <w:jc w:val="center"/>
        </w:trPr>
        <w:tc>
          <w:tcPr>
            <w:tcW w:w="901" w:type="dxa"/>
            <w:noWrap w:val="0"/>
            <w:vAlign w:val="center"/>
          </w:tcPr>
          <w:p>
            <w:pPr>
              <w:jc w:val="center"/>
              <w:rPr>
                <w:rFonts w:hint="eastAsia" w:ascii="宋体" w:hAnsi="宋体" w:cs="仿宋"/>
                <w:color w:val="auto"/>
                <w:szCs w:val="21"/>
                <w:highlight w:val="none"/>
              </w:rPr>
            </w:pPr>
            <w:r>
              <w:rPr>
                <w:rFonts w:hint="eastAsia" w:ascii="宋体" w:hAnsi="宋体" w:cs="仿宋"/>
                <w:color w:val="auto"/>
                <w:szCs w:val="21"/>
                <w:highlight w:val="none"/>
              </w:rPr>
              <w:t>2.2.1</w:t>
            </w:r>
          </w:p>
        </w:tc>
        <w:tc>
          <w:tcPr>
            <w:tcW w:w="1400" w:type="dxa"/>
            <w:noWrap w:val="0"/>
            <w:vAlign w:val="center"/>
          </w:tcPr>
          <w:p>
            <w:pPr>
              <w:jc w:val="center"/>
              <w:rPr>
                <w:rFonts w:hint="eastAsia" w:ascii="宋体" w:hAnsi="宋体" w:cs="仿宋"/>
                <w:color w:val="auto"/>
                <w:szCs w:val="21"/>
                <w:highlight w:val="none"/>
              </w:rPr>
            </w:pPr>
            <w:r>
              <w:rPr>
                <w:rFonts w:hint="eastAsia" w:ascii="宋体" w:hAnsi="宋体" w:cs="仿宋"/>
                <w:color w:val="auto"/>
                <w:szCs w:val="21"/>
                <w:highlight w:val="none"/>
              </w:rPr>
              <w:t>分值构成</w:t>
            </w:r>
          </w:p>
          <w:p>
            <w:pPr>
              <w:jc w:val="center"/>
              <w:rPr>
                <w:rFonts w:hint="eastAsia" w:ascii="宋体" w:hAnsi="宋体" w:cs="仿宋"/>
                <w:color w:val="auto"/>
                <w:szCs w:val="21"/>
                <w:highlight w:val="none"/>
              </w:rPr>
            </w:pPr>
            <w:r>
              <w:rPr>
                <w:rFonts w:hint="eastAsia" w:ascii="宋体" w:hAnsi="宋体" w:cs="仿宋"/>
                <w:color w:val="auto"/>
                <w:szCs w:val="21"/>
                <w:highlight w:val="none"/>
              </w:rPr>
              <w:t>（总分100分）</w:t>
            </w:r>
          </w:p>
        </w:tc>
        <w:tc>
          <w:tcPr>
            <w:tcW w:w="7117" w:type="dxa"/>
            <w:noWrap w:val="0"/>
            <w:vAlign w:val="center"/>
          </w:tcPr>
          <w:p>
            <w:pPr>
              <w:spacing w:line="400" w:lineRule="exact"/>
              <w:jc w:val="left"/>
              <w:rPr>
                <w:rFonts w:hint="eastAsia" w:ascii="宋体" w:hAnsi="宋体" w:cs="仿宋"/>
                <w:b/>
                <w:bCs/>
                <w:color w:val="auto"/>
                <w:szCs w:val="21"/>
                <w:highlight w:val="none"/>
              </w:rPr>
            </w:pPr>
            <w:r>
              <w:rPr>
                <w:rFonts w:hint="eastAsia" w:ascii="宋体" w:hAnsi="宋体" w:cs="仿宋"/>
                <w:b/>
                <w:bCs/>
                <w:color w:val="auto"/>
                <w:szCs w:val="21"/>
                <w:highlight w:val="none"/>
              </w:rPr>
              <w:t>第一个信封（商务及技术文件）评分分值构成：</w:t>
            </w:r>
          </w:p>
          <w:p>
            <w:pPr>
              <w:spacing w:line="400" w:lineRule="exact"/>
              <w:jc w:val="left"/>
              <w:rPr>
                <w:rFonts w:hint="eastAsia" w:ascii="宋体" w:hAnsi="宋体" w:cs="仿宋"/>
                <w:color w:val="auto"/>
                <w:szCs w:val="21"/>
                <w:highlight w:val="none"/>
              </w:rPr>
            </w:pPr>
            <w:r>
              <w:rPr>
                <w:rFonts w:hint="eastAsia" w:ascii="宋体" w:hAnsi="宋体" w:cs="仿宋"/>
                <w:color w:val="auto"/>
                <w:szCs w:val="21"/>
                <w:highlight w:val="none"/>
              </w:rPr>
              <w:t>技术建议书：</w:t>
            </w:r>
            <w:r>
              <w:rPr>
                <w:rFonts w:hint="eastAsia" w:ascii="宋体" w:hAnsi="宋体" w:cs="仿宋"/>
                <w:color w:val="auto"/>
                <w:szCs w:val="21"/>
                <w:highlight w:val="none"/>
                <w:lang w:val="en-US" w:eastAsia="zh-CN"/>
              </w:rPr>
              <w:t>35</w:t>
            </w:r>
            <w:r>
              <w:rPr>
                <w:rFonts w:hint="eastAsia" w:ascii="宋体" w:hAnsi="宋体" w:cs="仿宋"/>
                <w:color w:val="auto"/>
                <w:szCs w:val="21"/>
                <w:highlight w:val="none"/>
              </w:rPr>
              <w:t>分</w:t>
            </w:r>
          </w:p>
          <w:p>
            <w:pPr>
              <w:spacing w:line="400" w:lineRule="exact"/>
              <w:jc w:val="left"/>
              <w:rPr>
                <w:rFonts w:hint="eastAsia" w:ascii="宋体" w:hAnsi="宋体" w:cs="仿宋"/>
                <w:color w:val="auto"/>
                <w:szCs w:val="21"/>
                <w:highlight w:val="none"/>
              </w:rPr>
            </w:pPr>
            <w:r>
              <w:rPr>
                <w:rFonts w:hint="eastAsia" w:ascii="宋体" w:hAnsi="宋体" w:cs="仿宋"/>
                <w:color w:val="auto"/>
                <w:kern w:val="0"/>
                <w:szCs w:val="21"/>
                <w:highlight w:val="none"/>
              </w:rPr>
              <w:t>主要人员：</w:t>
            </w:r>
            <w:r>
              <w:rPr>
                <w:rFonts w:hint="eastAsia" w:ascii="宋体" w:hAnsi="宋体" w:cs="仿宋"/>
                <w:color w:val="auto"/>
                <w:szCs w:val="21"/>
                <w:highlight w:val="none"/>
                <w:lang w:val="en-US" w:eastAsia="zh-CN"/>
              </w:rPr>
              <w:t>30</w:t>
            </w:r>
            <w:r>
              <w:rPr>
                <w:rFonts w:hint="eastAsia" w:ascii="宋体" w:hAnsi="宋体" w:cs="仿宋"/>
                <w:color w:val="auto"/>
                <w:szCs w:val="21"/>
                <w:highlight w:val="none"/>
              </w:rPr>
              <w:t>分</w:t>
            </w:r>
          </w:p>
          <w:p>
            <w:pPr>
              <w:spacing w:line="400" w:lineRule="exact"/>
              <w:jc w:val="left"/>
              <w:rPr>
                <w:rFonts w:hint="eastAsia" w:ascii="宋体" w:hAnsi="宋体" w:cs="仿宋"/>
                <w:color w:val="auto"/>
                <w:szCs w:val="21"/>
                <w:highlight w:val="none"/>
              </w:rPr>
            </w:pPr>
            <w:r>
              <w:rPr>
                <w:rFonts w:hint="eastAsia" w:ascii="宋体" w:hAnsi="宋体" w:cs="仿宋"/>
                <w:color w:val="auto"/>
                <w:szCs w:val="21"/>
                <w:highlight w:val="none"/>
              </w:rPr>
              <w:t>其他因素：25分</w:t>
            </w:r>
          </w:p>
          <w:p>
            <w:pPr>
              <w:spacing w:line="400" w:lineRule="exact"/>
              <w:jc w:val="left"/>
              <w:rPr>
                <w:rFonts w:hint="eastAsia" w:ascii="宋体" w:hAnsi="宋体" w:cs="仿宋"/>
                <w:b/>
                <w:bCs/>
                <w:color w:val="auto"/>
                <w:szCs w:val="21"/>
                <w:highlight w:val="none"/>
              </w:rPr>
            </w:pPr>
            <w:r>
              <w:rPr>
                <w:rFonts w:hint="eastAsia" w:ascii="宋体" w:hAnsi="宋体" w:cs="仿宋"/>
                <w:b/>
                <w:bCs/>
                <w:color w:val="auto"/>
                <w:szCs w:val="21"/>
                <w:highlight w:val="none"/>
              </w:rPr>
              <w:t>第二个信封（报价文件）评分分值构成：</w:t>
            </w:r>
          </w:p>
          <w:p>
            <w:pPr>
              <w:spacing w:line="400" w:lineRule="exact"/>
              <w:jc w:val="left"/>
              <w:rPr>
                <w:rFonts w:hint="eastAsia" w:ascii="宋体" w:hAnsi="宋体" w:cs="仿宋"/>
                <w:color w:val="auto"/>
                <w:szCs w:val="21"/>
                <w:highlight w:val="none"/>
              </w:rPr>
            </w:pPr>
            <w:r>
              <w:rPr>
                <w:rFonts w:hint="eastAsia" w:ascii="宋体" w:hAnsi="宋体" w:cs="仿宋"/>
                <w:color w:val="auto"/>
                <w:szCs w:val="21"/>
                <w:highlight w:val="none"/>
              </w:rPr>
              <w:t>评标价：10分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12" w:hRule="atLeast"/>
          <w:jc w:val="center"/>
        </w:trPr>
        <w:tc>
          <w:tcPr>
            <w:tcW w:w="901" w:type="dxa"/>
            <w:noWrap w:val="0"/>
            <w:vAlign w:val="center"/>
          </w:tcPr>
          <w:p>
            <w:pPr>
              <w:jc w:val="center"/>
              <w:rPr>
                <w:rFonts w:hint="eastAsia" w:ascii="宋体" w:hAnsi="宋体" w:cs="仿宋"/>
                <w:color w:val="auto"/>
                <w:szCs w:val="21"/>
                <w:highlight w:val="none"/>
              </w:rPr>
            </w:pPr>
            <w:r>
              <w:rPr>
                <w:rFonts w:hint="eastAsia" w:ascii="宋体" w:hAnsi="宋体" w:cs="仿宋"/>
                <w:color w:val="auto"/>
                <w:szCs w:val="21"/>
                <w:highlight w:val="none"/>
              </w:rPr>
              <w:t>2.2.2</w:t>
            </w:r>
          </w:p>
        </w:tc>
        <w:tc>
          <w:tcPr>
            <w:tcW w:w="1400" w:type="dxa"/>
            <w:noWrap w:val="0"/>
            <w:vAlign w:val="center"/>
          </w:tcPr>
          <w:p>
            <w:pPr>
              <w:jc w:val="center"/>
              <w:rPr>
                <w:rFonts w:hint="eastAsia" w:ascii="宋体" w:hAnsi="宋体" w:cs="仿宋"/>
                <w:color w:val="auto"/>
                <w:szCs w:val="21"/>
                <w:highlight w:val="none"/>
              </w:rPr>
            </w:pPr>
            <w:r>
              <w:rPr>
                <w:rFonts w:hint="eastAsia" w:ascii="宋体" w:hAnsi="宋体" w:cs="仿宋"/>
                <w:color w:val="auto"/>
                <w:szCs w:val="21"/>
                <w:highlight w:val="none"/>
              </w:rPr>
              <w:t>评标基准价计算方法</w:t>
            </w:r>
          </w:p>
        </w:tc>
        <w:tc>
          <w:tcPr>
            <w:tcW w:w="7117" w:type="dxa"/>
            <w:noWrap w:val="0"/>
            <w:vAlign w:val="center"/>
          </w:tcPr>
          <w:p>
            <w:pPr>
              <w:spacing w:line="380" w:lineRule="exact"/>
              <w:rPr>
                <w:rFonts w:hint="eastAsia" w:ascii="宋体" w:hAnsi="宋体" w:cs="仿宋"/>
                <w:color w:val="auto"/>
                <w:szCs w:val="21"/>
                <w:highlight w:val="none"/>
              </w:rPr>
            </w:pPr>
            <w:r>
              <w:rPr>
                <w:rFonts w:hint="eastAsia" w:ascii="宋体" w:hAnsi="宋体" w:cs="仿宋"/>
                <w:color w:val="auto"/>
                <w:szCs w:val="21"/>
                <w:highlight w:val="none"/>
              </w:rPr>
              <w:t xml:space="preserve">评标基准价的计算： </w:t>
            </w:r>
          </w:p>
          <w:p>
            <w:pPr>
              <w:spacing w:line="380" w:lineRule="exact"/>
              <w:rPr>
                <w:rFonts w:hint="eastAsia" w:ascii="宋体" w:hAnsi="宋体" w:cs="仿宋"/>
                <w:color w:val="auto"/>
                <w:szCs w:val="21"/>
                <w:highlight w:val="none"/>
              </w:rPr>
            </w:pPr>
            <w:r>
              <w:rPr>
                <w:rFonts w:hint="eastAsia" w:ascii="宋体" w:hAnsi="宋体" w:cs="仿宋"/>
                <w:color w:val="auto"/>
                <w:szCs w:val="21"/>
                <w:highlight w:val="none"/>
              </w:rPr>
              <w:t>所有通过第一个信封评审的投标文件，由评标委员会开启第二个信封，并当场计算并宣布评标基准价。</w:t>
            </w:r>
          </w:p>
          <w:p>
            <w:pPr>
              <w:spacing w:line="380" w:lineRule="exact"/>
              <w:rPr>
                <w:rFonts w:hint="eastAsia" w:ascii="宋体" w:hAnsi="宋体" w:cs="仿宋"/>
                <w:color w:val="auto"/>
                <w:szCs w:val="21"/>
                <w:highlight w:val="none"/>
              </w:rPr>
            </w:pPr>
            <w:r>
              <w:rPr>
                <w:rFonts w:hint="eastAsia" w:ascii="宋体" w:hAnsi="宋体" w:cs="仿宋"/>
                <w:color w:val="auto"/>
                <w:szCs w:val="21"/>
                <w:highlight w:val="none"/>
              </w:rPr>
              <w:t>(1)评标价的确定：</w:t>
            </w:r>
          </w:p>
          <w:p>
            <w:pPr>
              <w:spacing w:line="380" w:lineRule="exact"/>
              <w:rPr>
                <w:rFonts w:hint="eastAsia" w:ascii="宋体" w:hAnsi="宋体" w:cs="仿宋"/>
                <w:color w:val="auto"/>
                <w:szCs w:val="21"/>
                <w:highlight w:val="none"/>
              </w:rPr>
            </w:pPr>
            <w:r>
              <w:rPr>
                <w:rFonts w:hint="eastAsia" w:ascii="宋体" w:hAnsi="宋体" w:cs="仿宋"/>
                <w:color w:val="auto"/>
                <w:szCs w:val="21"/>
                <w:highlight w:val="none"/>
              </w:rPr>
              <w:t>评标价=投标函文字报价</w:t>
            </w:r>
          </w:p>
          <w:p>
            <w:pPr>
              <w:spacing w:line="380" w:lineRule="exact"/>
              <w:rPr>
                <w:rFonts w:hint="eastAsia" w:ascii="宋体" w:hAnsi="宋体" w:cs="仿宋"/>
                <w:color w:val="auto"/>
                <w:szCs w:val="21"/>
                <w:highlight w:val="none"/>
              </w:rPr>
            </w:pPr>
            <w:r>
              <w:rPr>
                <w:rFonts w:hint="eastAsia" w:ascii="宋体" w:hAnsi="宋体" w:cs="仿宋"/>
                <w:color w:val="auto"/>
                <w:szCs w:val="21"/>
                <w:highlight w:val="none"/>
              </w:rPr>
              <w:t>(2)评标价平均值的计算：</w:t>
            </w:r>
          </w:p>
          <w:p>
            <w:pPr>
              <w:spacing w:line="380" w:lineRule="exact"/>
              <w:rPr>
                <w:rFonts w:hint="eastAsia" w:ascii="宋体" w:hAnsi="宋体" w:cs="仿宋"/>
                <w:color w:val="auto"/>
                <w:szCs w:val="21"/>
                <w:highlight w:val="none"/>
              </w:rPr>
            </w:pPr>
            <w:r>
              <w:rPr>
                <w:rFonts w:hint="eastAsia" w:ascii="宋体" w:hAnsi="宋体" w:cs="仿宋"/>
                <w:color w:val="auto"/>
                <w:szCs w:val="21"/>
                <w:highlight w:val="none"/>
              </w:rPr>
              <w:t xml:space="preserve">除按第二章“投标人须知”第5.2.4项规定开标现场被宣布为不进入评标基准价计算的投标报价之外，所有投标人的评标价去掉一个最高值和一个最低值后的算术平均值即为评标价平均值（如果参与评标价平均值计算的有效投标人≤5家时，则计算评标价平均值时不去掉最高值和最低值）。 </w:t>
            </w:r>
          </w:p>
          <w:p>
            <w:pPr>
              <w:spacing w:line="380" w:lineRule="exact"/>
              <w:rPr>
                <w:rFonts w:hint="eastAsia" w:ascii="宋体" w:hAnsi="宋体" w:cs="仿宋"/>
                <w:color w:val="auto"/>
                <w:szCs w:val="21"/>
                <w:highlight w:val="none"/>
              </w:rPr>
            </w:pPr>
            <w:r>
              <w:rPr>
                <w:rFonts w:hint="eastAsia" w:ascii="宋体" w:hAnsi="宋体" w:cs="仿宋"/>
                <w:color w:val="auto"/>
                <w:szCs w:val="21"/>
                <w:highlight w:val="none"/>
              </w:rPr>
              <w:t>(3)评标基准价的确定：</w:t>
            </w:r>
          </w:p>
          <w:p>
            <w:pPr>
              <w:spacing w:line="380" w:lineRule="exact"/>
              <w:rPr>
                <w:rFonts w:hint="eastAsia" w:ascii="宋体" w:hAnsi="宋体" w:cs="仿宋"/>
                <w:color w:val="auto"/>
                <w:szCs w:val="21"/>
                <w:highlight w:val="none"/>
              </w:rPr>
            </w:pPr>
            <w:r>
              <w:rPr>
                <w:rFonts w:hint="eastAsia" w:ascii="宋体" w:hAnsi="宋体" w:cs="仿宋"/>
                <w:color w:val="auto"/>
                <w:szCs w:val="21"/>
                <w:highlight w:val="none"/>
              </w:rPr>
              <w:t>将评标价平均值直接作为评标基准价（评标基准价保留两位小数，第三位四舍五入）。当所有投标价都高于招标人投标控制价上限时，招标人将重新招标。</w:t>
            </w:r>
          </w:p>
          <w:p>
            <w:pPr>
              <w:spacing w:line="400" w:lineRule="exact"/>
              <w:jc w:val="left"/>
              <w:rPr>
                <w:rFonts w:hint="eastAsia" w:ascii="宋体" w:hAnsi="宋体" w:cs="仿宋"/>
                <w:color w:val="auto"/>
                <w:szCs w:val="21"/>
                <w:highlight w:val="none"/>
              </w:rPr>
            </w:pPr>
            <w:r>
              <w:rPr>
                <w:rFonts w:hint="eastAsia" w:ascii="宋体" w:hAnsi="宋体" w:cs="仿宋"/>
                <w:color w:val="auto"/>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901" w:type="dxa"/>
            <w:noWrap w:val="0"/>
            <w:vAlign w:val="center"/>
          </w:tcPr>
          <w:p>
            <w:pPr>
              <w:jc w:val="center"/>
              <w:rPr>
                <w:rFonts w:hint="eastAsia" w:ascii="宋体" w:hAnsi="宋体" w:cs="仿宋"/>
                <w:color w:val="auto"/>
                <w:szCs w:val="21"/>
                <w:highlight w:val="none"/>
              </w:rPr>
            </w:pPr>
            <w:r>
              <w:rPr>
                <w:rFonts w:hint="eastAsia" w:ascii="宋体" w:hAnsi="宋体" w:cs="仿宋"/>
                <w:color w:val="auto"/>
                <w:szCs w:val="21"/>
                <w:highlight w:val="none"/>
              </w:rPr>
              <w:t>2.2.3</w:t>
            </w:r>
          </w:p>
        </w:tc>
        <w:tc>
          <w:tcPr>
            <w:tcW w:w="1400" w:type="dxa"/>
            <w:noWrap w:val="0"/>
            <w:vAlign w:val="center"/>
          </w:tcPr>
          <w:p>
            <w:pPr>
              <w:jc w:val="center"/>
              <w:rPr>
                <w:rFonts w:hint="eastAsia" w:ascii="宋体" w:hAnsi="宋体" w:cs="仿宋"/>
                <w:color w:val="auto"/>
                <w:szCs w:val="21"/>
                <w:highlight w:val="none"/>
              </w:rPr>
            </w:pPr>
            <w:r>
              <w:rPr>
                <w:rFonts w:hint="eastAsia" w:ascii="宋体" w:hAnsi="宋体" w:cs="仿宋"/>
                <w:color w:val="auto"/>
                <w:szCs w:val="21"/>
                <w:highlight w:val="none"/>
              </w:rPr>
              <w:t>评标价的偏差率计算公式</w:t>
            </w:r>
          </w:p>
        </w:tc>
        <w:tc>
          <w:tcPr>
            <w:tcW w:w="7117" w:type="dxa"/>
            <w:noWrap w:val="0"/>
            <w:vAlign w:val="center"/>
          </w:tcPr>
          <w:p>
            <w:pPr>
              <w:spacing w:line="400" w:lineRule="exact"/>
              <w:jc w:val="left"/>
              <w:rPr>
                <w:rFonts w:hint="eastAsia" w:ascii="宋体" w:hAnsi="宋体" w:cs="仿宋"/>
                <w:color w:val="auto"/>
                <w:szCs w:val="21"/>
                <w:highlight w:val="none"/>
              </w:rPr>
            </w:pPr>
            <w:r>
              <w:rPr>
                <w:rFonts w:hint="eastAsia" w:ascii="宋体" w:hAnsi="宋体" w:cs="仿宋"/>
                <w:color w:val="auto"/>
                <w:szCs w:val="21"/>
                <w:highlight w:val="none"/>
              </w:rPr>
              <w:t>偏差率=100%×(投标人评标价-评标基准价)/评标基准价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901" w:type="dxa"/>
            <w:noWrap w:val="0"/>
            <w:vAlign w:val="center"/>
          </w:tcPr>
          <w:p>
            <w:pPr>
              <w:spacing w:line="360" w:lineRule="auto"/>
              <w:jc w:val="center"/>
              <w:rPr>
                <w:rFonts w:hint="eastAsia" w:ascii="宋体" w:hAnsi="宋体" w:cs="仿宋"/>
                <w:color w:val="auto"/>
                <w:szCs w:val="21"/>
                <w:highlight w:val="none"/>
              </w:rPr>
            </w:pPr>
            <w:r>
              <w:rPr>
                <w:rFonts w:hint="eastAsia" w:ascii="宋体" w:hAnsi="宋体" w:cs="仿宋"/>
                <w:color w:val="auto"/>
                <w:kern w:val="0"/>
                <w:szCs w:val="21"/>
                <w:highlight w:val="none"/>
              </w:rPr>
              <w:t>3.6.1</w:t>
            </w:r>
          </w:p>
        </w:tc>
        <w:tc>
          <w:tcPr>
            <w:tcW w:w="1400" w:type="dxa"/>
            <w:noWrap w:val="0"/>
            <w:vAlign w:val="center"/>
          </w:tcPr>
          <w:p>
            <w:pPr>
              <w:jc w:val="center"/>
              <w:rPr>
                <w:rFonts w:hint="eastAsia" w:ascii="宋体" w:hAnsi="宋体" w:cs="仿宋"/>
                <w:color w:val="auto"/>
                <w:szCs w:val="21"/>
                <w:highlight w:val="none"/>
              </w:rPr>
            </w:pPr>
            <w:r>
              <w:rPr>
                <w:rFonts w:hint="eastAsia" w:ascii="宋体" w:hAnsi="宋体" w:cs="仿宋"/>
                <w:color w:val="auto"/>
                <w:szCs w:val="21"/>
                <w:highlight w:val="none"/>
              </w:rPr>
              <w:t>投标文件相关信息的核查</w:t>
            </w:r>
          </w:p>
        </w:tc>
        <w:tc>
          <w:tcPr>
            <w:tcW w:w="7117" w:type="dxa"/>
            <w:noWrap w:val="0"/>
            <w:vAlign w:val="center"/>
          </w:tcPr>
          <w:p>
            <w:pPr>
              <w:spacing w:line="400" w:lineRule="exact"/>
              <w:jc w:val="left"/>
              <w:rPr>
                <w:rFonts w:hint="eastAsia" w:ascii="宋体" w:hAnsi="宋体" w:cs="仿宋"/>
                <w:color w:val="auto"/>
                <w:szCs w:val="21"/>
                <w:highlight w:val="none"/>
              </w:rPr>
            </w:pPr>
            <w:r>
              <w:rPr>
                <w:rFonts w:hint="eastAsia" w:ascii="宋体" w:hAnsi="宋体" w:cs="仿宋"/>
                <w:color w:val="auto"/>
                <w:szCs w:val="21"/>
                <w:highlight w:val="none"/>
              </w:rPr>
              <w:t>本款修改为：</w:t>
            </w:r>
          </w:p>
          <w:p>
            <w:pPr>
              <w:spacing w:line="400" w:lineRule="exact"/>
              <w:jc w:val="left"/>
              <w:rPr>
                <w:rFonts w:hint="eastAsia" w:ascii="宋体" w:hAnsi="宋体" w:cs="仿宋"/>
                <w:color w:val="auto"/>
                <w:szCs w:val="21"/>
                <w:highlight w:val="none"/>
              </w:rPr>
            </w:pPr>
            <w:r>
              <w:rPr>
                <w:rFonts w:hint="eastAsia" w:ascii="宋体" w:hAnsi="宋体" w:cs="仿宋"/>
                <w:color w:val="auto"/>
                <w:szCs w:val="21"/>
                <w:highlight w:val="none"/>
              </w:rPr>
              <w:t>（1）在评标过程中，评标委员会应在“公路水运工程质量试验检测管理信息系统（https://www.ttiis.cn）” 中查询试验检测机构等级证书及查询项目负责人登记信息、“信用中国”网站被列入失信被执行人名单、异常经营名录、税收违法黑名单、政府采购严重违法失信名单和“国家企业信用信息公示系统”中被列入严重违法失信企业名单的网上公示信息（均不含分公司）。（投标人为事业单位的可不进行在国家企业信用信息公示系统中未被列入严重违法失信企业名单的信息查询。）</w:t>
            </w:r>
          </w:p>
          <w:p>
            <w:pPr>
              <w:spacing w:line="400" w:lineRule="exact"/>
              <w:jc w:val="left"/>
              <w:rPr>
                <w:rFonts w:hint="eastAsia" w:ascii="宋体" w:hAnsi="宋体" w:cs="仿宋"/>
                <w:color w:val="auto"/>
                <w:szCs w:val="21"/>
                <w:highlight w:val="none"/>
              </w:rPr>
            </w:pPr>
            <w:r>
              <w:rPr>
                <w:rFonts w:hint="eastAsia" w:ascii="宋体" w:hAnsi="宋体" w:cs="仿宋"/>
                <w:color w:val="auto"/>
                <w:szCs w:val="21"/>
                <w:highlight w:val="none"/>
              </w:rPr>
              <w:t>若投标文件载明的信息与上述网站发布的信息不符，使得投标人的资格条件不符合招标文件规定的，评标委员会应否决其投标。</w:t>
            </w:r>
          </w:p>
          <w:p>
            <w:pPr>
              <w:spacing w:line="400" w:lineRule="exact"/>
              <w:jc w:val="left"/>
              <w:rPr>
                <w:rFonts w:hint="eastAsia" w:ascii="宋体" w:hAnsi="宋体" w:cs="仿宋"/>
                <w:color w:val="auto"/>
                <w:szCs w:val="21"/>
                <w:highlight w:val="none"/>
              </w:rPr>
            </w:pPr>
            <w:r>
              <w:rPr>
                <w:rFonts w:hint="eastAsia" w:ascii="宋体" w:hAnsi="宋体" w:cs="仿宋"/>
                <w:color w:val="auto"/>
                <w:szCs w:val="21"/>
                <w:highlight w:val="none"/>
              </w:rPr>
              <w:t>投标人应保证上述全部截图的真实性，如发现核查结果不一致，视为投标过程中的弄虚作假，按照相关规定处理。投标人应当及时核查并更新政府网站公示的相关信息，并承担由于信息填报不完整或者不准确等原因导致投标可能被否决的后果。</w:t>
            </w:r>
          </w:p>
          <w:p>
            <w:pPr>
              <w:spacing w:line="400" w:lineRule="exact"/>
              <w:jc w:val="left"/>
              <w:rPr>
                <w:color w:val="auto"/>
                <w:highlight w:val="none"/>
              </w:rPr>
            </w:pPr>
            <w:r>
              <w:rPr>
                <w:rFonts w:hint="eastAsia" w:ascii="宋体" w:hAnsi="宋体" w:cs="仿宋"/>
                <w:color w:val="auto"/>
                <w:szCs w:val="21"/>
                <w:highlight w:val="none"/>
              </w:rPr>
              <w:t>（2）评标委员会在评标时按照投标人提供的验证方式对电子银行保函或电子担保保函或或电子保证保险进行验证。如投标人未提供电子银行保函或电子担保保函或或电子保证保险在线验证方式，或根据提供的验证方式无法核实的，评标委员会可以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1" w:hRule="atLeast"/>
          <w:jc w:val="center"/>
        </w:trPr>
        <w:tc>
          <w:tcPr>
            <w:tcW w:w="9418" w:type="dxa"/>
            <w:gridSpan w:val="3"/>
            <w:noWrap w:val="0"/>
            <w:vAlign w:val="center"/>
          </w:tcPr>
          <w:p>
            <w:pPr>
              <w:jc w:val="left"/>
              <w:rPr>
                <w:rFonts w:hint="eastAsia" w:ascii="宋体" w:hAnsi="宋体" w:cs="仿宋"/>
                <w:color w:val="auto"/>
                <w:szCs w:val="21"/>
                <w:highlight w:val="none"/>
              </w:rPr>
            </w:pPr>
            <w:r>
              <w:rPr>
                <w:rFonts w:hint="eastAsia" w:ascii="宋体" w:hAnsi="宋体" w:cs="仿宋"/>
                <w:color w:val="auto"/>
                <w:kern w:val="0"/>
                <w:szCs w:val="21"/>
                <w:highlight w:val="none"/>
              </w:rPr>
              <w:t>需要补充的其他内容：无</w:t>
            </w:r>
          </w:p>
        </w:tc>
      </w:tr>
    </w:tbl>
    <w:p>
      <w:pPr>
        <w:rPr>
          <w:rFonts w:hint="eastAsia" w:ascii="宋体" w:hAnsi="宋体" w:cs="仿宋"/>
          <w:color w:val="auto"/>
          <w:highlight w:val="none"/>
        </w:rPr>
      </w:pPr>
    </w:p>
    <w:p>
      <w:pPr>
        <w:pStyle w:val="6"/>
        <w:rPr>
          <w:rFonts w:hint="eastAsia" w:ascii="宋体" w:hAnsi="宋体" w:cs="仿宋"/>
          <w:color w:val="auto"/>
          <w:highlight w:val="none"/>
        </w:rPr>
      </w:pPr>
      <w:r>
        <w:rPr>
          <w:rFonts w:ascii="宋体" w:hAnsi="宋体" w:cs="仿宋"/>
          <w:color w:val="auto"/>
          <w:sz w:val="21"/>
          <w:szCs w:val="24"/>
          <w:highlight w:val="none"/>
        </w:rPr>
        <w:br w:type="page"/>
      </w:r>
    </w:p>
    <w:p>
      <w:pPr>
        <w:jc w:val="right"/>
        <w:rPr>
          <w:rFonts w:hint="eastAsia" w:ascii="宋体" w:hAnsi="宋体" w:cs="仿宋"/>
          <w:color w:val="auto"/>
          <w:highlight w:val="none"/>
        </w:rPr>
      </w:pPr>
      <w:r>
        <w:rPr>
          <w:rFonts w:hint="eastAsia" w:ascii="宋体" w:hAnsi="宋体" w:cs="仿宋"/>
          <w:color w:val="auto"/>
          <w:highlight w:val="none"/>
        </w:rPr>
        <w:t>续上表</w:t>
      </w:r>
    </w:p>
    <w:tbl>
      <w:tblPr>
        <w:tblStyle w:val="8"/>
        <w:tblW w:w="987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791"/>
        <w:gridCol w:w="705"/>
        <w:gridCol w:w="1033"/>
        <w:gridCol w:w="1197"/>
        <w:gridCol w:w="562"/>
        <w:gridCol w:w="55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57" w:hRule="atLeast"/>
          <w:jc w:val="center"/>
        </w:trPr>
        <w:tc>
          <w:tcPr>
            <w:tcW w:w="791" w:type="dxa"/>
            <w:noWrap w:val="0"/>
            <w:vAlign w:val="center"/>
          </w:tcPr>
          <w:p>
            <w:pPr>
              <w:keepNext w:val="0"/>
              <w:keepLines w:val="0"/>
              <w:pageBreakBefore w:val="0"/>
              <w:widowControl w:val="0"/>
              <w:kinsoku/>
              <w:wordWrap/>
              <w:overflowPunct/>
              <w:topLinePunct w:val="0"/>
              <w:autoSpaceDE/>
              <w:autoSpaceDN/>
              <w:bidi w:val="0"/>
              <w:snapToGrid/>
              <w:spacing w:line="340" w:lineRule="exact"/>
              <w:jc w:val="center"/>
              <w:textAlignment w:val="auto"/>
              <w:rPr>
                <w:rFonts w:hint="eastAsia" w:ascii="宋体" w:hAnsi="宋体" w:cs="仿宋"/>
                <w:color w:val="auto"/>
                <w:szCs w:val="21"/>
                <w:highlight w:val="none"/>
              </w:rPr>
            </w:pPr>
            <w:r>
              <w:rPr>
                <w:rFonts w:hint="eastAsia" w:ascii="宋体" w:hAnsi="宋体" w:cs="仿宋"/>
                <w:color w:val="auto"/>
                <w:szCs w:val="21"/>
                <w:highlight w:val="none"/>
              </w:rPr>
              <w:t>条款号</w:t>
            </w:r>
          </w:p>
        </w:tc>
        <w:tc>
          <w:tcPr>
            <w:tcW w:w="705" w:type="dxa"/>
            <w:noWrap w:val="0"/>
            <w:vAlign w:val="center"/>
          </w:tcPr>
          <w:p>
            <w:pPr>
              <w:keepNext w:val="0"/>
              <w:keepLines w:val="0"/>
              <w:pageBreakBefore w:val="0"/>
              <w:widowControl w:val="0"/>
              <w:kinsoku/>
              <w:wordWrap/>
              <w:overflowPunct/>
              <w:topLinePunct w:val="0"/>
              <w:autoSpaceDE/>
              <w:autoSpaceDN/>
              <w:bidi w:val="0"/>
              <w:snapToGrid/>
              <w:spacing w:line="340" w:lineRule="exact"/>
              <w:jc w:val="center"/>
              <w:textAlignment w:val="auto"/>
              <w:rPr>
                <w:rFonts w:hint="eastAsia" w:ascii="宋体" w:hAnsi="宋体" w:cs="仿宋"/>
                <w:color w:val="auto"/>
                <w:szCs w:val="21"/>
                <w:highlight w:val="none"/>
              </w:rPr>
            </w:pPr>
            <w:r>
              <w:rPr>
                <w:rFonts w:hint="eastAsia" w:ascii="宋体" w:hAnsi="宋体" w:cs="仿宋"/>
                <w:color w:val="auto"/>
                <w:szCs w:val="21"/>
                <w:highlight w:val="none"/>
              </w:rPr>
              <w:t>评审因素</w:t>
            </w:r>
          </w:p>
        </w:tc>
        <w:tc>
          <w:tcPr>
            <w:tcW w:w="1033" w:type="dxa"/>
            <w:noWrap w:val="0"/>
            <w:vAlign w:val="center"/>
          </w:tcPr>
          <w:p>
            <w:pPr>
              <w:keepNext w:val="0"/>
              <w:keepLines w:val="0"/>
              <w:pageBreakBefore w:val="0"/>
              <w:widowControl w:val="0"/>
              <w:kinsoku/>
              <w:wordWrap/>
              <w:overflowPunct/>
              <w:topLinePunct w:val="0"/>
              <w:autoSpaceDE/>
              <w:autoSpaceDN/>
              <w:bidi w:val="0"/>
              <w:snapToGrid/>
              <w:spacing w:line="340" w:lineRule="exact"/>
              <w:jc w:val="center"/>
              <w:textAlignment w:val="auto"/>
              <w:rPr>
                <w:rFonts w:hint="eastAsia" w:ascii="宋体" w:hAnsi="宋体" w:cs="仿宋"/>
                <w:color w:val="auto"/>
                <w:szCs w:val="21"/>
                <w:highlight w:val="none"/>
              </w:rPr>
            </w:pPr>
            <w:r>
              <w:rPr>
                <w:rFonts w:hint="eastAsia" w:ascii="宋体" w:hAnsi="宋体" w:cs="仿宋"/>
                <w:color w:val="auto"/>
                <w:szCs w:val="21"/>
                <w:highlight w:val="none"/>
              </w:rPr>
              <w:t>评分因素权重分值</w:t>
            </w:r>
          </w:p>
        </w:tc>
        <w:tc>
          <w:tcPr>
            <w:tcW w:w="1197"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340" w:lineRule="exact"/>
              <w:jc w:val="center"/>
              <w:textAlignment w:val="auto"/>
              <w:rPr>
                <w:rFonts w:hint="eastAsia" w:ascii="宋体" w:hAnsi="宋体" w:cs="仿宋"/>
                <w:color w:val="auto"/>
                <w:szCs w:val="21"/>
                <w:highlight w:val="none"/>
              </w:rPr>
            </w:pPr>
            <w:r>
              <w:rPr>
                <w:rFonts w:hint="eastAsia" w:ascii="宋体" w:hAnsi="宋体" w:cs="仿宋"/>
                <w:color w:val="auto"/>
                <w:szCs w:val="21"/>
                <w:highlight w:val="none"/>
              </w:rPr>
              <w:t>各评分因素细分项</w:t>
            </w:r>
          </w:p>
        </w:tc>
        <w:tc>
          <w:tcPr>
            <w:tcW w:w="562"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340" w:lineRule="exact"/>
              <w:jc w:val="center"/>
              <w:textAlignment w:val="auto"/>
              <w:rPr>
                <w:rFonts w:hint="eastAsia" w:ascii="宋体" w:hAnsi="宋体" w:cs="仿宋"/>
                <w:color w:val="auto"/>
                <w:szCs w:val="21"/>
                <w:highlight w:val="none"/>
              </w:rPr>
            </w:pPr>
            <w:r>
              <w:rPr>
                <w:rFonts w:hint="eastAsia" w:ascii="宋体" w:hAnsi="宋体" w:cs="仿宋"/>
                <w:color w:val="auto"/>
                <w:szCs w:val="21"/>
                <w:highlight w:val="none"/>
              </w:rPr>
              <w:t>分值</w:t>
            </w:r>
          </w:p>
        </w:tc>
        <w:tc>
          <w:tcPr>
            <w:tcW w:w="5591"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340" w:lineRule="exact"/>
              <w:jc w:val="center"/>
              <w:textAlignment w:val="auto"/>
              <w:rPr>
                <w:rFonts w:hint="eastAsia" w:ascii="宋体" w:hAnsi="宋体" w:cs="仿宋"/>
                <w:color w:val="auto"/>
                <w:szCs w:val="21"/>
                <w:highlight w:val="none"/>
              </w:rPr>
            </w:pPr>
            <w:r>
              <w:rPr>
                <w:rFonts w:hint="eastAsia" w:ascii="宋体" w:hAnsi="宋体" w:cs="仿宋"/>
                <w:color w:val="auto"/>
                <w:szCs w:val="21"/>
                <w:highlight w:val="none"/>
              </w:rPr>
              <w:t xml:space="preserve">评分标准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4" w:hRule="atLeast"/>
          <w:jc w:val="center"/>
        </w:trPr>
        <w:tc>
          <w:tcPr>
            <w:tcW w:w="791" w:type="dxa"/>
            <w:vMerge w:val="restart"/>
            <w:noWrap w:val="0"/>
            <w:vAlign w:val="center"/>
          </w:tcPr>
          <w:p>
            <w:pPr>
              <w:keepNext w:val="0"/>
              <w:keepLines w:val="0"/>
              <w:pageBreakBefore w:val="0"/>
              <w:widowControl w:val="0"/>
              <w:kinsoku/>
              <w:wordWrap/>
              <w:overflowPunct/>
              <w:topLinePunct w:val="0"/>
              <w:autoSpaceDE/>
              <w:autoSpaceDN/>
              <w:bidi w:val="0"/>
              <w:snapToGrid/>
              <w:spacing w:line="340" w:lineRule="exact"/>
              <w:jc w:val="center"/>
              <w:textAlignment w:val="auto"/>
              <w:rPr>
                <w:rFonts w:hint="eastAsia" w:ascii="宋体" w:hAnsi="宋体" w:cs="仿宋"/>
                <w:color w:val="auto"/>
                <w:szCs w:val="21"/>
                <w:highlight w:val="none"/>
              </w:rPr>
            </w:pPr>
            <w:r>
              <w:rPr>
                <w:rFonts w:hint="eastAsia" w:ascii="宋体" w:hAnsi="宋体" w:cs="仿宋"/>
                <w:color w:val="auto"/>
                <w:szCs w:val="21"/>
                <w:highlight w:val="none"/>
              </w:rPr>
              <w:t>2.2.4（1）</w:t>
            </w:r>
          </w:p>
        </w:tc>
        <w:tc>
          <w:tcPr>
            <w:tcW w:w="705" w:type="dxa"/>
            <w:vMerge w:val="restart"/>
            <w:noWrap w:val="0"/>
            <w:vAlign w:val="center"/>
          </w:tcPr>
          <w:p>
            <w:pPr>
              <w:keepNext w:val="0"/>
              <w:keepLines w:val="0"/>
              <w:pageBreakBefore w:val="0"/>
              <w:widowControl w:val="0"/>
              <w:kinsoku/>
              <w:wordWrap/>
              <w:overflowPunct/>
              <w:topLinePunct w:val="0"/>
              <w:autoSpaceDE/>
              <w:autoSpaceDN/>
              <w:bidi w:val="0"/>
              <w:snapToGrid/>
              <w:spacing w:line="340" w:lineRule="exact"/>
              <w:jc w:val="center"/>
              <w:textAlignment w:val="auto"/>
              <w:rPr>
                <w:rFonts w:hint="eastAsia" w:ascii="宋体" w:hAnsi="宋体" w:cs="仿宋"/>
                <w:color w:val="auto"/>
                <w:szCs w:val="21"/>
                <w:highlight w:val="none"/>
              </w:rPr>
            </w:pPr>
            <w:r>
              <w:rPr>
                <w:rFonts w:hint="eastAsia" w:ascii="宋体" w:hAnsi="宋体" w:cs="仿宋"/>
                <w:color w:val="auto"/>
                <w:szCs w:val="21"/>
                <w:highlight w:val="none"/>
              </w:rPr>
              <w:t>技术建议书</w:t>
            </w:r>
          </w:p>
        </w:tc>
        <w:tc>
          <w:tcPr>
            <w:tcW w:w="1033" w:type="dxa"/>
            <w:vMerge w:val="restart"/>
            <w:noWrap w:val="0"/>
            <w:vAlign w:val="center"/>
          </w:tcPr>
          <w:p>
            <w:pPr>
              <w:keepNext w:val="0"/>
              <w:keepLines w:val="0"/>
              <w:pageBreakBefore w:val="0"/>
              <w:widowControl w:val="0"/>
              <w:kinsoku/>
              <w:wordWrap/>
              <w:overflowPunct/>
              <w:topLinePunct w:val="0"/>
              <w:autoSpaceDE/>
              <w:autoSpaceDN/>
              <w:bidi w:val="0"/>
              <w:snapToGrid/>
              <w:spacing w:line="340" w:lineRule="exact"/>
              <w:jc w:val="center"/>
              <w:textAlignment w:val="auto"/>
              <w:rPr>
                <w:rFonts w:hint="eastAsia" w:ascii="宋体" w:hAnsi="宋体" w:cs="仿宋"/>
                <w:color w:val="auto"/>
                <w:szCs w:val="21"/>
                <w:highlight w:val="none"/>
              </w:rPr>
            </w:pPr>
            <w:r>
              <w:rPr>
                <w:rFonts w:hint="eastAsia" w:ascii="宋体" w:hAnsi="宋体" w:cs="仿宋"/>
                <w:color w:val="auto"/>
                <w:szCs w:val="21"/>
                <w:highlight w:val="none"/>
                <w:lang w:val="en-US" w:eastAsia="zh-CN"/>
              </w:rPr>
              <w:t>3</w:t>
            </w:r>
            <w:r>
              <w:rPr>
                <w:rFonts w:hint="eastAsia" w:ascii="宋体" w:hAnsi="宋体" w:cs="仿宋"/>
                <w:color w:val="auto"/>
                <w:szCs w:val="21"/>
                <w:highlight w:val="none"/>
              </w:rPr>
              <w:t>5分</w:t>
            </w:r>
          </w:p>
        </w:tc>
        <w:tc>
          <w:tcPr>
            <w:tcW w:w="1197" w:type="dxa"/>
            <w:vMerge w:val="restar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340" w:lineRule="exact"/>
              <w:jc w:val="center"/>
              <w:textAlignment w:val="auto"/>
              <w:rPr>
                <w:rFonts w:hint="eastAsia" w:ascii="宋体" w:hAnsi="宋体" w:cs="仿宋"/>
                <w:color w:val="auto"/>
                <w:szCs w:val="21"/>
                <w:highlight w:val="none"/>
              </w:rPr>
            </w:pPr>
            <w:r>
              <w:rPr>
                <w:rFonts w:hint="eastAsia" w:ascii="宋体" w:hAnsi="宋体" w:cs="仿宋"/>
                <w:color w:val="auto"/>
                <w:szCs w:val="21"/>
                <w:highlight w:val="none"/>
              </w:rPr>
              <w:t>对本项目工作范围和任务理解</w:t>
            </w:r>
          </w:p>
        </w:tc>
        <w:tc>
          <w:tcPr>
            <w:tcW w:w="562" w:type="dxa"/>
            <w:vMerge w:val="restart"/>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340" w:lineRule="exact"/>
              <w:jc w:val="center"/>
              <w:textAlignment w:val="auto"/>
              <w:rPr>
                <w:rFonts w:hint="eastAsia" w:ascii="宋体" w:hAnsi="宋体" w:cs="仿宋"/>
                <w:color w:val="auto"/>
                <w:szCs w:val="21"/>
                <w:highlight w:val="none"/>
              </w:rPr>
            </w:pPr>
            <w:r>
              <w:rPr>
                <w:rFonts w:hint="eastAsia" w:ascii="宋体" w:hAnsi="宋体" w:cs="仿宋"/>
                <w:color w:val="auto"/>
                <w:szCs w:val="21"/>
                <w:highlight w:val="none"/>
                <w:lang w:val="en-US" w:eastAsia="zh-CN"/>
              </w:rPr>
              <w:t>5</w:t>
            </w:r>
            <w:r>
              <w:rPr>
                <w:rFonts w:hint="eastAsia" w:ascii="宋体" w:hAnsi="宋体" w:cs="仿宋"/>
                <w:color w:val="auto"/>
                <w:szCs w:val="21"/>
                <w:highlight w:val="none"/>
              </w:rPr>
              <w:t>分</w:t>
            </w:r>
          </w:p>
        </w:tc>
        <w:tc>
          <w:tcPr>
            <w:tcW w:w="5591" w:type="dxa"/>
            <w:tcBorders>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340" w:lineRule="exact"/>
              <w:textAlignment w:val="auto"/>
              <w:rPr>
                <w:rFonts w:hint="eastAsia" w:ascii="宋体" w:hAnsi="宋体" w:cs="仿宋"/>
                <w:color w:val="auto"/>
                <w:szCs w:val="21"/>
                <w:highlight w:val="none"/>
              </w:rPr>
            </w:pPr>
            <w:r>
              <w:rPr>
                <w:rFonts w:hint="eastAsia" w:ascii="宋体" w:hAnsi="宋体" w:cs="仿宋"/>
                <w:color w:val="auto"/>
                <w:szCs w:val="21"/>
                <w:highlight w:val="none"/>
              </w:rPr>
              <w:t xml:space="preserve">理解基本准确，得3.0-3.5分；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85" w:hRule="atLeast"/>
          <w:jc w:val="center"/>
        </w:trPr>
        <w:tc>
          <w:tcPr>
            <w:tcW w:w="791" w:type="dxa"/>
            <w:vMerge w:val="continue"/>
            <w:noWrap w:val="0"/>
            <w:vAlign w:val="center"/>
          </w:tcPr>
          <w:p>
            <w:pPr>
              <w:keepNext w:val="0"/>
              <w:keepLines w:val="0"/>
              <w:pageBreakBefore w:val="0"/>
              <w:widowControl w:val="0"/>
              <w:kinsoku/>
              <w:wordWrap/>
              <w:overflowPunct/>
              <w:topLinePunct w:val="0"/>
              <w:autoSpaceDE/>
              <w:autoSpaceDN/>
              <w:bidi w:val="0"/>
              <w:snapToGrid/>
              <w:spacing w:line="340" w:lineRule="exact"/>
              <w:ind w:firstLine="420" w:firstLineChars="200"/>
              <w:jc w:val="center"/>
              <w:textAlignment w:val="auto"/>
              <w:rPr>
                <w:rFonts w:hint="eastAsia" w:ascii="宋体" w:hAnsi="宋体" w:cs="仿宋"/>
                <w:color w:val="auto"/>
                <w:szCs w:val="21"/>
                <w:highlight w:val="none"/>
              </w:rPr>
            </w:pPr>
          </w:p>
        </w:tc>
        <w:tc>
          <w:tcPr>
            <w:tcW w:w="705" w:type="dxa"/>
            <w:vMerge w:val="continue"/>
            <w:noWrap w:val="0"/>
            <w:vAlign w:val="center"/>
          </w:tcPr>
          <w:p>
            <w:pPr>
              <w:keepNext w:val="0"/>
              <w:keepLines w:val="0"/>
              <w:pageBreakBefore w:val="0"/>
              <w:widowControl w:val="0"/>
              <w:kinsoku/>
              <w:wordWrap/>
              <w:overflowPunct/>
              <w:topLinePunct w:val="0"/>
              <w:autoSpaceDE/>
              <w:autoSpaceDN/>
              <w:bidi w:val="0"/>
              <w:snapToGrid/>
              <w:spacing w:line="340" w:lineRule="exact"/>
              <w:ind w:firstLine="420" w:firstLineChars="200"/>
              <w:jc w:val="center"/>
              <w:textAlignment w:val="auto"/>
              <w:rPr>
                <w:rFonts w:hint="eastAsia" w:ascii="宋体" w:hAnsi="宋体" w:cs="仿宋"/>
                <w:color w:val="auto"/>
                <w:szCs w:val="21"/>
                <w:highlight w:val="none"/>
              </w:rPr>
            </w:pPr>
          </w:p>
        </w:tc>
        <w:tc>
          <w:tcPr>
            <w:tcW w:w="1033" w:type="dxa"/>
            <w:vMerge w:val="continue"/>
            <w:noWrap w:val="0"/>
            <w:vAlign w:val="center"/>
          </w:tcPr>
          <w:p>
            <w:pPr>
              <w:keepNext w:val="0"/>
              <w:keepLines w:val="0"/>
              <w:pageBreakBefore w:val="0"/>
              <w:widowControl w:val="0"/>
              <w:kinsoku/>
              <w:wordWrap/>
              <w:overflowPunct/>
              <w:topLinePunct w:val="0"/>
              <w:autoSpaceDE/>
              <w:autoSpaceDN/>
              <w:bidi w:val="0"/>
              <w:snapToGrid/>
              <w:spacing w:line="340" w:lineRule="exact"/>
              <w:ind w:firstLine="420" w:firstLineChars="200"/>
              <w:jc w:val="center"/>
              <w:textAlignment w:val="auto"/>
              <w:rPr>
                <w:rFonts w:hint="eastAsia" w:ascii="宋体" w:hAnsi="宋体" w:cs="仿宋"/>
                <w:color w:val="auto"/>
                <w:szCs w:val="21"/>
                <w:highlight w:val="none"/>
              </w:rPr>
            </w:pPr>
          </w:p>
        </w:tc>
        <w:tc>
          <w:tcPr>
            <w:tcW w:w="1197"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340" w:lineRule="exact"/>
              <w:ind w:firstLine="420" w:firstLineChars="200"/>
              <w:jc w:val="center"/>
              <w:textAlignment w:val="auto"/>
              <w:rPr>
                <w:rFonts w:hint="eastAsia" w:ascii="宋体" w:hAnsi="宋体" w:cs="仿宋"/>
                <w:color w:val="auto"/>
                <w:szCs w:val="21"/>
                <w:highlight w:val="none"/>
              </w:rPr>
            </w:pPr>
          </w:p>
        </w:tc>
        <w:tc>
          <w:tcPr>
            <w:tcW w:w="562"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340" w:lineRule="exact"/>
              <w:ind w:firstLine="420" w:firstLineChars="200"/>
              <w:jc w:val="center"/>
              <w:textAlignment w:val="auto"/>
              <w:rPr>
                <w:rFonts w:hint="eastAsia" w:ascii="宋体" w:hAnsi="宋体" w:cs="仿宋"/>
                <w:color w:val="auto"/>
                <w:szCs w:val="21"/>
                <w:highlight w:val="none"/>
              </w:rPr>
            </w:pPr>
          </w:p>
        </w:tc>
        <w:tc>
          <w:tcPr>
            <w:tcW w:w="5591"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340" w:lineRule="exact"/>
              <w:textAlignment w:val="auto"/>
              <w:rPr>
                <w:rFonts w:hint="eastAsia" w:ascii="宋体" w:hAnsi="宋体" w:cs="仿宋"/>
                <w:color w:val="auto"/>
                <w:szCs w:val="21"/>
                <w:highlight w:val="none"/>
              </w:rPr>
            </w:pPr>
            <w:r>
              <w:rPr>
                <w:rFonts w:hint="eastAsia" w:ascii="宋体" w:hAnsi="宋体" w:cs="仿宋"/>
                <w:color w:val="auto"/>
                <w:szCs w:val="21"/>
                <w:highlight w:val="none"/>
              </w:rPr>
              <w:t>理解较准确，思路较清晰，得3.</w:t>
            </w:r>
            <w:r>
              <w:rPr>
                <w:rFonts w:hint="eastAsia" w:ascii="宋体" w:hAnsi="宋体" w:cs="仿宋"/>
                <w:color w:val="auto"/>
                <w:szCs w:val="21"/>
                <w:highlight w:val="none"/>
                <w:lang w:val="en-US" w:eastAsia="zh-CN"/>
              </w:rPr>
              <w:t>5</w:t>
            </w:r>
            <w:r>
              <w:rPr>
                <w:rFonts w:hint="eastAsia" w:ascii="宋体" w:hAnsi="宋体" w:cs="仿宋"/>
                <w:color w:val="auto"/>
                <w:szCs w:val="21"/>
                <w:highlight w:val="none"/>
              </w:rPr>
              <w:t xml:space="preserve">－4.0分；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7" w:hRule="atLeast"/>
          <w:jc w:val="center"/>
        </w:trPr>
        <w:tc>
          <w:tcPr>
            <w:tcW w:w="791" w:type="dxa"/>
            <w:vMerge w:val="continue"/>
            <w:noWrap w:val="0"/>
            <w:vAlign w:val="center"/>
          </w:tcPr>
          <w:p>
            <w:pPr>
              <w:keepNext w:val="0"/>
              <w:keepLines w:val="0"/>
              <w:pageBreakBefore w:val="0"/>
              <w:widowControl w:val="0"/>
              <w:kinsoku/>
              <w:wordWrap/>
              <w:overflowPunct/>
              <w:topLinePunct w:val="0"/>
              <w:autoSpaceDE/>
              <w:autoSpaceDN/>
              <w:bidi w:val="0"/>
              <w:snapToGrid/>
              <w:spacing w:line="340" w:lineRule="exact"/>
              <w:ind w:firstLine="420" w:firstLineChars="200"/>
              <w:jc w:val="center"/>
              <w:textAlignment w:val="auto"/>
              <w:rPr>
                <w:rFonts w:hint="eastAsia" w:ascii="宋体" w:hAnsi="宋体" w:cs="仿宋"/>
                <w:color w:val="auto"/>
                <w:szCs w:val="21"/>
                <w:highlight w:val="none"/>
              </w:rPr>
            </w:pPr>
          </w:p>
        </w:tc>
        <w:tc>
          <w:tcPr>
            <w:tcW w:w="705" w:type="dxa"/>
            <w:vMerge w:val="continue"/>
            <w:noWrap w:val="0"/>
            <w:vAlign w:val="center"/>
          </w:tcPr>
          <w:p>
            <w:pPr>
              <w:keepNext w:val="0"/>
              <w:keepLines w:val="0"/>
              <w:pageBreakBefore w:val="0"/>
              <w:widowControl w:val="0"/>
              <w:kinsoku/>
              <w:wordWrap/>
              <w:overflowPunct/>
              <w:topLinePunct w:val="0"/>
              <w:autoSpaceDE/>
              <w:autoSpaceDN/>
              <w:bidi w:val="0"/>
              <w:snapToGrid/>
              <w:spacing w:line="340" w:lineRule="exact"/>
              <w:ind w:firstLine="420" w:firstLineChars="200"/>
              <w:jc w:val="center"/>
              <w:textAlignment w:val="auto"/>
              <w:rPr>
                <w:rFonts w:hint="eastAsia" w:ascii="宋体" w:hAnsi="宋体" w:cs="仿宋"/>
                <w:color w:val="auto"/>
                <w:szCs w:val="21"/>
                <w:highlight w:val="none"/>
              </w:rPr>
            </w:pPr>
          </w:p>
        </w:tc>
        <w:tc>
          <w:tcPr>
            <w:tcW w:w="1033" w:type="dxa"/>
            <w:vMerge w:val="continue"/>
            <w:noWrap w:val="0"/>
            <w:vAlign w:val="center"/>
          </w:tcPr>
          <w:p>
            <w:pPr>
              <w:keepNext w:val="0"/>
              <w:keepLines w:val="0"/>
              <w:pageBreakBefore w:val="0"/>
              <w:widowControl w:val="0"/>
              <w:kinsoku/>
              <w:wordWrap/>
              <w:overflowPunct/>
              <w:topLinePunct w:val="0"/>
              <w:autoSpaceDE/>
              <w:autoSpaceDN/>
              <w:bidi w:val="0"/>
              <w:snapToGrid/>
              <w:spacing w:line="340" w:lineRule="exact"/>
              <w:ind w:firstLine="420" w:firstLineChars="200"/>
              <w:jc w:val="center"/>
              <w:textAlignment w:val="auto"/>
              <w:rPr>
                <w:rFonts w:hint="eastAsia" w:ascii="宋体" w:hAnsi="宋体" w:cs="仿宋"/>
                <w:color w:val="auto"/>
                <w:szCs w:val="21"/>
                <w:highlight w:val="none"/>
              </w:rPr>
            </w:pPr>
          </w:p>
        </w:tc>
        <w:tc>
          <w:tcPr>
            <w:tcW w:w="1197"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340" w:lineRule="exact"/>
              <w:ind w:firstLine="420" w:firstLineChars="200"/>
              <w:jc w:val="center"/>
              <w:textAlignment w:val="auto"/>
              <w:rPr>
                <w:rFonts w:hint="eastAsia" w:ascii="宋体" w:hAnsi="宋体" w:cs="仿宋"/>
                <w:color w:val="auto"/>
                <w:szCs w:val="21"/>
                <w:highlight w:val="none"/>
              </w:rPr>
            </w:pPr>
          </w:p>
        </w:tc>
        <w:tc>
          <w:tcPr>
            <w:tcW w:w="562"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340" w:lineRule="exact"/>
              <w:ind w:firstLine="420" w:firstLineChars="200"/>
              <w:jc w:val="center"/>
              <w:textAlignment w:val="auto"/>
              <w:rPr>
                <w:rFonts w:hint="eastAsia" w:ascii="宋体" w:hAnsi="宋体" w:cs="仿宋"/>
                <w:color w:val="auto"/>
                <w:szCs w:val="21"/>
                <w:highlight w:val="none"/>
              </w:rPr>
            </w:pPr>
          </w:p>
        </w:tc>
        <w:tc>
          <w:tcPr>
            <w:tcW w:w="5591"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340" w:lineRule="exact"/>
              <w:textAlignment w:val="auto"/>
              <w:rPr>
                <w:rFonts w:hint="eastAsia" w:ascii="宋体" w:hAnsi="宋体" w:cs="仿宋"/>
                <w:color w:val="auto"/>
                <w:szCs w:val="21"/>
                <w:highlight w:val="none"/>
              </w:rPr>
            </w:pPr>
            <w:r>
              <w:rPr>
                <w:rFonts w:hint="eastAsia" w:ascii="宋体" w:hAnsi="宋体" w:cs="仿宋"/>
                <w:color w:val="auto"/>
                <w:szCs w:val="21"/>
                <w:highlight w:val="none"/>
              </w:rPr>
              <w:t>理解准确，思路清晰，全面、合理，符合项目要求，得4.</w:t>
            </w:r>
            <w:r>
              <w:rPr>
                <w:rFonts w:hint="eastAsia" w:ascii="宋体" w:hAnsi="宋体" w:cs="仿宋"/>
                <w:color w:val="auto"/>
                <w:szCs w:val="21"/>
                <w:highlight w:val="none"/>
                <w:lang w:val="en-US" w:eastAsia="zh-CN"/>
              </w:rPr>
              <w:t>0</w:t>
            </w:r>
            <w:r>
              <w:rPr>
                <w:rFonts w:hint="eastAsia" w:ascii="宋体" w:hAnsi="宋体" w:cs="仿宋"/>
                <w:color w:val="auto"/>
                <w:szCs w:val="21"/>
                <w:highlight w:val="none"/>
              </w:rPr>
              <w:t xml:space="preserve">－5.0分。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94" w:hRule="atLeast"/>
          <w:jc w:val="center"/>
        </w:trPr>
        <w:tc>
          <w:tcPr>
            <w:tcW w:w="791" w:type="dxa"/>
            <w:vMerge w:val="continue"/>
            <w:noWrap w:val="0"/>
            <w:vAlign w:val="center"/>
          </w:tcPr>
          <w:p>
            <w:pPr>
              <w:keepNext w:val="0"/>
              <w:keepLines w:val="0"/>
              <w:pageBreakBefore w:val="0"/>
              <w:widowControl w:val="0"/>
              <w:kinsoku/>
              <w:wordWrap/>
              <w:overflowPunct/>
              <w:topLinePunct w:val="0"/>
              <w:autoSpaceDE/>
              <w:autoSpaceDN/>
              <w:bidi w:val="0"/>
              <w:snapToGrid/>
              <w:spacing w:line="340" w:lineRule="exact"/>
              <w:ind w:firstLine="420" w:firstLineChars="200"/>
              <w:jc w:val="center"/>
              <w:textAlignment w:val="auto"/>
              <w:rPr>
                <w:rFonts w:hint="eastAsia" w:ascii="宋体" w:hAnsi="宋体" w:cs="仿宋"/>
                <w:color w:val="auto"/>
                <w:szCs w:val="21"/>
                <w:highlight w:val="none"/>
              </w:rPr>
            </w:pPr>
          </w:p>
        </w:tc>
        <w:tc>
          <w:tcPr>
            <w:tcW w:w="705" w:type="dxa"/>
            <w:vMerge w:val="continue"/>
            <w:noWrap w:val="0"/>
            <w:vAlign w:val="center"/>
          </w:tcPr>
          <w:p>
            <w:pPr>
              <w:keepNext w:val="0"/>
              <w:keepLines w:val="0"/>
              <w:pageBreakBefore w:val="0"/>
              <w:widowControl w:val="0"/>
              <w:kinsoku/>
              <w:wordWrap/>
              <w:overflowPunct/>
              <w:topLinePunct w:val="0"/>
              <w:autoSpaceDE/>
              <w:autoSpaceDN/>
              <w:bidi w:val="0"/>
              <w:snapToGrid/>
              <w:spacing w:line="340" w:lineRule="exact"/>
              <w:ind w:firstLine="420" w:firstLineChars="200"/>
              <w:jc w:val="center"/>
              <w:textAlignment w:val="auto"/>
              <w:rPr>
                <w:rFonts w:hint="eastAsia" w:ascii="宋体" w:hAnsi="宋体" w:cs="仿宋"/>
                <w:color w:val="auto"/>
                <w:szCs w:val="21"/>
                <w:highlight w:val="none"/>
              </w:rPr>
            </w:pPr>
          </w:p>
        </w:tc>
        <w:tc>
          <w:tcPr>
            <w:tcW w:w="1033" w:type="dxa"/>
            <w:vMerge w:val="continue"/>
            <w:noWrap w:val="0"/>
            <w:vAlign w:val="center"/>
          </w:tcPr>
          <w:p>
            <w:pPr>
              <w:keepNext w:val="0"/>
              <w:keepLines w:val="0"/>
              <w:pageBreakBefore w:val="0"/>
              <w:widowControl w:val="0"/>
              <w:kinsoku/>
              <w:wordWrap/>
              <w:overflowPunct/>
              <w:topLinePunct w:val="0"/>
              <w:autoSpaceDE/>
              <w:autoSpaceDN/>
              <w:bidi w:val="0"/>
              <w:snapToGrid/>
              <w:spacing w:line="340" w:lineRule="exact"/>
              <w:ind w:firstLine="420" w:firstLineChars="200"/>
              <w:jc w:val="center"/>
              <w:textAlignment w:val="auto"/>
              <w:rPr>
                <w:rFonts w:hint="eastAsia" w:ascii="宋体" w:hAnsi="宋体" w:cs="仿宋"/>
                <w:color w:val="auto"/>
                <w:szCs w:val="21"/>
                <w:highlight w:val="none"/>
              </w:rPr>
            </w:pPr>
          </w:p>
        </w:tc>
        <w:tc>
          <w:tcPr>
            <w:tcW w:w="1197" w:type="dxa"/>
            <w:vMerge w:val="restar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340" w:lineRule="exact"/>
              <w:jc w:val="center"/>
              <w:textAlignment w:val="auto"/>
              <w:rPr>
                <w:rFonts w:hint="eastAsia" w:ascii="宋体" w:hAnsi="宋体" w:cs="仿宋"/>
                <w:color w:val="auto"/>
                <w:szCs w:val="21"/>
                <w:highlight w:val="none"/>
              </w:rPr>
            </w:pPr>
            <w:r>
              <w:rPr>
                <w:rFonts w:hint="eastAsia" w:ascii="宋体" w:hAnsi="宋体" w:cs="仿宋"/>
                <w:color w:val="auto"/>
                <w:szCs w:val="21"/>
                <w:highlight w:val="none"/>
              </w:rPr>
              <w:t>第三方试验检测工作管理程序和试验管理程序</w:t>
            </w:r>
          </w:p>
        </w:tc>
        <w:tc>
          <w:tcPr>
            <w:tcW w:w="562"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340" w:lineRule="exact"/>
              <w:jc w:val="center"/>
              <w:textAlignment w:val="auto"/>
              <w:rPr>
                <w:rFonts w:hint="eastAsia" w:ascii="宋体" w:hAnsi="宋体" w:cs="仿宋"/>
                <w:color w:val="auto"/>
                <w:szCs w:val="21"/>
                <w:highlight w:val="none"/>
              </w:rPr>
            </w:pPr>
            <w:r>
              <w:rPr>
                <w:rFonts w:hint="eastAsia" w:ascii="宋体" w:hAnsi="宋体" w:cs="仿宋"/>
                <w:color w:val="auto"/>
                <w:szCs w:val="21"/>
                <w:highlight w:val="none"/>
                <w:lang w:val="en-US" w:eastAsia="zh-CN"/>
              </w:rPr>
              <w:t>20</w:t>
            </w:r>
            <w:r>
              <w:rPr>
                <w:rFonts w:hint="eastAsia" w:ascii="宋体" w:hAnsi="宋体" w:cs="仿宋"/>
                <w:color w:val="auto"/>
                <w:szCs w:val="21"/>
                <w:highlight w:val="none"/>
              </w:rPr>
              <w:t>分</w:t>
            </w:r>
          </w:p>
        </w:tc>
        <w:tc>
          <w:tcPr>
            <w:tcW w:w="5591"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340" w:lineRule="exact"/>
              <w:textAlignment w:val="auto"/>
              <w:rPr>
                <w:rFonts w:hint="eastAsia" w:ascii="宋体" w:hAnsi="宋体" w:cs="仿宋"/>
                <w:color w:val="auto"/>
                <w:szCs w:val="21"/>
                <w:highlight w:val="none"/>
              </w:rPr>
            </w:pPr>
            <w:r>
              <w:rPr>
                <w:rFonts w:hint="eastAsia" w:ascii="宋体" w:hAnsi="宋体" w:cs="仿宋"/>
                <w:color w:val="auto"/>
                <w:szCs w:val="21"/>
                <w:highlight w:val="none"/>
              </w:rPr>
              <w:t>内容基本齐全，阶段划分基本合理，可实施性一般，得</w:t>
            </w:r>
            <w:r>
              <w:rPr>
                <w:rFonts w:hint="eastAsia" w:ascii="宋体" w:hAnsi="宋体" w:cs="仿宋"/>
                <w:color w:val="auto"/>
                <w:szCs w:val="21"/>
                <w:highlight w:val="none"/>
                <w:lang w:val="en-US" w:eastAsia="zh-CN"/>
              </w:rPr>
              <w:t>12</w:t>
            </w:r>
            <w:r>
              <w:rPr>
                <w:rFonts w:hint="eastAsia" w:ascii="宋体" w:hAnsi="宋体" w:cs="仿宋"/>
                <w:color w:val="auto"/>
                <w:szCs w:val="21"/>
                <w:highlight w:val="none"/>
              </w:rPr>
              <w:t>.</w:t>
            </w:r>
            <w:r>
              <w:rPr>
                <w:rFonts w:hint="eastAsia" w:ascii="宋体" w:hAnsi="宋体" w:cs="仿宋"/>
                <w:color w:val="auto"/>
                <w:szCs w:val="21"/>
                <w:highlight w:val="none"/>
                <w:lang w:val="en-US" w:eastAsia="zh-CN"/>
              </w:rPr>
              <w:t>0</w:t>
            </w:r>
            <w:r>
              <w:rPr>
                <w:rFonts w:hint="eastAsia" w:ascii="宋体" w:hAnsi="宋体" w:cs="仿宋"/>
                <w:color w:val="auto"/>
                <w:szCs w:val="21"/>
                <w:highlight w:val="none"/>
              </w:rPr>
              <w:t>-</w:t>
            </w:r>
            <w:r>
              <w:rPr>
                <w:rFonts w:hint="eastAsia" w:ascii="宋体" w:hAnsi="宋体" w:cs="仿宋"/>
                <w:color w:val="auto"/>
                <w:szCs w:val="21"/>
                <w:highlight w:val="none"/>
                <w:lang w:val="en-US" w:eastAsia="zh-CN"/>
              </w:rPr>
              <w:t>14</w:t>
            </w:r>
            <w:r>
              <w:rPr>
                <w:rFonts w:hint="eastAsia" w:ascii="宋体" w:hAnsi="宋体" w:cs="仿宋"/>
                <w:color w:val="auto"/>
                <w:szCs w:val="21"/>
                <w:highlight w:val="none"/>
              </w:rPr>
              <w:t>.0分；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94" w:hRule="atLeast"/>
          <w:jc w:val="center"/>
        </w:trPr>
        <w:tc>
          <w:tcPr>
            <w:tcW w:w="791" w:type="dxa"/>
            <w:vMerge w:val="continue"/>
            <w:noWrap w:val="0"/>
            <w:vAlign w:val="center"/>
          </w:tcPr>
          <w:p>
            <w:pPr>
              <w:keepNext w:val="0"/>
              <w:keepLines w:val="0"/>
              <w:pageBreakBefore w:val="0"/>
              <w:widowControl w:val="0"/>
              <w:kinsoku/>
              <w:wordWrap/>
              <w:overflowPunct/>
              <w:topLinePunct w:val="0"/>
              <w:autoSpaceDE/>
              <w:autoSpaceDN/>
              <w:bidi w:val="0"/>
              <w:snapToGrid/>
              <w:spacing w:line="340" w:lineRule="exact"/>
              <w:ind w:firstLine="420" w:firstLineChars="200"/>
              <w:jc w:val="center"/>
              <w:textAlignment w:val="auto"/>
              <w:rPr>
                <w:rFonts w:hint="eastAsia" w:ascii="宋体" w:hAnsi="宋体" w:cs="仿宋"/>
                <w:color w:val="auto"/>
                <w:szCs w:val="21"/>
                <w:highlight w:val="none"/>
              </w:rPr>
            </w:pPr>
          </w:p>
        </w:tc>
        <w:tc>
          <w:tcPr>
            <w:tcW w:w="705" w:type="dxa"/>
            <w:vMerge w:val="continue"/>
            <w:noWrap w:val="0"/>
            <w:vAlign w:val="center"/>
          </w:tcPr>
          <w:p>
            <w:pPr>
              <w:keepNext w:val="0"/>
              <w:keepLines w:val="0"/>
              <w:pageBreakBefore w:val="0"/>
              <w:widowControl w:val="0"/>
              <w:kinsoku/>
              <w:wordWrap/>
              <w:overflowPunct/>
              <w:topLinePunct w:val="0"/>
              <w:autoSpaceDE/>
              <w:autoSpaceDN/>
              <w:bidi w:val="0"/>
              <w:snapToGrid/>
              <w:spacing w:line="340" w:lineRule="exact"/>
              <w:ind w:firstLine="420" w:firstLineChars="200"/>
              <w:jc w:val="center"/>
              <w:textAlignment w:val="auto"/>
              <w:rPr>
                <w:rFonts w:hint="eastAsia" w:ascii="宋体" w:hAnsi="宋体" w:cs="仿宋"/>
                <w:color w:val="auto"/>
                <w:szCs w:val="21"/>
                <w:highlight w:val="none"/>
              </w:rPr>
            </w:pPr>
          </w:p>
        </w:tc>
        <w:tc>
          <w:tcPr>
            <w:tcW w:w="1033" w:type="dxa"/>
            <w:vMerge w:val="continue"/>
            <w:noWrap w:val="0"/>
            <w:vAlign w:val="center"/>
          </w:tcPr>
          <w:p>
            <w:pPr>
              <w:keepNext w:val="0"/>
              <w:keepLines w:val="0"/>
              <w:pageBreakBefore w:val="0"/>
              <w:widowControl w:val="0"/>
              <w:kinsoku/>
              <w:wordWrap/>
              <w:overflowPunct/>
              <w:topLinePunct w:val="0"/>
              <w:autoSpaceDE/>
              <w:autoSpaceDN/>
              <w:bidi w:val="0"/>
              <w:snapToGrid/>
              <w:spacing w:line="340" w:lineRule="exact"/>
              <w:ind w:firstLine="420" w:firstLineChars="200"/>
              <w:jc w:val="center"/>
              <w:textAlignment w:val="auto"/>
              <w:rPr>
                <w:rFonts w:hint="eastAsia" w:ascii="宋体" w:hAnsi="宋体" w:cs="仿宋"/>
                <w:color w:val="auto"/>
                <w:szCs w:val="21"/>
                <w:highlight w:val="none"/>
              </w:rPr>
            </w:pPr>
          </w:p>
        </w:tc>
        <w:tc>
          <w:tcPr>
            <w:tcW w:w="1197"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340" w:lineRule="exact"/>
              <w:ind w:firstLine="420" w:firstLineChars="200"/>
              <w:jc w:val="center"/>
              <w:textAlignment w:val="auto"/>
              <w:rPr>
                <w:rFonts w:hint="eastAsia" w:ascii="宋体" w:hAnsi="宋体" w:cs="仿宋"/>
                <w:color w:val="auto"/>
                <w:szCs w:val="21"/>
                <w:highlight w:val="none"/>
              </w:rPr>
            </w:pPr>
          </w:p>
        </w:tc>
        <w:tc>
          <w:tcPr>
            <w:tcW w:w="56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340" w:lineRule="exact"/>
              <w:ind w:firstLine="420" w:firstLineChars="200"/>
              <w:jc w:val="center"/>
              <w:textAlignment w:val="auto"/>
              <w:rPr>
                <w:rFonts w:hint="eastAsia" w:ascii="宋体" w:hAnsi="宋体" w:cs="仿宋"/>
                <w:color w:val="auto"/>
                <w:szCs w:val="21"/>
                <w:highlight w:val="none"/>
              </w:rPr>
            </w:pPr>
          </w:p>
        </w:tc>
        <w:tc>
          <w:tcPr>
            <w:tcW w:w="5591"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340" w:lineRule="exact"/>
              <w:textAlignment w:val="auto"/>
              <w:rPr>
                <w:rFonts w:hint="eastAsia" w:ascii="宋体" w:hAnsi="宋体" w:cs="仿宋"/>
                <w:color w:val="auto"/>
                <w:szCs w:val="21"/>
                <w:highlight w:val="none"/>
              </w:rPr>
            </w:pPr>
            <w:r>
              <w:rPr>
                <w:rFonts w:hint="eastAsia" w:ascii="宋体" w:hAnsi="宋体" w:cs="仿宋"/>
                <w:color w:val="auto"/>
                <w:szCs w:val="21"/>
                <w:highlight w:val="none"/>
              </w:rPr>
              <w:t>内容较齐全，阶段划分较合理，可实施性较好，得</w:t>
            </w:r>
            <w:r>
              <w:rPr>
                <w:rFonts w:hint="eastAsia" w:ascii="宋体" w:hAnsi="宋体" w:cs="仿宋"/>
                <w:color w:val="auto"/>
                <w:szCs w:val="21"/>
                <w:highlight w:val="none"/>
                <w:lang w:val="en-US" w:eastAsia="zh-CN"/>
              </w:rPr>
              <w:t>14</w:t>
            </w:r>
            <w:r>
              <w:rPr>
                <w:rFonts w:hint="eastAsia" w:ascii="宋体" w:hAnsi="宋体" w:cs="仿宋"/>
                <w:color w:val="auto"/>
                <w:szCs w:val="21"/>
                <w:highlight w:val="none"/>
              </w:rPr>
              <w:t>.</w:t>
            </w:r>
            <w:r>
              <w:rPr>
                <w:rFonts w:hint="eastAsia" w:ascii="宋体" w:hAnsi="宋体" w:cs="仿宋"/>
                <w:color w:val="auto"/>
                <w:szCs w:val="21"/>
                <w:highlight w:val="none"/>
                <w:lang w:val="en-US" w:eastAsia="zh-CN"/>
              </w:rPr>
              <w:t>0</w:t>
            </w:r>
            <w:r>
              <w:rPr>
                <w:rFonts w:hint="eastAsia" w:ascii="宋体" w:hAnsi="宋体" w:cs="仿宋"/>
                <w:color w:val="auto"/>
                <w:szCs w:val="21"/>
                <w:highlight w:val="none"/>
              </w:rPr>
              <w:t>－</w:t>
            </w:r>
            <w:r>
              <w:rPr>
                <w:rFonts w:hint="eastAsia" w:ascii="宋体" w:hAnsi="宋体" w:cs="仿宋"/>
                <w:color w:val="auto"/>
                <w:szCs w:val="21"/>
                <w:highlight w:val="none"/>
                <w:lang w:val="en-US" w:eastAsia="zh-CN"/>
              </w:rPr>
              <w:t>16</w:t>
            </w:r>
            <w:r>
              <w:rPr>
                <w:rFonts w:hint="eastAsia" w:ascii="宋体" w:hAnsi="宋体" w:cs="仿宋"/>
                <w:color w:val="auto"/>
                <w:szCs w:val="21"/>
                <w:highlight w:val="none"/>
              </w:rPr>
              <w:t>.0分；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94" w:hRule="atLeast"/>
          <w:jc w:val="center"/>
        </w:trPr>
        <w:tc>
          <w:tcPr>
            <w:tcW w:w="791" w:type="dxa"/>
            <w:vMerge w:val="continue"/>
            <w:noWrap w:val="0"/>
            <w:vAlign w:val="center"/>
          </w:tcPr>
          <w:p>
            <w:pPr>
              <w:keepNext w:val="0"/>
              <w:keepLines w:val="0"/>
              <w:pageBreakBefore w:val="0"/>
              <w:widowControl w:val="0"/>
              <w:kinsoku/>
              <w:wordWrap/>
              <w:overflowPunct/>
              <w:topLinePunct w:val="0"/>
              <w:autoSpaceDE/>
              <w:autoSpaceDN/>
              <w:bidi w:val="0"/>
              <w:snapToGrid/>
              <w:spacing w:line="340" w:lineRule="exact"/>
              <w:ind w:firstLine="420" w:firstLineChars="200"/>
              <w:jc w:val="center"/>
              <w:textAlignment w:val="auto"/>
              <w:rPr>
                <w:rFonts w:hint="eastAsia" w:ascii="宋体" w:hAnsi="宋体" w:cs="仿宋"/>
                <w:color w:val="auto"/>
                <w:szCs w:val="21"/>
                <w:highlight w:val="none"/>
              </w:rPr>
            </w:pPr>
          </w:p>
        </w:tc>
        <w:tc>
          <w:tcPr>
            <w:tcW w:w="705" w:type="dxa"/>
            <w:vMerge w:val="continue"/>
            <w:noWrap w:val="0"/>
            <w:vAlign w:val="center"/>
          </w:tcPr>
          <w:p>
            <w:pPr>
              <w:keepNext w:val="0"/>
              <w:keepLines w:val="0"/>
              <w:pageBreakBefore w:val="0"/>
              <w:widowControl w:val="0"/>
              <w:kinsoku/>
              <w:wordWrap/>
              <w:overflowPunct/>
              <w:topLinePunct w:val="0"/>
              <w:autoSpaceDE/>
              <w:autoSpaceDN/>
              <w:bidi w:val="0"/>
              <w:snapToGrid/>
              <w:spacing w:line="340" w:lineRule="exact"/>
              <w:ind w:firstLine="420" w:firstLineChars="200"/>
              <w:jc w:val="center"/>
              <w:textAlignment w:val="auto"/>
              <w:rPr>
                <w:rFonts w:hint="eastAsia" w:ascii="宋体" w:hAnsi="宋体" w:cs="仿宋"/>
                <w:color w:val="auto"/>
                <w:szCs w:val="21"/>
                <w:highlight w:val="none"/>
              </w:rPr>
            </w:pPr>
          </w:p>
        </w:tc>
        <w:tc>
          <w:tcPr>
            <w:tcW w:w="1033" w:type="dxa"/>
            <w:vMerge w:val="continue"/>
            <w:noWrap w:val="0"/>
            <w:vAlign w:val="center"/>
          </w:tcPr>
          <w:p>
            <w:pPr>
              <w:keepNext w:val="0"/>
              <w:keepLines w:val="0"/>
              <w:pageBreakBefore w:val="0"/>
              <w:widowControl w:val="0"/>
              <w:kinsoku/>
              <w:wordWrap/>
              <w:overflowPunct/>
              <w:topLinePunct w:val="0"/>
              <w:autoSpaceDE/>
              <w:autoSpaceDN/>
              <w:bidi w:val="0"/>
              <w:snapToGrid/>
              <w:spacing w:line="340" w:lineRule="exact"/>
              <w:ind w:firstLine="420" w:firstLineChars="200"/>
              <w:jc w:val="center"/>
              <w:textAlignment w:val="auto"/>
              <w:rPr>
                <w:rFonts w:hint="eastAsia" w:ascii="宋体" w:hAnsi="宋体" w:cs="仿宋"/>
                <w:color w:val="auto"/>
                <w:szCs w:val="21"/>
                <w:highlight w:val="none"/>
              </w:rPr>
            </w:pPr>
          </w:p>
        </w:tc>
        <w:tc>
          <w:tcPr>
            <w:tcW w:w="1197"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340" w:lineRule="exact"/>
              <w:ind w:firstLine="420" w:firstLineChars="200"/>
              <w:jc w:val="center"/>
              <w:textAlignment w:val="auto"/>
              <w:rPr>
                <w:rFonts w:hint="eastAsia" w:ascii="宋体" w:hAnsi="宋体" w:cs="仿宋"/>
                <w:color w:val="auto"/>
                <w:szCs w:val="21"/>
                <w:highlight w:val="none"/>
              </w:rPr>
            </w:pPr>
          </w:p>
        </w:tc>
        <w:tc>
          <w:tcPr>
            <w:tcW w:w="56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340" w:lineRule="exact"/>
              <w:ind w:firstLine="420" w:firstLineChars="200"/>
              <w:jc w:val="center"/>
              <w:textAlignment w:val="auto"/>
              <w:rPr>
                <w:rFonts w:hint="eastAsia" w:ascii="宋体" w:hAnsi="宋体" w:cs="仿宋"/>
                <w:color w:val="auto"/>
                <w:szCs w:val="21"/>
                <w:highlight w:val="none"/>
              </w:rPr>
            </w:pPr>
          </w:p>
        </w:tc>
        <w:tc>
          <w:tcPr>
            <w:tcW w:w="5591" w:type="dxa"/>
            <w:tcBorders>
              <w:top w:val="single" w:color="auto" w:sz="4" w:space="0"/>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340" w:lineRule="exact"/>
              <w:textAlignment w:val="auto"/>
              <w:rPr>
                <w:rFonts w:hint="eastAsia" w:ascii="宋体" w:hAnsi="宋体" w:cs="仿宋"/>
                <w:color w:val="auto"/>
                <w:szCs w:val="21"/>
                <w:highlight w:val="none"/>
              </w:rPr>
            </w:pPr>
            <w:r>
              <w:rPr>
                <w:rFonts w:hint="eastAsia" w:ascii="宋体" w:hAnsi="宋体" w:cs="仿宋"/>
                <w:color w:val="auto"/>
                <w:szCs w:val="21"/>
                <w:highlight w:val="none"/>
              </w:rPr>
              <w:t>内容齐全，阶段划分合理、正确，可实施性强，得</w:t>
            </w:r>
            <w:r>
              <w:rPr>
                <w:rFonts w:hint="eastAsia" w:ascii="宋体" w:hAnsi="宋体" w:cs="仿宋"/>
                <w:color w:val="auto"/>
                <w:szCs w:val="21"/>
                <w:highlight w:val="none"/>
                <w:lang w:val="en-US" w:eastAsia="zh-CN"/>
              </w:rPr>
              <w:t>16.0</w:t>
            </w:r>
            <w:r>
              <w:rPr>
                <w:rFonts w:hint="eastAsia" w:ascii="宋体" w:hAnsi="宋体" w:cs="仿宋"/>
                <w:color w:val="auto"/>
                <w:szCs w:val="21"/>
                <w:highlight w:val="none"/>
              </w:rPr>
              <w:t>－</w:t>
            </w:r>
            <w:r>
              <w:rPr>
                <w:rFonts w:hint="eastAsia" w:ascii="宋体" w:hAnsi="宋体" w:cs="仿宋"/>
                <w:color w:val="auto"/>
                <w:szCs w:val="21"/>
                <w:highlight w:val="none"/>
                <w:lang w:val="en-US" w:eastAsia="zh-CN"/>
              </w:rPr>
              <w:t>20</w:t>
            </w:r>
            <w:r>
              <w:rPr>
                <w:rFonts w:hint="eastAsia" w:ascii="宋体" w:hAnsi="宋体" w:cs="仿宋"/>
                <w:color w:val="auto"/>
                <w:szCs w:val="21"/>
                <w:highlight w:val="none"/>
              </w:rPr>
              <w:t>.0分。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34" w:hRule="atLeast"/>
          <w:jc w:val="center"/>
        </w:trPr>
        <w:tc>
          <w:tcPr>
            <w:tcW w:w="791" w:type="dxa"/>
            <w:vMerge w:val="continue"/>
            <w:noWrap w:val="0"/>
            <w:vAlign w:val="center"/>
          </w:tcPr>
          <w:p>
            <w:pPr>
              <w:keepNext w:val="0"/>
              <w:keepLines w:val="0"/>
              <w:pageBreakBefore w:val="0"/>
              <w:widowControl w:val="0"/>
              <w:kinsoku/>
              <w:wordWrap/>
              <w:overflowPunct/>
              <w:topLinePunct w:val="0"/>
              <w:autoSpaceDE/>
              <w:autoSpaceDN/>
              <w:bidi w:val="0"/>
              <w:snapToGrid/>
              <w:spacing w:line="340" w:lineRule="exact"/>
              <w:ind w:firstLine="420" w:firstLineChars="200"/>
              <w:jc w:val="center"/>
              <w:textAlignment w:val="auto"/>
              <w:rPr>
                <w:rFonts w:hint="eastAsia" w:ascii="宋体" w:hAnsi="宋体" w:cs="仿宋"/>
                <w:color w:val="auto"/>
                <w:szCs w:val="21"/>
                <w:highlight w:val="none"/>
              </w:rPr>
            </w:pPr>
          </w:p>
        </w:tc>
        <w:tc>
          <w:tcPr>
            <w:tcW w:w="705" w:type="dxa"/>
            <w:vMerge w:val="continue"/>
            <w:noWrap w:val="0"/>
            <w:vAlign w:val="center"/>
          </w:tcPr>
          <w:p>
            <w:pPr>
              <w:keepNext w:val="0"/>
              <w:keepLines w:val="0"/>
              <w:pageBreakBefore w:val="0"/>
              <w:widowControl w:val="0"/>
              <w:kinsoku/>
              <w:wordWrap/>
              <w:overflowPunct/>
              <w:topLinePunct w:val="0"/>
              <w:autoSpaceDE/>
              <w:autoSpaceDN/>
              <w:bidi w:val="0"/>
              <w:snapToGrid/>
              <w:spacing w:line="340" w:lineRule="exact"/>
              <w:ind w:firstLine="420" w:firstLineChars="200"/>
              <w:jc w:val="center"/>
              <w:textAlignment w:val="auto"/>
              <w:rPr>
                <w:rFonts w:hint="eastAsia" w:ascii="宋体" w:hAnsi="宋体" w:cs="仿宋"/>
                <w:color w:val="auto"/>
                <w:szCs w:val="21"/>
                <w:highlight w:val="none"/>
              </w:rPr>
            </w:pPr>
          </w:p>
        </w:tc>
        <w:tc>
          <w:tcPr>
            <w:tcW w:w="1033" w:type="dxa"/>
            <w:vMerge w:val="continue"/>
            <w:noWrap w:val="0"/>
            <w:vAlign w:val="center"/>
          </w:tcPr>
          <w:p>
            <w:pPr>
              <w:keepNext w:val="0"/>
              <w:keepLines w:val="0"/>
              <w:pageBreakBefore w:val="0"/>
              <w:widowControl w:val="0"/>
              <w:kinsoku/>
              <w:wordWrap/>
              <w:overflowPunct/>
              <w:topLinePunct w:val="0"/>
              <w:autoSpaceDE/>
              <w:autoSpaceDN/>
              <w:bidi w:val="0"/>
              <w:snapToGrid/>
              <w:spacing w:line="340" w:lineRule="exact"/>
              <w:ind w:firstLine="420" w:firstLineChars="200"/>
              <w:jc w:val="center"/>
              <w:textAlignment w:val="auto"/>
              <w:rPr>
                <w:rFonts w:hint="eastAsia" w:ascii="宋体" w:hAnsi="宋体" w:cs="仿宋"/>
                <w:color w:val="auto"/>
                <w:szCs w:val="21"/>
                <w:highlight w:val="none"/>
              </w:rPr>
            </w:pPr>
          </w:p>
        </w:tc>
        <w:tc>
          <w:tcPr>
            <w:tcW w:w="1197" w:type="dxa"/>
            <w:vMerge w:val="restart"/>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340" w:lineRule="exact"/>
              <w:jc w:val="center"/>
              <w:textAlignment w:val="auto"/>
              <w:rPr>
                <w:rFonts w:hint="eastAsia" w:ascii="宋体" w:hAnsi="宋体" w:cs="仿宋"/>
                <w:color w:val="auto"/>
                <w:szCs w:val="21"/>
                <w:highlight w:val="none"/>
              </w:rPr>
            </w:pPr>
            <w:r>
              <w:rPr>
                <w:rFonts w:hint="eastAsia" w:ascii="宋体" w:hAnsi="宋体" w:cs="仿宋"/>
                <w:color w:val="auto"/>
                <w:szCs w:val="21"/>
                <w:highlight w:val="none"/>
              </w:rPr>
              <w:t>第三方试验检测的现场管理及工作的重点与难点分析</w:t>
            </w:r>
          </w:p>
        </w:tc>
        <w:tc>
          <w:tcPr>
            <w:tcW w:w="56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340" w:lineRule="exact"/>
              <w:jc w:val="center"/>
              <w:textAlignment w:val="auto"/>
              <w:rPr>
                <w:rFonts w:hint="eastAsia" w:ascii="宋体" w:hAnsi="宋体" w:cs="仿宋"/>
                <w:color w:val="auto"/>
                <w:szCs w:val="21"/>
                <w:highlight w:val="none"/>
              </w:rPr>
            </w:pPr>
            <w:r>
              <w:rPr>
                <w:rFonts w:hint="eastAsia" w:ascii="宋体" w:hAnsi="宋体" w:cs="仿宋"/>
                <w:color w:val="auto"/>
                <w:szCs w:val="21"/>
                <w:highlight w:val="none"/>
                <w:lang w:val="en-US" w:eastAsia="zh-CN"/>
              </w:rPr>
              <w:t>10</w:t>
            </w:r>
            <w:r>
              <w:rPr>
                <w:rFonts w:hint="eastAsia" w:ascii="宋体" w:hAnsi="宋体" w:cs="仿宋"/>
                <w:color w:val="auto"/>
                <w:szCs w:val="21"/>
                <w:highlight w:val="none"/>
              </w:rPr>
              <w:t>分</w:t>
            </w:r>
          </w:p>
        </w:tc>
        <w:tc>
          <w:tcPr>
            <w:tcW w:w="5591"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340" w:lineRule="exact"/>
              <w:textAlignment w:val="auto"/>
              <w:rPr>
                <w:rFonts w:hint="eastAsia" w:ascii="宋体" w:hAnsi="宋体" w:cs="仿宋"/>
                <w:color w:val="auto"/>
                <w:szCs w:val="21"/>
                <w:highlight w:val="none"/>
              </w:rPr>
            </w:pPr>
            <w:r>
              <w:rPr>
                <w:rFonts w:hint="eastAsia" w:ascii="宋体" w:hAnsi="宋体" w:cs="仿宋"/>
                <w:color w:val="auto"/>
                <w:szCs w:val="21"/>
                <w:highlight w:val="none"/>
              </w:rPr>
              <w:t>分析一般，对难点、重点把握一般；处理措施基本合理，基本可行；得6.0-7.0分；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6" w:hRule="atLeast"/>
          <w:jc w:val="center"/>
        </w:trPr>
        <w:tc>
          <w:tcPr>
            <w:tcW w:w="791" w:type="dxa"/>
            <w:vMerge w:val="continue"/>
            <w:noWrap w:val="0"/>
            <w:vAlign w:val="center"/>
          </w:tcPr>
          <w:p>
            <w:pPr>
              <w:keepNext w:val="0"/>
              <w:keepLines w:val="0"/>
              <w:pageBreakBefore w:val="0"/>
              <w:widowControl w:val="0"/>
              <w:kinsoku/>
              <w:wordWrap/>
              <w:overflowPunct/>
              <w:topLinePunct w:val="0"/>
              <w:autoSpaceDE/>
              <w:autoSpaceDN/>
              <w:bidi w:val="0"/>
              <w:snapToGrid/>
              <w:spacing w:line="340" w:lineRule="exact"/>
              <w:ind w:firstLine="420" w:firstLineChars="200"/>
              <w:jc w:val="center"/>
              <w:textAlignment w:val="auto"/>
              <w:rPr>
                <w:rFonts w:hint="eastAsia" w:ascii="宋体" w:hAnsi="宋体" w:cs="仿宋"/>
                <w:color w:val="auto"/>
                <w:szCs w:val="21"/>
                <w:highlight w:val="none"/>
              </w:rPr>
            </w:pPr>
          </w:p>
        </w:tc>
        <w:tc>
          <w:tcPr>
            <w:tcW w:w="705" w:type="dxa"/>
            <w:vMerge w:val="continue"/>
            <w:noWrap w:val="0"/>
            <w:vAlign w:val="center"/>
          </w:tcPr>
          <w:p>
            <w:pPr>
              <w:keepNext w:val="0"/>
              <w:keepLines w:val="0"/>
              <w:pageBreakBefore w:val="0"/>
              <w:widowControl w:val="0"/>
              <w:kinsoku/>
              <w:wordWrap/>
              <w:overflowPunct/>
              <w:topLinePunct w:val="0"/>
              <w:autoSpaceDE/>
              <w:autoSpaceDN/>
              <w:bidi w:val="0"/>
              <w:snapToGrid/>
              <w:spacing w:line="340" w:lineRule="exact"/>
              <w:ind w:firstLine="420" w:firstLineChars="200"/>
              <w:jc w:val="center"/>
              <w:textAlignment w:val="auto"/>
              <w:rPr>
                <w:rFonts w:hint="eastAsia" w:ascii="宋体" w:hAnsi="宋体" w:cs="仿宋"/>
                <w:color w:val="auto"/>
                <w:szCs w:val="21"/>
                <w:highlight w:val="none"/>
              </w:rPr>
            </w:pPr>
          </w:p>
        </w:tc>
        <w:tc>
          <w:tcPr>
            <w:tcW w:w="1033" w:type="dxa"/>
            <w:vMerge w:val="continue"/>
            <w:noWrap w:val="0"/>
            <w:vAlign w:val="center"/>
          </w:tcPr>
          <w:p>
            <w:pPr>
              <w:keepNext w:val="0"/>
              <w:keepLines w:val="0"/>
              <w:pageBreakBefore w:val="0"/>
              <w:widowControl w:val="0"/>
              <w:kinsoku/>
              <w:wordWrap/>
              <w:overflowPunct/>
              <w:topLinePunct w:val="0"/>
              <w:autoSpaceDE/>
              <w:autoSpaceDN/>
              <w:bidi w:val="0"/>
              <w:snapToGrid/>
              <w:spacing w:line="340" w:lineRule="exact"/>
              <w:ind w:firstLine="420" w:firstLineChars="200"/>
              <w:jc w:val="center"/>
              <w:textAlignment w:val="auto"/>
              <w:rPr>
                <w:rFonts w:hint="eastAsia" w:ascii="宋体" w:hAnsi="宋体" w:cs="仿宋"/>
                <w:color w:val="auto"/>
                <w:szCs w:val="21"/>
                <w:highlight w:val="none"/>
              </w:rPr>
            </w:pPr>
          </w:p>
        </w:tc>
        <w:tc>
          <w:tcPr>
            <w:tcW w:w="1197" w:type="dxa"/>
            <w:vMerge w:val="continue"/>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340" w:lineRule="exact"/>
              <w:ind w:firstLine="420" w:firstLineChars="200"/>
              <w:jc w:val="center"/>
              <w:textAlignment w:val="auto"/>
              <w:rPr>
                <w:rFonts w:hint="eastAsia" w:ascii="宋体" w:hAnsi="宋体" w:cs="仿宋"/>
                <w:color w:val="auto"/>
                <w:szCs w:val="21"/>
                <w:highlight w:val="none"/>
              </w:rPr>
            </w:pPr>
          </w:p>
        </w:tc>
        <w:tc>
          <w:tcPr>
            <w:tcW w:w="56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340" w:lineRule="exact"/>
              <w:ind w:firstLine="420" w:firstLineChars="200"/>
              <w:jc w:val="center"/>
              <w:textAlignment w:val="auto"/>
              <w:rPr>
                <w:rFonts w:hint="eastAsia" w:ascii="宋体" w:hAnsi="宋体" w:cs="仿宋"/>
                <w:color w:val="auto"/>
                <w:szCs w:val="21"/>
                <w:highlight w:val="none"/>
              </w:rPr>
            </w:pPr>
          </w:p>
        </w:tc>
        <w:tc>
          <w:tcPr>
            <w:tcW w:w="5591"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340" w:lineRule="exact"/>
              <w:textAlignment w:val="auto"/>
              <w:rPr>
                <w:rFonts w:hint="eastAsia" w:ascii="宋体" w:hAnsi="宋体" w:cs="仿宋"/>
                <w:color w:val="auto"/>
                <w:szCs w:val="21"/>
                <w:highlight w:val="none"/>
              </w:rPr>
            </w:pPr>
            <w:r>
              <w:rPr>
                <w:rFonts w:hint="eastAsia" w:ascii="宋体" w:hAnsi="宋体" w:cs="仿宋"/>
                <w:color w:val="auto"/>
                <w:szCs w:val="21"/>
                <w:highlight w:val="none"/>
              </w:rPr>
              <w:t>分析较透彻，对难点、重点把握较准确；处理措施合理，可行，得7.</w:t>
            </w:r>
            <w:r>
              <w:rPr>
                <w:rFonts w:hint="eastAsia" w:ascii="宋体" w:hAnsi="宋体" w:cs="仿宋"/>
                <w:color w:val="auto"/>
                <w:szCs w:val="21"/>
                <w:highlight w:val="none"/>
                <w:lang w:val="en-US" w:eastAsia="zh-CN"/>
              </w:rPr>
              <w:t>0</w:t>
            </w:r>
            <w:r>
              <w:rPr>
                <w:rFonts w:hint="eastAsia" w:ascii="宋体" w:hAnsi="宋体" w:cs="仿宋"/>
                <w:color w:val="auto"/>
                <w:szCs w:val="21"/>
                <w:highlight w:val="none"/>
              </w:rPr>
              <w:t>-8.0分；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07" w:hRule="atLeast"/>
          <w:jc w:val="center"/>
        </w:trPr>
        <w:tc>
          <w:tcPr>
            <w:tcW w:w="791" w:type="dxa"/>
            <w:vMerge w:val="continue"/>
            <w:noWrap w:val="0"/>
            <w:vAlign w:val="center"/>
          </w:tcPr>
          <w:p>
            <w:pPr>
              <w:keepNext w:val="0"/>
              <w:keepLines w:val="0"/>
              <w:pageBreakBefore w:val="0"/>
              <w:widowControl w:val="0"/>
              <w:kinsoku/>
              <w:wordWrap/>
              <w:overflowPunct/>
              <w:topLinePunct w:val="0"/>
              <w:autoSpaceDE/>
              <w:autoSpaceDN/>
              <w:bidi w:val="0"/>
              <w:snapToGrid/>
              <w:spacing w:line="340" w:lineRule="exact"/>
              <w:ind w:firstLine="420" w:firstLineChars="200"/>
              <w:jc w:val="center"/>
              <w:textAlignment w:val="auto"/>
              <w:rPr>
                <w:rFonts w:hint="eastAsia" w:ascii="宋体" w:hAnsi="宋体" w:cs="仿宋"/>
                <w:color w:val="auto"/>
                <w:szCs w:val="21"/>
                <w:highlight w:val="none"/>
              </w:rPr>
            </w:pPr>
          </w:p>
        </w:tc>
        <w:tc>
          <w:tcPr>
            <w:tcW w:w="705" w:type="dxa"/>
            <w:vMerge w:val="continue"/>
            <w:noWrap w:val="0"/>
            <w:vAlign w:val="center"/>
          </w:tcPr>
          <w:p>
            <w:pPr>
              <w:keepNext w:val="0"/>
              <w:keepLines w:val="0"/>
              <w:pageBreakBefore w:val="0"/>
              <w:widowControl w:val="0"/>
              <w:kinsoku/>
              <w:wordWrap/>
              <w:overflowPunct/>
              <w:topLinePunct w:val="0"/>
              <w:autoSpaceDE/>
              <w:autoSpaceDN/>
              <w:bidi w:val="0"/>
              <w:snapToGrid/>
              <w:spacing w:line="340" w:lineRule="exact"/>
              <w:ind w:firstLine="420" w:firstLineChars="200"/>
              <w:jc w:val="center"/>
              <w:textAlignment w:val="auto"/>
              <w:rPr>
                <w:rFonts w:hint="eastAsia" w:ascii="宋体" w:hAnsi="宋体" w:cs="仿宋"/>
                <w:color w:val="auto"/>
                <w:szCs w:val="21"/>
                <w:highlight w:val="none"/>
              </w:rPr>
            </w:pPr>
          </w:p>
        </w:tc>
        <w:tc>
          <w:tcPr>
            <w:tcW w:w="1033" w:type="dxa"/>
            <w:vMerge w:val="continue"/>
            <w:noWrap w:val="0"/>
            <w:vAlign w:val="center"/>
          </w:tcPr>
          <w:p>
            <w:pPr>
              <w:keepNext w:val="0"/>
              <w:keepLines w:val="0"/>
              <w:pageBreakBefore w:val="0"/>
              <w:widowControl w:val="0"/>
              <w:kinsoku/>
              <w:wordWrap/>
              <w:overflowPunct/>
              <w:topLinePunct w:val="0"/>
              <w:autoSpaceDE/>
              <w:autoSpaceDN/>
              <w:bidi w:val="0"/>
              <w:snapToGrid/>
              <w:spacing w:line="340" w:lineRule="exact"/>
              <w:ind w:firstLine="420" w:firstLineChars="200"/>
              <w:jc w:val="center"/>
              <w:textAlignment w:val="auto"/>
              <w:rPr>
                <w:rFonts w:hint="eastAsia" w:ascii="宋体" w:hAnsi="宋体" w:cs="仿宋"/>
                <w:color w:val="auto"/>
                <w:szCs w:val="21"/>
                <w:highlight w:val="none"/>
              </w:rPr>
            </w:pPr>
          </w:p>
        </w:tc>
        <w:tc>
          <w:tcPr>
            <w:tcW w:w="1197" w:type="dxa"/>
            <w:vMerge w:val="continue"/>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340" w:lineRule="exact"/>
              <w:ind w:firstLine="420" w:firstLineChars="200"/>
              <w:jc w:val="center"/>
              <w:textAlignment w:val="auto"/>
              <w:rPr>
                <w:rFonts w:hint="eastAsia" w:ascii="宋体" w:hAnsi="宋体" w:cs="仿宋"/>
                <w:color w:val="auto"/>
                <w:szCs w:val="21"/>
                <w:highlight w:val="none"/>
              </w:rPr>
            </w:pPr>
          </w:p>
        </w:tc>
        <w:tc>
          <w:tcPr>
            <w:tcW w:w="56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340" w:lineRule="exact"/>
              <w:ind w:firstLine="420" w:firstLineChars="200"/>
              <w:jc w:val="center"/>
              <w:textAlignment w:val="auto"/>
              <w:rPr>
                <w:rFonts w:hint="eastAsia" w:ascii="宋体" w:hAnsi="宋体" w:cs="仿宋"/>
                <w:color w:val="auto"/>
                <w:szCs w:val="21"/>
                <w:highlight w:val="none"/>
              </w:rPr>
            </w:pPr>
          </w:p>
        </w:tc>
        <w:tc>
          <w:tcPr>
            <w:tcW w:w="5591"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340" w:lineRule="exact"/>
              <w:textAlignment w:val="auto"/>
              <w:rPr>
                <w:rFonts w:hint="eastAsia" w:ascii="宋体" w:hAnsi="宋体" w:cs="仿宋"/>
                <w:color w:val="auto"/>
                <w:szCs w:val="21"/>
                <w:highlight w:val="none"/>
              </w:rPr>
            </w:pPr>
            <w:r>
              <w:rPr>
                <w:rFonts w:hint="eastAsia" w:ascii="宋体" w:hAnsi="宋体" w:cs="仿宋"/>
                <w:color w:val="auto"/>
                <w:szCs w:val="21"/>
                <w:highlight w:val="none"/>
              </w:rPr>
              <w:t>分析透彻，对难点、重点把握准确；处理措施科学合理，有效可行，得8.</w:t>
            </w:r>
            <w:r>
              <w:rPr>
                <w:rFonts w:hint="eastAsia" w:ascii="宋体" w:hAnsi="宋体" w:cs="仿宋"/>
                <w:color w:val="auto"/>
                <w:szCs w:val="21"/>
                <w:highlight w:val="none"/>
                <w:lang w:val="en-US" w:eastAsia="zh-CN"/>
              </w:rPr>
              <w:t>0</w:t>
            </w:r>
            <w:r>
              <w:rPr>
                <w:rFonts w:hint="eastAsia" w:ascii="宋体" w:hAnsi="宋体" w:cs="仿宋"/>
                <w:color w:val="auto"/>
                <w:szCs w:val="21"/>
                <w:highlight w:val="none"/>
              </w:rPr>
              <w:t>-10.0分。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20" w:hRule="atLeast"/>
          <w:jc w:val="center"/>
        </w:trPr>
        <w:tc>
          <w:tcPr>
            <w:tcW w:w="791" w:type="dxa"/>
            <w:vMerge w:val="restart"/>
            <w:noWrap w:val="0"/>
            <w:vAlign w:val="center"/>
          </w:tcPr>
          <w:p>
            <w:pPr>
              <w:keepNext w:val="0"/>
              <w:keepLines w:val="0"/>
              <w:pageBreakBefore w:val="0"/>
              <w:widowControl w:val="0"/>
              <w:kinsoku/>
              <w:wordWrap/>
              <w:overflowPunct/>
              <w:topLinePunct w:val="0"/>
              <w:autoSpaceDE/>
              <w:autoSpaceDN/>
              <w:bidi w:val="0"/>
              <w:snapToGrid/>
              <w:spacing w:line="340" w:lineRule="exact"/>
              <w:jc w:val="center"/>
              <w:textAlignment w:val="auto"/>
              <w:rPr>
                <w:rFonts w:hint="eastAsia" w:ascii="宋体" w:hAnsi="宋体" w:cs="仿宋"/>
                <w:color w:val="auto"/>
                <w:szCs w:val="21"/>
                <w:highlight w:val="none"/>
              </w:rPr>
            </w:pPr>
            <w:r>
              <w:rPr>
                <w:rFonts w:hint="eastAsia" w:ascii="宋体" w:hAnsi="宋体" w:cs="仿宋"/>
                <w:color w:val="auto"/>
                <w:szCs w:val="21"/>
                <w:highlight w:val="none"/>
              </w:rPr>
              <w:t>2.2.4（2）</w:t>
            </w:r>
          </w:p>
        </w:tc>
        <w:tc>
          <w:tcPr>
            <w:tcW w:w="705" w:type="dxa"/>
            <w:vMerge w:val="restart"/>
            <w:noWrap w:val="0"/>
            <w:vAlign w:val="center"/>
          </w:tcPr>
          <w:p>
            <w:pPr>
              <w:keepNext w:val="0"/>
              <w:keepLines w:val="0"/>
              <w:pageBreakBefore w:val="0"/>
              <w:widowControl w:val="0"/>
              <w:kinsoku/>
              <w:wordWrap/>
              <w:overflowPunct/>
              <w:topLinePunct w:val="0"/>
              <w:autoSpaceDE/>
              <w:autoSpaceDN/>
              <w:bidi w:val="0"/>
              <w:snapToGrid/>
              <w:spacing w:line="340" w:lineRule="exact"/>
              <w:jc w:val="center"/>
              <w:textAlignment w:val="auto"/>
              <w:rPr>
                <w:rFonts w:hint="eastAsia" w:ascii="宋体" w:hAnsi="宋体" w:cs="仿宋"/>
                <w:color w:val="auto"/>
                <w:kern w:val="0"/>
                <w:szCs w:val="21"/>
                <w:highlight w:val="none"/>
              </w:rPr>
            </w:pPr>
            <w:r>
              <w:rPr>
                <w:rFonts w:hint="eastAsia" w:ascii="宋体" w:hAnsi="宋体" w:cs="仿宋"/>
                <w:color w:val="auto"/>
                <w:kern w:val="0"/>
                <w:szCs w:val="21"/>
                <w:highlight w:val="none"/>
              </w:rPr>
              <w:t>主要</w:t>
            </w:r>
          </w:p>
          <w:p>
            <w:pPr>
              <w:keepNext w:val="0"/>
              <w:keepLines w:val="0"/>
              <w:pageBreakBefore w:val="0"/>
              <w:widowControl w:val="0"/>
              <w:kinsoku/>
              <w:wordWrap/>
              <w:overflowPunct/>
              <w:topLinePunct w:val="0"/>
              <w:autoSpaceDE/>
              <w:autoSpaceDN/>
              <w:bidi w:val="0"/>
              <w:snapToGrid/>
              <w:spacing w:line="340" w:lineRule="exact"/>
              <w:jc w:val="center"/>
              <w:textAlignment w:val="auto"/>
              <w:rPr>
                <w:rFonts w:hint="eastAsia" w:ascii="宋体" w:hAnsi="宋体" w:cs="仿宋"/>
                <w:color w:val="auto"/>
                <w:szCs w:val="21"/>
                <w:highlight w:val="none"/>
              </w:rPr>
            </w:pPr>
            <w:r>
              <w:rPr>
                <w:rFonts w:hint="eastAsia" w:ascii="宋体" w:hAnsi="宋体" w:cs="仿宋"/>
                <w:color w:val="auto"/>
                <w:kern w:val="0"/>
                <w:szCs w:val="21"/>
                <w:highlight w:val="none"/>
              </w:rPr>
              <w:t>人员</w:t>
            </w:r>
          </w:p>
        </w:tc>
        <w:tc>
          <w:tcPr>
            <w:tcW w:w="1033" w:type="dxa"/>
            <w:vMerge w:val="restart"/>
            <w:noWrap w:val="0"/>
            <w:vAlign w:val="center"/>
          </w:tcPr>
          <w:p>
            <w:pPr>
              <w:keepNext w:val="0"/>
              <w:keepLines w:val="0"/>
              <w:pageBreakBefore w:val="0"/>
              <w:widowControl w:val="0"/>
              <w:kinsoku/>
              <w:wordWrap/>
              <w:overflowPunct/>
              <w:topLinePunct w:val="0"/>
              <w:autoSpaceDE/>
              <w:autoSpaceDN/>
              <w:bidi w:val="0"/>
              <w:snapToGrid/>
              <w:spacing w:line="340" w:lineRule="exact"/>
              <w:jc w:val="center"/>
              <w:textAlignment w:val="auto"/>
              <w:rPr>
                <w:rFonts w:hint="eastAsia" w:ascii="宋体" w:hAnsi="宋体" w:cs="仿宋"/>
                <w:color w:val="auto"/>
                <w:szCs w:val="21"/>
                <w:highlight w:val="none"/>
              </w:rPr>
            </w:pPr>
            <w:r>
              <w:rPr>
                <w:rFonts w:hint="eastAsia" w:ascii="宋体" w:hAnsi="宋体" w:cs="仿宋"/>
                <w:color w:val="auto"/>
                <w:szCs w:val="21"/>
                <w:highlight w:val="none"/>
                <w:lang w:val="en-US" w:eastAsia="zh-CN"/>
              </w:rPr>
              <w:t>30</w:t>
            </w:r>
            <w:r>
              <w:rPr>
                <w:rFonts w:hint="eastAsia" w:ascii="宋体" w:hAnsi="宋体" w:cs="仿宋"/>
                <w:color w:val="auto"/>
                <w:szCs w:val="21"/>
                <w:highlight w:val="none"/>
              </w:rPr>
              <w:t>分</w:t>
            </w:r>
          </w:p>
        </w:tc>
        <w:tc>
          <w:tcPr>
            <w:tcW w:w="1197" w:type="dxa"/>
            <w:vMerge w:val="restart"/>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340" w:lineRule="exact"/>
              <w:jc w:val="center"/>
              <w:textAlignment w:val="auto"/>
              <w:rPr>
                <w:rFonts w:hint="eastAsia" w:ascii="宋体" w:hAnsi="宋体" w:cs="仿宋"/>
                <w:color w:val="auto"/>
                <w:szCs w:val="21"/>
                <w:highlight w:val="none"/>
              </w:rPr>
            </w:pPr>
            <w:r>
              <w:rPr>
                <w:rFonts w:hint="eastAsia" w:ascii="宋体" w:hAnsi="宋体" w:cs="仿宋"/>
                <w:color w:val="auto"/>
                <w:szCs w:val="21"/>
                <w:highlight w:val="none"/>
              </w:rPr>
              <w:t>项目负责人</w:t>
            </w:r>
          </w:p>
        </w:tc>
        <w:tc>
          <w:tcPr>
            <w:tcW w:w="5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340" w:lineRule="exact"/>
              <w:jc w:val="center"/>
              <w:textAlignment w:val="auto"/>
              <w:rPr>
                <w:rFonts w:hint="eastAsia" w:ascii="宋体" w:hAnsi="宋体" w:cs="仿宋"/>
                <w:color w:val="auto"/>
                <w:szCs w:val="21"/>
                <w:highlight w:val="none"/>
              </w:rPr>
            </w:pPr>
            <w:r>
              <w:rPr>
                <w:rFonts w:hint="eastAsia" w:ascii="宋体" w:hAnsi="宋体" w:cs="仿宋"/>
                <w:color w:val="auto"/>
                <w:szCs w:val="21"/>
                <w:highlight w:val="none"/>
                <w:lang w:val="en-US" w:eastAsia="zh-CN"/>
              </w:rPr>
              <w:t>18</w:t>
            </w:r>
            <w:r>
              <w:rPr>
                <w:rFonts w:hint="eastAsia" w:ascii="宋体" w:hAnsi="宋体" w:cs="仿宋"/>
                <w:color w:val="auto"/>
                <w:szCs w:val="21"/>
                <w:highlight w:val="none"/>
              </w:rPr>
              <w:t>分</w:t>
            </w:r>
          </w:p>
        </w:tc>
        <w:tc>
          <w:tcPr>
            <w:tcW w:w="5591"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340" w:lineRule="exact"/>
              <w:textAlignment w:val="auto"/>
              <w:rPr>
                <w:rFonts w:hint="eastAsia" w:ascii="宋体" w:hAnsi="宋体" w:cs="仿宋"/>
                <w:color w:val="auto"/>
                <w:szCs w:val="21"/>
                <w:highlight w:val="none"/>
              </w:rPr>
            </w:pPr>
            <w:r>
              <w:rPr>
                <w:rFonts w:hint="eastAsia" w:ascii="宋体" w:hAnsi="宋体" w:cs="仿宋"/>
                <w:color w:val="auto"/>
                <w:szCs w:val="21"/>
                <w:highlight w:val="none"/>
              </w:rPr>
              <w:t>满足资格审查条件最低要求，得</w:t>
            </w:r>
            <w:r>
              <w:rPr>
                <w:rFonts w:hint="eastAsia" w:ascii="宋体" w:hAnsi="宋体" w:cs="仿宋"/>
                <w:color w:val="auto"/>
                <w:szCs w:val="21"/>
                <w:highlight w:val="none"/>
                <w:lang w:val="en-US" w:eastAsia="zh-CN"/>
              </w:rPr>
              <w:t>18</w:t>
            </w:r>
            <w:r>
              <w:rPr>
                <w:rFonts w:hint="eastAsia" w:ascii="宋体" w:hAnsi="宋体" w:cs="仿宋"/>
                <w:color w:val="auto"/>
                <w:szCs w:val="21"/>
                <w:highlight w:val="none"/>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01" w:hRule="atLeast"/>
          <w:jc w:val="center"/>
        </w:trPr>
        <w:tc>
          <w:tcPr>
            <w:tcW w:w="791" w:type="dxa"/>
            <w:vMerge w:val="continue"/>
            <w:noWrap w:val="0"/>
            <w:vAlign w:val="center"/>
          </w:tcPr>
          <w:p>
            <w:pPr>
              <w:keepNext w:val="0"/>
              <w:keepLines w:val="0"/>
              <w:pageBreakBefore w:val="0"/>
              <w:widowControl w:val="0"/>
              <w:kinsoku/>
              <w:wordWrap/>
              <w:overflowPunct/>
              <w:topLinePunct w:val="0"/>
              <w:autoSpaceDE/>
              <w:autoSpaceDN/>
              <w:bidi w:val="0"/>
              <w:snapToGrid/>
              <w:spacing w:line="340" w:lineRule="exact"/>
              <w:jc w:val="center"/>
              <w:textAlignment w:val="auto"/>
              <w:rPr>
                <w:rFonts w:hint="eastAsia" w:ascii="宋体" w:hAnsi="宋体" w:cs="仿宋"/>
                <w:color w:val="auto"/>
                <w:szCs w:val="21"/>
                <w:highlight w:val="none"/>
              </w:rPr>
            </w:pPr>
          </w:p>
        </w:tc>
        <w:tc>
          <w:tcPr>
            <w:tcW w:w="705" w:type="dxa"/>
            <w:vMerge w:val="continue"/>
            <w:noWrap w:val="0"/>
            <w:vAlign w:val="center"/>
          </w:tcPr>
          <w:p>
            <w:pPr>
              <w:keepNext w:val="0"/>
              <w:keepLines w:val="0"/>
              <w:pageBreakBefore w:val="0"/>
              <w:widowControl w:val="0"/>
              <w:kinsoku/>
              <w:wordWrap/>
              <w:overflowPunct/>
              <w:topLinePunct w:val="0"/>
              <w:autoSpaceDE/>
              <w:autoSpaceDN/>
              <w:bidi w:val="0"/>
              <w:snapToGrid/>
              <w:spacing w:line="340" w:lineRule="exact"/>
              <w:jc w:val="center"/>
              <w:textAlignment w:val="auto"/>
              <w:rPr>
                <w:rFonts w:hint="eastAsia" w:ascii="宋体" w:hAnsi="宋体" w:cs="仿宋"/>
                <w:color w:val="auto"/>
                <w:szCs w:val="21"/>
                <w:highlight w:val="none"/>
              </w:rPr>
            </w:pPr>
          </w:p>
        </w:tc>
        <w:tc>
          <w:tcPr>
            <w:tcW w:w="1033" w:type="dxa"/>
            <w:vMerge w:val="continue"/>
            <w:noWrap w:val="0"/>
            <w:vAlign w:val="center"/>
          </w:tcPr>
          <w:p>
            <w:pPr>
              <w:keepNext w:val="0"/>
              <w:keepLines w:val="0"/>
              <w:pageBreakBefore w:val="0"/>
              <w:widowControl w:val="0"/>
              <w:kinsoku/>
              <w:wordWrap/>
              <w:overflowPunct/>
              <w:topLinePunct w:val="0"/>
              <w:autoSpaceDE/>
              <w:autoSpaceDN/>
              <w:bidi w:val="0"/>
              <w:snapToGrid/>
              <w:spacing w:line="340" w:lineRule="exact"/>
              <w:jc w:val="center"/>
              <w:textAlignment w:val="auto"/>
              <w:rPr>
                <w:rFonts w:hint="eastAsia" w:ascii="宋体" w:hAnsi="宋体" w:cs="仿宋"/>
                <w:color w:val="auto"/>
                <w:szCs w:val="21"/>
                <w:highlight w:val="none"/>
              </w:rPr>
            </w:pPr>
          </w:p>
        </w:tc>
        <w:tc>
          <w:tcPr>
            <w:tcW w:w="1197"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340" w:lineRule="exact"/>
              <w:jc w:val="center"/>
              <w:textAlignment w:val="auto"/>
              <w:rPr>
                <w:rFonts w:hint="eastAsia" w:ascii="宋体" w:hAnsi="宋体" w:cs="仿宋"/>
                <w:color w:val="auto"/>
                <w:szCs w:val="21"/>
                <w:highlight w:val="none"/>
              </w:rPr>
            </w:pPr>
          </w:p>
        </w:tc>
        <w:tc>
          <w:tcPr>
            <w:tcW w:w="562"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340" w:lineRule="exact"/>
              <w:jc w:val="center"/>
              <w:textAlignment w:val="auto"/>
              <w:rPr>
                <w:rFonts w:hint="eastAsia" w:ascii="宋体" w:hAnsi="宋体" w:cs="仿宋"/>
                <w:color w:val="auto"/>
                <w:szCs w:val="21"/>
                <w:highlight w:val="none"/>
              </w:rPr>
            </w:pPr>
            <w:r>
              <w:rPr>
                <w:rFonts w:hint="eastAsia" w:ascii="宋体" w:hAnsi="宋体" w:cs="仿宋"/>
                <w:color w:val="auto"/>
                <w:szCs w:val="21"/>
                <w:highlight w:val="none"/>
                <w:lang w:val="en-US" w:eastAsia="zh-CN"/>
              </w:rPr>
              <w:t>12</w:t>
            </w:r>
            <w:r>
              <w:rPr>
                <w:rFonts w:hint="eastAsia" w:ascii="宋体" w:hAnsi="宋体" w:cs="仿宋"/>
                <w:color w:val="auto"/>
                <w:szCs w:val="21"/>
                <w:highlight w:val="none"/>
              </w:rPr>
              <w:t>分</w:t>
            </w:r>
          </w:p>
        </w:tc>
        <w:tc>
          <w:tcPr>
            <w:tcW w:w="5591" w:type="dxa"/>
            <w:tcBorders>
              <w:top w:val="single" w:color="auto" w:sz="4" w:space="0"/>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340" w:lineRule="exact"/>
              <w:textAlignment w:val="auto"/>
              <w:rPr>
                <w:rFonts w:hint="eastAsia"/>
                <w:color w:val="auto"/>
                <w:highlight w:val="none"/>
              </w:rPr>
            </w:pPr>
            <w:r>
              <w:rPr>
                <w:rFonts w:hint="eastAsia" w:ascii="宋体" w:hAnsi="宋体" w:cs="仿宋"/>
                <w:color w:val="auto"/>
                <w:szCs w:val="21"/>
                <w:highlight w:val="none"/>
              </w:rPr>
              <w:t>每增加一项满足附录4资格审查条件（项目负责人最低要求）中的业绩加12分，本项最多加12分。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196" w:hRule="atLeast"/>
          <w:jc w:val="center"/>
        </w:trPr>
        <w:tc>
          <w:tcPr>
            <w:tcW w:w="791" w:type="dxa"/>
            <w:noWrap w:val="0"/>
            <w:vAlign w:val="center"/>
          </w:tcPr>
          <w:p>
            <w:pPr>
              <w:keepNext w:val="0"/>
              <w:keepLines w:val="0"/>
              <w:pageBreakBefore w:val="0"/>
              <w:widowControl w:val="0"/>
              <w:kinsoku/>
              <w:wordWrap/>
              <w:overflowPunct/>
              <w:topLinePunct w:val="0"/>
              <w:autoSpaceDE/>
              <w:autoSpaceDN/>
              <w:bidi w:val="0"/>
              <w:snapToGrid/>
              <w:spacing w:line="340" w:lineRule="exact"/>
              <w:jc w:val="center"/>
              <w:textAlignment w:val="auto"/>
              <w:rPr>
                <w:rFonts w:hint="eastAsia" w:ascii="宋体" w:hAnsi="宋体" w:cs="仿宋"/>
                <w:color w:val="auto"/>
                <w:szCs w:val="21"/>
                <w:highlight w:val="none"/>
              </w:rPr>
            </w:pPr>
            <w:r>
              <w:rPr>
                <w:rFonts w:hint="eastAsia" w:ascii="宋体" w:hAnsi="宋体" w:cs="仿宋"/>
                <w:color w:val="auto"/>
                <w:szCs w:val="21"/>
                <w:highlight w:val="none"/>
              </w:rPr>
              <w:t>2.2.4（3）</w:t>
            </w:r>
          </w:p>
        </w:tc>
        <w:tc>
          <w:tcPr>
            <w:tcW w:w="705" w:type="dxa"/>
            <w:noWrap w:val="0"/>
            <w:vAlign w:val="center"/>
          </w:tcPr>
          <w:p>
            <w:pPr>
              <w:keepNext w:val="0"/>
              <w:keepLines w:val="0"/>
              <w:pageBreakBefore w:val="0"/>
              <w:widowControl w:val="0"/>
              <w:kinsoku/>
              <w:wordWrap/>
              <w:overflowPunct/>
              <w:topLinePunct w:val="0"/>
              <w:autoSpaceDE/>
              <w:autoSpaceDN/>
              <w:bidi w:val="0"/>
              <w:snapToGrid/>
              <w:spacing w:line="340" w:lineRule="exact"/>
              <w:jc w:val="center"/>
              <w:textAlignment w:val="auto"/>
              <w:rPr>
                <w:rFonts w:hint="eastAsia" w:ascii="宋体" w:hAnsi="宋体" w:cs="仿宋"/>
                <w:color w:val="auto"/>
                <w:szCs w:val="21"/>
                <w:highlight w:val="none"/>
              </w:rPr>
            </w:pPr>
            <w:r>
              <w:rPr>
                <w:rFonts w:hint="eastAsia" w:ascii="宋体" w:hAnsi="宋体" w:cs="仿宋"/>
                <w:color w:val="auto"/>
                <w:szCs w:val="21"/>
                <w:highlight w:val="none"/>
              </w:rPr>
              <w:t>评标价</w:t>
            </w:r>
          </w:p>
        </w:tc>
        <w:tc>
          <w:tcPr>
            <w:tcW w:w="1033" w:type="dxa"/>
            <w:noWrap w:val="0"/>
            <w:vAlign w:val="center"/>
          </w:tcPr>
          <w:p>
            <w:pPr>
              <w:keepNext w:val="0"/>
              <w:keepLines w:val="0"/>
              <w:pageBreakBefore w:val="0"/>
              <w:widowControl w:val="0"/>
              <w:kinsoku/>
              <w:wordWrap/>
              <w:overflowPunct/>
              <w:topLinePunct w:val="0"/>
              <w:autoSpaceDE/>
              <w:autoSpaceDN/>
              <w:bidi w:val="0"/>
              <w:snapToGrid/>
              <w:spacing w:line="340" w:lineRule="exact"/>
              <w:jc w:val="center"/>
              <w:textAlignment w:val="auto"/>
              <w:rPr>
                <w:rFonts w:hint="eastAsia" w:ascii="宋体" w:hAnsi="宋体" w:cs="仿宋"/>
                <w:color w:val="auto"/>
                <w:szCs w:val="21"/>
                <w:highlight w:val="none"/>
              </w:rPr>
            </w:pPr>
            <w:r>
              <w:rPr>
                <w:rFonts w:hint="eastAsia" w:ascii="宋体" w:hAnsi="宋体" w:cs="仿宋"/>
                <w:color w:val="auto"/>
                <w:szCs w:val="21"/>
                <w:highlight w:val="none"/>
              </w:rPr>
              <w:t>10分</w:t>
            </w:r>
          </w:p>
        </w:tc>
        <w:tc>
          <w:tcPr>
            <w:tcW w:w="7350" w:type="dxa"/>
            <w:gridSpan w:val="3"/>
            <w:tcBorders>
              <w:top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340" w:lineRule="exact"/>
              <w:ind w:firstLine="420" w:firstLineChars="200"/>
              <w:textAlignment w:val="auto"/>
              <w:rPr>
                <w:rFonts w:hint="eastAsia" w:ascii="宋体" w:hAnsi="宋体" w:cs="仿宋"/>
                <w:color w:val="auto"/>
                <w:szCs w:val="21"/>
                <w:highlight w:val="none"/>
              </w:rPr>
            </w:pPr>
            <w:r>
              <w:rPr>
                <w:rFonts w:hint="eastAsia" w:ascii="宋体" w:hAnsi="宋体" w:cs="仿宋"/>
                <w:color w:val="auto"/>
                <w:szCs w:val="21"/>
                <w:highlight w:val="none"/>
              </w:rPr>
              <w:t>评标价得分计算公式示例：</w:t>
            </w:r>
          </w:p>
          <w:p>
            <w:pPr>
              <w:keepNext w:val="0"/>
              <w:keepLines w:val="0"/>
              <w:pageBreakBefore w:val="0"/>
              <w:widowControl w:val="0"/>
              <w:kinsoku/>
              <w:wordWrap/>
              <w:overflowPunct/>
              <w:topLinePunct w:val="0"/>
              <w:autoSpaceDE/>
              <w:autoSpaceDN/>
              <w:bidi w:val="0"/>
              <w:snapToGrid/>
              <w:spacing w:line="340" w:lineRule="exact"/>
              <w:ind w:firstLine="420" w:firstLineChars="200"/>
              <w:textAlignment w:val="auto"/>
              <w:rPr>
                <w:rFonts w:hint="eastAsia" w:ascii="宋体" w:hAnsi="宋体" w:cs="仿宋"/>
                <w:color w:val="auto"/>
                <w:szCs w:val="21"/>
                <w:highlight w:val="none"/>
              </w:rPr>
            </w:pPr>
            <w:r>
              <w:rPr>
                <w:rFonts w:hint="eastAsia" w:ascii="宋体" w:hAnsi="宋体" w:cs="仿宋"/>
                <w:color w:val="auto"/>
                <w:szCs w:val="21"/>
                <w:highlight w:val="none"/>
              </w:rPr>
              <w:t>（1）如果投标人的评标价＞评标基准价，则投标价得分=F-（投标人投标价-评标基准价）/评标基准价×100×E1；</w:t>
            </w:r>
          </w:p>
          <w:p>
            <w:pPr>
              <w:keepNext w:val="0"/>
              <w:keepLines w:val="0"/>
              <w:pageBreakBefore w:val="0"/>
              <w:widowControl w:val="0"/>
              <w:kinsoku/>
              <w:wordWrap/>
              <w:overflowPunct/>
              <w:topLinePunct w:val="0"/>
              <w:autoSpaceDE/>
              <w:autoSpaceDN/>
              <w:bidi w:val="0"/>
              <w:snapToGrid/>
              <w:spacing w:line="340" w:lineRule="exact"/>
              <w:ind w:firstLine="420" w:firstLineChars="200"/>
              <w:textAlignment w:val="auto"/>
              <w:rPr>
                <w:rFonts w:hint="eastAsia" w:ascii="宋体" w:hAnsi="宋体" w:cs="仿宋"/>
                <w:color w:val="auto"/>
                <w:szCs w:val="21"/>
                <w:highlight w:val="none"/>
              </w:rPr>
            </w:pPr>
            <w:r>
              <w:rPr>
                <w:rFonts w:hint="eastAsia" w:ascii="宋体" w:hAnsi="宋体" w:cs="仿宋"/>
                <w:color w:val="auto"/>
                <w:szCs w:val="21"/>
                <w:highlight w:val="none"/>
              </w:rPr>
              <w:t>（2）如果投标人的评标价≤评标基准价，则投标价得分=F+(投标人投标价-评标基准价)/评标基准价×100×E2。</w:t>
            </w:r>
          </w:p>
          <w:p>
            <w:pPr>
              <w:keepNext w:val="0"/>
              <w:keepLines w:val="0"/>
              <w:pageBreakBefore w:val="0"/>
              <w:widowControl w:val="0"/>
              <w:kinsoku/>
              <w:wordWrap/>
              <w:overflowPunct/>
              <w:topLinePunct w:val="0"/>
              <w:autoSpaceDE/>
              <w:autoSpaceDN/>
              <w:bidi w:val="0"/>
              <w:snapToGrid/>
              <w:spacing w:line="340" w:lineRule="exact"/>
              <w:ind w:firstLine="420" w:firstLineChars="200"/>
              <w:textAlignment w:val="auto"/>
              <w:rPr>
                <w:rFonts w:hint="eastAsia" w:ascii="宋体" w:hAnsi="宋体" w:cs="仿宋"/>
                <w:color w:val="auto"/>
                <w:szCs w:val="21"/>
                <w:highlight w:val="none"/>
              </w:rPr>
            </w:pPr>
            <w:r>
              <w:rPr>
                <w:rFonts w:hint="eastAsia" w:ascii="宋体" w:hAnsi="宋体" w:cs="仿宋"/>
                <w:color w:val="auto"/>
                <w:szCs w:val="21"/>
                <w:highlight w:val="none"/>
              </w:rPr>
              <w:t>其中，F=10；E1= 0.2；E2= 0.1；投标价最低得分为0分。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62" w:hRule="atLeast"/>
          <w:jc w:val="center"/>
        </w:trPr>
        <w:tc>
          <w:tcPr>
            <w:tcW w:w="791" w:type="dxa"/>
            <w:vMerge w:val="restart"/>
            <w:noWrap w:val="0"/>
            <w:vAlign w:val="center"/>
          </w:tcPr>
          <w:p>
            <w:pPr>
              <w:keepNext w:val="0"/>
              <w:keepLines w:val="0"/>
              <w:pageBreakBefore w:val="0"/>
              <w:widowControl w:val="0"/>
              <w:kinsoku/>
              <w:wordWrap/>
              <w:overflowPunct/>
              <w:topLinePunct w:val="0"/>
              <w:autoSpaceDE/>
              <w:autoSpaceDN/>
              <w:bidi w:val="0"/>
              <w:snapToGrid/>
              <w:spacing w:line="340" w:lineRule="exact"/>
              <w:jc w:val="center"/>
              <w:textAlignment w:val="auto"/>
              <w:rPr>
                <w:rFonts w:hint="eastAsia" w:ascii="宋体" w:hAnsi="宋体" w:cs="仿宋"/>
                <w:color w:val="auto"/>
                <w:szCs w:val="21"/>
                <w:highlight w:val="none"/>
              </w:rPr>
            </w:pPr>
            <w:r>
              <w:rPr>
                <w:rFonts w:hint="eastAsia" w:ascii="宋体" w:hAnsi="宋体" w:cs="仿宋"/>
                <w:color w:val="auto"/>
                <w:szCs w:val="21"/>
                <w:highlight w:val="none"/>
              </w:rPr>
              <w:t>2.2.4（4）</w:t>
            </w:r>
          </w:p>
        </w:tc>
        <w:tc>
          <w:tcPr>
            <w:tcW w:w="705" w:type="dxa"/>
            <w:vMerge w:val="restar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340" w:lineRule="exact"/>
              <w:jc w:val="center"/>
              <w:textAlignment w:val="auto"/>
              <w:rPr>
                <w:rFonts w:hint="eastAsia" w:ascii="宋体" w:hAnsi="宋体" w:cs="仿宋"/>
                <w:color w:val="auto"/>
                <w:szCs w:val="21"/>
                <w:highlight w:val="none"/>
              </w:rPr>
            </w:pPr>
            <w:r>
              <w:rPr>
                <w:rFonts w:hint="eastAsia" w:ascii="宋体" w:hAnsi="宋体" w:cs="仿宋"/>
                <w:color w:val="auto"/>
                <w:szCs w:val="21"/>
                <w:highlight w:val="none"/>
              </w:rPr>
              <w:t>其他</w:t>
            </w:r>
          </w:p>
          <w:p>
            <w:pPr>
              <w:keepNext w:val="0"/>
              <w:keepLines w:val="0"/>
              <w:pageBreakBefore w:val="0"/>
              <w:widowControl w:val="0"/>
              <w:kinsoku/>
              <w:wordWrap/>
              <w:overflowPunct/>
              <w:topLinePunct w:val="0"/>
              <w:autoSpaceDE/>
              <w:autoSpaceDN/>
              <w:bidi w:val="0"/>
              <w:snapToGrid/>
              <w:spacing w:line="340" w:lineRule="exact"/>
              <w:jc w:val="center"/>
              <w:textAlignment w:val="auto"/>
              <w:rPr>
                <w:rFonts w:hint="eastAsia" w:ascii="宋体" w:hAnsi="宋体" w:cs="仿宋"/>
                <w:color w:val="auto"/>
                <w:szCs w:val="21"/>
                <w:highlight w:val="none"/>
              </w:rPr>
            </w:pPr>
            <w:r>
              <w:rPr>
                <w:rFonts w:hint="eastAsia" w:ascii="宋体" w:hAnsi="宋体" w:cs="仿宋"/>
                <w:color w:val="auto"/>
                <w:szCs w:val="21"/>
                <w:highlight w:val="none"/>
              </w:rPr>
              <w:t>因素</w:t>
            </w:r>
          </w:p>
        </w:tc>
        <w:tc>
          <w:tcPr>
            <w:tcW w:w="1033" w:type="dxa"/>
            <w:vMerge w:val="restart"/>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340" w:lineRule="exact"/>
              <w:jc w:val="center"/>
              <w:textAlignment w:val="auto"/>
              <w:rPr>
                <w:rFonts w:hint="eastAsia" w:ascii="宋体" w:hAnsi="宋体" w:cs="仿宋"/>
                <w:color w:val="auto"/>
                <w:szCs w:val="21"/>
                <w:highlight w:val="none"/>
              </w:rPr>
            </w:pPr>
            <w:r>
              <w:rPr>
                <w:rFonts w:hint="eastAsia" w:ascii="宋体" w:hAnsi="宋体" w:cs="仿宋"/>
                <w:color w:val="auto"/>
                <w:szCs w:val="21"/>
                <w:highlight w:val="none"/>
              </w:rPr>
              <w:t>25分</w:t>
            </w:r>
          </w:p>
        </w:tc>
        <w:tc>
          <w:tcPr>
            <w:tcW w:w="1197" w:type="dxa"/>
            <w:vMerge w:val="restart"/>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340" w:lineRule="exact"/>
              <w:jc w:val="center"/>
              <w:textAlignment w:val="auto"/>
              <w:rPr>
                <w:rFonts w:hint="eastAsia" w:ascii="宋体" w:hAnsi="宋体" w:cs="仿宋"/>
                <w:color w:val="auto"/>
                <w:szCs w:val="21"/>
                <w:highlight w:val="none"/>
              </w:rPr>
            </w:pPr>
            <w:r>
              <w:rPr>
                <w:rFonts w:hint="eastAsia" w:ascii="宋体" w:hAnsi="宋体" w:cs="仿宋"/>
                <w:color w:val="auto"/>
                <w:szCs w:val="21"/>
                <w:highlight w:val="none"/>
              </w:rPr>
              <w:t>业绩</w:t>
            </w:r>
          </w:p>
        </w:tc>
        <w:tc>
          <w:tcPr>
            <w:tcW w:w="5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340" w:lineRule="exact"/>
              <w:jc w:val="center"/>
              <w:textAlignment w:val="auto"/>
              <w:rPr>
                <w:rFonts w:hint="eastAsia" w:ascii="宋体" w:hAnsi="宋体" w:cs="仿宋"/>
                <w:color w:val="auto"/>
                <w:szCs w:val="21"/>
                <w:highlight w:val="none"/>
              </w:rPr>
            </w:pPr>
            <w:r>
              <w:rPr>
                <w:rFonts w:hint="eastAsia" w:ascii="宋体" w:hAnsi="宋体" w:cs="仿宋"/>
                <w:color w:val="auto"/>
                <w:szCs w:val="21"/>
                <w:highlight w:val="none"/>
              </w:rPr>
              <w:t>15分</w:t>
            </w:r>
          </w:p>
        </w:tc>
        <w:tc>
          <w:tcPr>
            <w:tcW w:w="5591"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340" w:lineRule="exact"/>
              <w:textAlignment w:val="auto"/>
              <w:rPr>
                <w:rFonts w:hint="eastAsia" w:ascii="宋体" w:hAnsi="宋体" w:cs="仿宋"/>
                <w:color w:val="auto"/>
                <w:szCs w:val="21"/>
                <w:highlight w:val="none"/>
              </w:rPr>
            </w:pPr>
            <w:r>
              <w:rPr>
                <w:rFonts w:hint="eastAsia" w:ascii="宋体" w:hAnsi="宋体" w:cs="仿宋"/>
                <w:color w:val="auto"/>
                <w:szCs w:val="21"/>
                <w:highlight w:val="none"/>
              </w:rPr>
              <w:t>满足资格审查条件最低要求，得15分。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94" w:hRule="atLeast"/>
          <w:jc w:val="center"/>
        </w:trPr>
        <w:tc>
          <w:tcPr>
            <w:tcW w:w="791" w:type="dxa"/>
            <w:vMerge w:val="continue"/>
            <w:noWrap w:val="0"/>
            <w:vAlign w:val="center"/>
          </w:tcPr>
          <w:p>
            <w:pPr>
              <w:keepNext w:val="0"/>
              <w:keepLines w:val="0"/>
              <w:pageBreakBefore w:val="0"/>
              <w:widowControl w:val="0"/>
              <w:kinsoku/>
              <w:wordWrap/>
              <w:overflowPunct/>
              <w:topLinePunct w:val="0"/>
              <w:autoSpaceDE/>
              <w:autoSpaceDN/>
              <w:bidi w:val="0"/>
              <w:snapToGrid/>
              <w:spacing w:line="340" w:lineRule="exact"/>
              <w:ind w:firstLine="420" w:firstLineChars="200"/>
              <w:textAlignment w:val="auto"/>
              <w:rPr>
                <w:rFonts w:hint="eastAsia" w:ascii="宋体" w:hAnsi="宋体" w:cs="仿宋"/>
                <w:color w:val="auto"/>
                <w:szCs w:val="21"/>
                <w:highlight w:val="none"/>
              </w:rPr>
            </w:pPr>
          </w:p>
        </w:tc>
        <w:tc>
          <w:tcPr>
            <w:tcW w:w="705"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340" w:lineRule="exact"/>
              <w:ind w:firstLine="420" w:firstLineChars="200"/>
              <w:textAlignment w:val="auto"/>
              <w:rPr>
                <w:rFonts w:hint="eastAsia" w:ascii="宋体" w:hAnsi="宋体" w:cs="仿宋"/>
                <w:color w:val="auto"/>
                <w:szCs w:val="21"/>
                <w:highlight w:val="none"/>
              </w:rPr>
            </w:pPr>
          </w:p>
        </w:tc>
        <w:tc>
          <w:tcPr>
            <w:tcW w:w="1033" w:type="dxa"/>
            <w:vMerge w:val="continue"/>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340" w:lineRule="exact"/>
              <w:ind w:firstLine="420" w:firstLineChars="200"/>
              <w:textAlignment w:val="auto"/>
              <w:rPr>
                <w:rFonts w:hint="eastAsia" w:ascii="宋体" w:hAnsi="宋体" w:cs="仿宋"/>
                <w:color w:val="auto"/>
                <w:szCs w:val="21"/>
                <w:highlight w:val="none"/>
              </w:rPr>
            </w:pPr>
          </w:p>
        </w:tc>
        <w:tc>
          <w:tcPr>
            <w:tcW w:w="1197"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340" w:lineRule="exact"/>
              <w:ind w:firstLine="420" w:firstLineChars="200"/>
              <w:jc w:val="center"/>
              <w:textAlignment w:val="auto"/>
              <w:rPr>
                <w:rFonts w:hint="eastAsia" w:ascii="宋体" w:hAnsi="宋体" w:cs="仿宋"/>
                <w:color w:val="auto"/>
                <w:szCs w:val="21"/>
                <w:highlight w:val="none"/>
              </w:rPr>
            </w:pPr>
          </w:p>
        </w:tc>
        <w:tc>
          <w:tcPr>
            <w:tcW w:w="562"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340" w:lineRule="exact"/>
              <w:jc w:val="center"/>
              <w:textAlignment w:val="auto"/>
              <w:rPr>
                <w:rFonts w:hint="eastAsia" w:ascii="宋体" w:hAnsi="宋体" w:cs="仿宋"/>
                <w:color w:val="auto"/>
                <w:szCs w:val="21"/>
                <w:highlight w:val="none"/>
              </w:rPr>
            </w:pPr>
            <w:r>
              <w:rPr>
                <w:rFonts w:hint="eastAsia" w:ascii="宋体" w:hAnsi="宋体" w:cs="仿宋"/>
                <w:color w:val="auto"/>
                <w:szCs w:val="21"/>
                <w:highlight w:val="none"/>
              </w:rPr>
              <w:t>10分</w:t>
            </w:r>
          </w:p>
        </w:tc>
        <w:tc>
          <w:tcPr>
            <w:tcW w:w="5591" w:type="dxa"/>
            <w:tcBorders>
              <w:top w:val="single" w:color="auto" w:sz="4" w:space="0"/>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340" w:lineRule="exact"/>
              <w:textAlignment w:val="auto"/>
              <w:rPr>
                <w:rFonts w:hint="eastAsia" w:ascii="宋体" w:hAnsi="宋体" w:cs="仿宋"/>
                <w:color w:val="auto"/>
                <w:szCs w:val="21"/>
                <w:highlight w:val="none"/>
              </w:rPr>
            </w:pPr>
            <w:r>
              <w:rPr>
                <w:rFonts w:hint="eastAsia" w:ascii="宋体" w:hAnsi="宋体" w:cs="仿宋"/>
                <w:color w:val="auto"/>
                <w:szCs w:val="21"/>
                <w:highlight w:val="none"/>
              </w:rPr>
              <w:t>每增加一项满足资格审查条件最低要求的业绩，得5分，最高得10分。</w:t>
            </w:r>
          </w:p>
        </w:tc>
      </w:tr>
    </w:tbl>
    <w:p>
      <w:pPr>
        <w:pStyle w:val="5"/>
        <w:textAlignment w:val="baseline"/>
        <w:rPr>
          <w:rFonts w:hAnsi="宋体"/>
          <w:color w:val="auto"/>
          <w:highlight w:val="none"/>
        </w:rPr>
      </w:pPr>
      <w:r>
        <w:rPr>
          <w:rFonts w:hint="eastAsia" w:hAnsi="宋体"/>
          <w:color w:val="auto"/>
          <w:highlight w:val="none"/>
        </w:rPr>
        <w:t>注：1、第2.2.4（1）项</w:t>
      </w:r>
      <w:r>
        <w:rPr>
          <w:rFonts w:hint="eastAsia" w:hAnsi="宋体" w:cs="宋体"/>
          <w:color w:val="auto"/>
          <w:highlight w:val="none"/>
        </w:rPr>
        <w:t>各评委打分保留1位小数，</w:t>
      </w:r>
      <w:r>
        <w:rPr>
          <w:color w:val="auto"/>
          <w:highlight w:val="none"/>
        </w:rPr>
        <w:t>投标人该项得分以各评委打分平均值计算所得，保留两位小数，第三位小数四舍五入</w:t>
      </w:r>
      <w:r>
        <w:rPr>
          <w:rFonts w:hint="eastAsia" w:hAnsi="宋体"/>
          <w:color w:val="auto"/>
          <w:highlight w:val="none"/>
        </w:rPr>
        <w:t>。</w:t>
      </w:r>
    </w:p>
    <w:p>
      <w:pPr>
        <w:pStyle w:val="5"/>
        <w:ind w:firstLine="420" w:firstLineChars="200"/>
        <w:textAlignment w:val="baseline"/>
        <w:rPr>
          <w:rFonts w:hAnsi="宋体"/>
          <w:color w:val="auto"/>
          <w:highlight w:val="none"/>
        </w:rPr>
      </w:pPr>
      <w:r>
        <w:rPr>
          <w:rFonts w:hint="eastAsia" w:hAnsi="宋体"/>
          <w:color w:val="auto"/>
          <w:highlight w:val="none"/>
        </w:rPr>
        <w:t>2、第2.2.4（1）项各评分因素得分一般不应低于其权重分值的60%，评标委员会成员对某一项评分因素的评分低于权重分值 60%的，应在评标报告中作出说明。评审因素缺项则该项得0分。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jOTYxMDEyNGFmNjc3MWU1M2E2NTdkMmQ3MGQ3OGIifQ=="/>
  </w:docVars>
  <w:rsids>
    <w:rsidRoot w:val="42A205E8"/>
    <w:rsid w:val="1EFE2567"/>
    <w:rsid w:val="42A205E8"/>
    <w:rsid w:val="4B6C4CC7"/>
    <w:rsid w:val="509F0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3" w:lineRule="auto"/>
      <w:outlineLvl w:val="2"/>
    </w:pPr>
    <w:rPr>
      <w:b/>
      <w:bCs/>
      <w:sz w:val="32"/>
      <w:szCs w:val="32"/>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5">
    <w:name w:val="Plain Text"/>
    <w:basedOn w:val="1"/>
    <w:qFormat/>
    <w:uiPriority w:val="99"/>
    <w:rPr>
      <w:rFonts w:ascii="宋体" w:hAnsi="Courier New" w:cs="Courier New"/>
      <w:szCs w:val="21"/>
    </w:rPr>
  </w:style>
  <w:style w:type="paragraph" w:styleId="6">
    <w:name w:val="Body Text 2"/>
    <w:basedOn w:val="1"/>
    <w:qFormat/>
    <w:uiPriority w:val="0"/>
    <w:rPr>
      <w:sz w:val="28"/>
      <w:szCs w:val="20"/>
    </w:rPr>
  </w:style>
  <w:style w:type="paragraph" w:styleId="7">
    <w:name w:val="Normal (Web)"/>
    <w:basedOn w:val="1"/>
    <w:qFormat/>
    <w:uiPriority w:val="0"/>
    <w:pPr>
      <w:widowControl/>
      <w:spacing w:before="100" w:beforeAutospacing="1" w:after="100" w:afterAutospacing="1"/>
      <w:jc w:val="left"/>
    </w:pPr>
    <w:rPr>
      <w:rFonts w:ascii="宋体" w:hAnsi="宋体"/>
      <w:kern w:val="0"/>
      <w:sz w:val="24"/>
    </w:rPr>
  </w:style>
  <w:style w:type="paragraph" w:customStyle="1" w:styleId="10">
    <w:name w:val="目录3"/>
    <w:basedOn w:val="1"/>
    <w:qFormat/>
    <w:uiPriority w:val="0"/>
    <w:pPr>
      <w:spacing w:beforeLines="50" w:afterLines="50" w:line="400" w:lineRule="exact"/>
    </w:pPr>
    <w:rPr>
      <w:rFonts w:ascii="黑体" w:eastAsia="黑体"/>
      <w:sz w:val="24"/>
    </w:rPr>
  </w:style>
  <w:style w:type="character" w:customStyle="1" w:styleId="11">
    <w:name w:val="目录4 Char Char"/>
    <w:qFormat/>
    <w:uiPriority w:val="0"/>
    <w:rPr>
      <w:rFonts w:ascii="黑体" w:eastAsia="黑体"/>
      <w:kern w:val="2"/>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6670</Words>
  <Characters>7358</Characters>
  <Lines>0</Lines>
  <Paragraphs>0</Paragraphs>
  <TotalTime>0</TotalTime>
  <ScaleCrop>false</ScaleCrop>
  <LinksUpToDate>false</LinksUpToDate>
  <CharactersWithSpaces>7446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2023-08-29T02:21:00Z</dcterms:created>
  <dc:creator>WPS_1622007829</dc:creator>
  <cp:lastModifiedBy>WPS_1622007829</cp:lastModifiedBy>
  <cp:lastPrinted>2023-08-29T02:23:00Z</cp:lastPrinted>
  <dcterms:modified xsi:type="dcterms:W3CDTF">2023-08-29T04:59:45Z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8C3D0A3DE2754FF6BAA29AC4D0B63C57_11</vt:lpwstr>
  </property>
</Properties>
</file>