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_Toc143068714"/>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360" w:lineRule="exact"/>
              <w:ind w:firstLine="420" w:firstLineChars="200"/>
              <w:rPr>
                <w:rFonts w:ascii="宋体" w:hAnsi="宋体"/>
                <w:kern w:val="0"/>
                <w:szCs w:val="21"/>
              </w:rPr>
            </w:pPr>
            <w:r>
              <w:rPr>
                <w:rFonts w:hint="eastAsia" w:ascii="宋体" w:hAnsi="宋体"/>
                <w:kern w:val="0"/>
                <w:szCs w:val="21"/>
              </w:rPr>
              <w:t>具有交通主管部门颁发的公路工程综合甲级试验检测资质证书，同时具有省级及以上技术监督部门颁发的相应的CMA计量认证证书(独立法人单位下属的非独立法人检测机构具有上述资质的，视为该独立法人单位具有相应资质)。</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近5年（2018年8月1日至投标截止时间，以合同签订时间为准），至少承担过1项高速公路（新建或改扩建或养护）检测项目业绩。</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投标人在过去1年中（2022年8月1日至投标截止时间）不曾在高速公路检测合同中违约被逐或因投标人自身的原因而使合同被解除。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高级工程师；</w:t>
            </w:r>
          </w:p>
          <w:p>
            <w:pPr>
              <w:jc w:val="left"/>
              <w:rPr>
                <w:rFonts w:ascii="宋体" w:hAnsi="宋体"/>
                <w:szCs w:val="21"/>
              </w:rPr>
            </w:pPr>
            <w:r>
              <w:rPr>
                <w:rFonts w:hint="eastAsia" w:ascii="宋体" w:hAnsi="宋体"/>
                <w:szCs w:val="21"/>
              </w:rPr>
              <w:t>具有交通运输主管部门颁发的试验检测工程师资格证书或交通运输主管部门颁发的试验检测师资格证书；</w:t>
            </w:r>
          </w:p>
          <w:p>
            <w:pPr>
              <w:jc w:val="left"/>
              <w:rPr>
                <w:rFonts w:ascii="宋体" w:hAnsi="宋体"/>
                <w:szCs w:val="21"/>
              </w:rPr>
            </w:pPr>
            <w:r>
              <w:rPr>
                <w:rFonts w:hint="eastAsia" w:ascii="宋体" w:hAnsi="宋体"/>
                <w:szCs w:val="21"/>
              </w:rPr>
              <w:t>近5年（2018年8月1日至投标截止时间，以合同签订时间为准）至少担任过1项高速公路（新建或改扩建或养护）检测项目的项目负责人。</w:t>
            </w:r>
          </w:p>
        </w:tc>
      </w:tr>
    </w:tbl>
    <w:p>
      <w:pPr>
        <w:rPr>
          <w:rFonts w:ascii="宋体" w:hAnsi="宋体"/>
          <w:sz w:val="24"/>
          <w:szCs w:val="24"/>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1" w:name="_Toc143068715"/>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2"/>
        <w:snapToGrid w:val="0"/>
        <w:spacing w:before="120" w:after="120" w:line="240" w:lineRule="auto"/>
        <w:rPr>
          <w:sz w:val="24"/>
          <w:szCs w:val="24"/>
        </w:rPr>
      </w:pPr>
      <w:bookmarkStart w:id="2" w:name="_Toc65857110"/>
      <w:bookmarkStart w:id="3" w:name="_Toc66984522"/>
      <w:bookmarkStart w:id="4" w:name="_Toc138793770"/>
      <w:bookmarkStart w:id="5" w:name="_Toc66337244"/>
      <w:bookmarkStart w:id="6" w:name="_Toc65820978"/>
      <w:bookmarkStart w:id="7" w:name="_Toc143068716"/>
      <w:bookmarkStart w:id="8" w:name="_Hlk143066937"/>
      <w:r>
        <w:rPr>
          <w:rFonts w:hint="eastAsia"/>
          <w:sz w:val="24"/>
          <w:szCs w:val="24"/>
        </w:rPr>
        <w:t>评标办法前附表</w:t>
      </w:r>
      <w:bookmarkEnd w:id="2"/>
      <w:bookmarkEnd w:id="3"/>
      <w:bookmarkEnd w:id="4"/>
      <w:bookmarkEnd w:id="5"/>
      <w:bookmarkEnd w:id="6"/>
      <w:bookmarkEnd w:id="7"/>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vAlign w:val="center"/>
          </w:tcPr>
          <w:p>
            <w:pPr>
              <w:jc w:val="center"/>
              <w:rPr>
                <w:rFonts w:ascii="宋体" w:hAnsi="宋体"/>
              </w:rPr>
            </w:pPr>
            <w:r>
              <w:rPr>
                <w:rFonts w:hint="eastAsia" w:ascii="宋体" w:hAnsi="宋体"/>
              </w:rPr>
              <w:t>条款号</w:t>
            </w:r>
          </w:p>
        </w:tc>
        <w:tc>
          <w:tcPr>
            <w:tcW w:w="7648" w:type="dxa"/>
            <w:gridSpan w:val="2"/>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gridSpan w:val="2"/>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gridSpan w:val="2"/>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a．投标函按招标文件规定填报了招标人名称、项目名称、标段号（如有）、补遗书编号（如有）、项目负责人相关信息、质量要求、安全目标、服务期限等内容；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b.若投标保证金采用</w:t>
            </w:r>
            <w:r>
              <w:rPr>
                <w:rFonts w:hint="eastAsia" w:ascii="宋体" w:hAnsi="宋体" w:cs="宋体"/>
                <w:kern w:val="0"/>
                <w:szCs w:val="21"/>
              </w:rPr>
              <w:t>电汇或转账</w:t>
            </w:r>
            <w:r>
              <w:rPr>
                <w:rFonts w:hint="eastAsia" w:ascii="宋体" w:hAnsi="宋体"/>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）投标人在未提交两个以上不同的投标文件。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a．投标函按招标文件规定填报了招标人名称、项目名称、标段号（如有）、补遗书编号（如有）、投标价（包括大写金额和小写金额）；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）投标人在未提交两个以上不同的投标报价。</w:t>
            </w:r>
          </w:p>
          <w:p>
            <w:pPr>
              <w:tabs>
                <w:tab w:val="left" w:pos="3060"/>
              </w:tabs>
              <w:spacing w:line="320" w:lineRule="exact"/>
              <w:ind w:firstLine="205" w:firstLineChars="98"/>
              <w:rPr>
                <w:rFonts w:ascii="宋体" w:hAnsi="宋体"/>
                <w:bCs/>
                <w:szCs w:val="21"/>
              </w:rPr>
            </w:pPr>
            <w:r>
              <w:rPr>
                <w:rFonts w:hint="eastAsia" w:ascii="宋体" w:hAnsi="宋体"/>
                <w:bCs/>
                <w:szCs w:val="21"/>
              </w:rPr>
              <w:t>（6）投标人未提交调价函。</w:t>
            </w:r>
          </w:p>
          <w:p>
            <w:pPr>
              <w:tabs>
                <w:tab w:val="left" w:pos="3060"/>
              </w:tabs>
              <w:spacing w:line="320" w:lineRule="exact"/>
              <w:ind w:firstLine="205" w:firstLineChars="98"/>
              <w:rPr>
                <w:rFonts w:ascii="宋体" w:hAnsi="宋体"/>
                <w:b/>
                <w:szCs w:val="21"/>
              </w:rPr>
            </w:pPr>
            <w:r>
              <w:rPr>
                <w:rFonts w:hint="eastAsia" w:ascii="宋体" w:hAnsi="宋体"/>
                <w:bCs/>
                <w:szCs w:val="21"/>
              </w:rPr>
              <w:t>（7）投标人填写完毕的试验检测固化清单未对招标人提供的试验检测清单电子文件中的数据、格式和运算定义进行修改；试验检测固化清单中的投标报价和投标函大写金额报价一致。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06" w:hRule="atLeast"/>
        </w:trPr>
        <w:tc>
          <w:tcPr>
            <w:tcW w:w="817"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gridSpan w:val="2"/>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、组织机构代码证（三证合一的除外）、资质证书和基本账户开户许可证（或基本存款账户信息）；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Pr>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gridSpan w:val="2"/>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gridSpan w:val="2"/>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gridSpan w:val="2"/>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Pr>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gridSpan w:val="2"/>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评标委员会评标时应对投标人的信用情况在“国家企业信用信息公示系统” （事业单位投标人不适用）和“信用中国”网站对投标人的信用情况进行查询，若投标人存在“国家企业信用信息公示系统”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91" w:hRule="atLeast"/>
        </w:trPr>
        <w:tc>
          <w:tcPr>
            <w:tcW w:w="817" w:type="dxa"/>
            <w:vAlign w:val="center"/>
          </w:tcPr>
          <w:p>
            <w:pPr>
              <w:jc w:val="center"/>
              <w:rPr>
                <w:rFonts w:ascii="宋体" w:hAnsi="宋体"/>
              </w:rPr>
            </w:pPr>
            <w:r>
              <w:rPr>
                <w:rFonts w:hint="eastAsia" w:ascii="宋体" w:hAnsi="宋体"/>
              </w:rPr>
              <w:t>3.9.1</w:t>
            </w:r>
          </w:p>
        </w:tc>
        <w:tc>
          <w:tcPr>
            <w:tcW w:w="1134" w:type="dxa"/>
            <w:vAlign w:val="center"/>
          </w:tcPr>
          <w:p>
            <w:pPr>
              <w:ind w:left="-31" w:leftChars="-15" w:right="-77"/>
              <w:jc w:val="center"/>
              <w:rPr>
                <w:rFonts w:ascii="宋体" w:hAnsi="宋体"/>
                <w:szCs w:val="21"/>
              </w:rPr>
            </w:pPr>
            <w:r>
              <w:rPr>
                <w:rFonts w:hint="eastAsia" w:ascii="宋体" w:hAnsi="宋体"/>
                <w:szCs w:val="21"/>
              </w:rPr>
              <w:t>评标结果</w:t>
            </w:r>
          </w:p>
        </w:tc>
        <w:tc>
          <w:tcPr>
            <w:tcW w:w="7648" w:type="dxa"/>
            <w:gridSpan w:val="2"/>
            <w:vAlign w:val="center"/>
          </w:tcPr>
          <w:p>
            <w:pPr>
              <w:spacing w:line="340" w:lineRule="exact"/>
              <w:ind w:right="113" w:firstLine="426" w:firstLineChars="203"/>
              <w:rPr>
                <w:rFonts w:ascii="宋体" w:hAnsi="宋体"/>
                <w:szCs w:val="21"/>
              </w:rPr>
            </w:pPr>
            <w:r>
              <w:rPr>
                <w:rFonts w:hint="eastAsia" w:ascii="宋体" w:hAnsi="宋体"/>
                <w:szCs w:val="21"/>
              </w:rPr>
              <w:t>本款补充：</w:t>
            </w:r>
          </w:p>
          <w:p>
            <w:pPr>
              <w:spacing w:line="340" w:lineRule="exact"/>
              <w:ind w:right="113" w:firstLine="426" w:firstLineChars="203"/>
              <w:rPr>
                <w:rFonts w:ascii="宋体" w:hAnsi="宋体"/>
                <w:szCs w:val="21"/>
              </w:rPr>
            </w:pPr>
            <w:r>
              <w:rPr>
                <w:rFonts w:hint="eastAsia" w:ascii="宋体" w:hAnsi="宋体"/>
                <w:bCs/>
                <w:szCs w:val="21"/>
              </w:rPr>
              <w:t>通过第一信封商务文件和技术文件评审的投标人少于</w:t>
            </w:r>
            <w:r>
              <w:rPr>
                <w:rFonts w:ascii="宋体" w:hAnsi="宋体"/>
                <w:bCs/>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szCs w:val="21"/>
              </w:rPr>
              <w:t>按照评标办法前附表“1.评标办法”的规定</w:t>
            </w:r>
            <w:r>
              <w:rPr>
                <w:rFonts w:ascii="宋体" w:hAnsi="宋体"/>
                <w:bCs/>
                <w:szCs w:val="21"/>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5"/>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已在“河北高速公路集团有限公司2023年主线养护工程第三方试验检测”JC-1标段、JC-2标段、JC-4标段获得中标资格的投标人参加本标段投标的，不再被推荐为中标候选人。</w:t>
            </w:r>
          </w:p>
        </w:tc>
      </w:tr>
    </w:tbl>
    <w:p/>
    <w:bookmarkEnd w:id="8"/>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10分</w:t>
            </w:r>
          </w:p>
        </w:tc>
        <w:tc>
          <w:tcPr>
            <w:tcW w:w="4820" w:type="dxa"/>
            <w:tcBorders>
              <w:top w:val="single" w:color="auto" w:sz="4" w:space="0"/>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6</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合理，可行6-8分；</w:t>
            </w:r>
          </w:p>
          <w:p>
            <w:pPr>
              <w:pStyle w:val="3"/>
              <w:snapToGrid w:val="0"/>
              <w:jc w:val="left"/>
              <w:rPr>
                <w:rFonts w:hAnsi="宋体"/>
                <w:kern w:val="2"/>
                <w:sz w:val="21"/>
                <w:szCs w:val="21"/>
              </w:rPr>
            </w:pPr>
            <w:r>
              <w:rPr>
                <w:rFonts w:hint="eastAsia" w:hAnsi="宋体" w:cs="宋体"/>
                <w:sz w:val="21"/>
                <w:szCs w:val="21"/>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对本项目工作范围和任务理解</w:t>
            </w:r>
          </w:p>
        </w:tc>
        <w:tc>
          <w:tcPr>
            <w:tcW w:w="850"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int="eastAsia" w:hAnsi="宋体" w:cs="宋体"/>
                <w:sz w:val="21"/>
                <w:szCs w:val="21"/>
              </w:rPr>
              <w:t>10分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理解基本准确，思路欠合理6分；</w:t>
            </w:r>
          </w:p>
          <w:p>
            <w:pPr>
              <w:snapToGrid w:val="0"/>
              <w:rPr>
                <w:rFonts w:ascii="宋体" w:hAnsi="宋体" w:cs="宋体"/>
                <w:szCs w:val="21"/>
              </w:rPr>
            </w:pPr>
            <w:r>
              <w:rPr>
                <w:rFonts w:hint="eastAsia" w:ascii="宋体" w:hAnsi="宋体" w:cs="宋体"/>
                <w:szCs w:val="21"/>
              </w:rPr>
              <w:t>理解基本准确，思路一般6-8分；</w:t>
            </w:r>
          </w:p>
          <w:p>
            <w:pPr>
              <w:pStyle w:val="3"/>
              <w:snapToGrid w:val="0"/>
              <w:jc w:val="left"/>
              <w:rPr>
                <w:rFonts w:hAnsi="宋体"/>
                <w:kern w:val="2"/>
                <w:sz w:val="21"/>
                <w:szCs w:val="21"/>
              </w:rPr>
            </w:pPr>
            <w:r>
              <w:rPr>
                <w:rFonts w:hint="eastAsia" w:hAnsi="宋体" w:cs="宋体"/>
                <w:sz w:val="21"/>
                <w:szCs w:val="21"/>
              </w:rPr>
              <w:t>理解准确，思路清晰，全面、合理，符合项目要</w:t>
            </w:r>
            <w:r>
              <w:rPr>
                <w:rFonts w:hint="eastAsia" w:cs="宋体"/>
                <w:sz w:val="21"/>
                <w:szCs w:val="21"/>
              </w:rPr>
              <w:t>求</w:t>
            </w:r>
            <w:r>
              <w:rPr>
                <w:rFonts w:hint="eastAsia" w:hAnsi="宋体" w:cs="宋体"/>
                <w:sz w:val="21"/>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质量、进度、安全保证措施</w:t>
            </w:r>
          </w:p>
        </w:tc>
        <w:tc>
          <w:tcPr>
            <w:tcW w:w="850"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科学先进、严密</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质量检测工作流程</w:t>
            </w:r>
          </w:p>
        </w:tc>
        <w:tc>
          <w:tcPr>
            <w:tcW w:w="850"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hAnsi="宋体" w:cs="宋体"/>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科学先进，措施完善，可操作性强</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对发现出的问题类型提出切实可行的处理建议和维修方案</w:t>
            </w:r>
          </w:p>
        </w:tc>
        <w:tc>
          <w:tcPr>
            <w:tcW w:w="850"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科学先进，措施完善，可操作性强</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承诺出具的检测（监测）成果及后续服务</w:t>
            </w:r>
          </w:p>
        </w:tc>
        <w:tc>
          <w:tcPr>
            <w:tcW w:w="850"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出具的检测成果不符合国家规定0分；</w:t>
            </w:r>
          </w:p>
          <w:p>
            <w:pPr>
              <w:snapToGrid w:val="0"/>
              <w:rPr>
                <w:rFonts w:ascii="宋体" w:hAnsi="宋体" w:cs="宋体"/>
                <w:szCs w:val="21"/>
              </w:rPr>
            </w:pPr>
            <w:r>
              <w:rPr>
                <w:rFonts w:hint="eastAsia" w:ascii="宋体" w:hAnsi="宋体" w:cs="宋体"/>
                <w:szCs w:val="21"/>
              </w:rPr>
              <w:t>检测成果符合国家规范要求，后续服务较完善</w:t>
            </w:r>
            <w:r>
              <w:rPr>
                <w:rFonts w:ascii="宋体" w:hAnsi="宋体" w:cs="宋体"/>
                <w:szCs w:val="21"/>
              </w:rPr>
              <w:t>3-4</w:t>
            </w:r>
            <w:r>
              <w:rPr>
                <w:rFonts w:hint="eastAsia" w:ascii="宋体" w:hAnsi="宋体" w:cs="宋体"/>
                <w:szCs w:val="21"/>
              </w:rPr>
              <w:t>分；</w:t>
            </w:r>
          </w:p>
          <w:p>
            <w:pPr>
              <w:pStyle w:val="3"/>
              <w:snapToGrid w:val="0"/>
              <w:jc w:val="left"/>
              <w:rPr>
                <w:rFonts w:hAnsi="宋体"/>
                <w:kern w:val="2"/>
                <w:sz w:val="21"/>
                <w:szCs w:val="21"/>
              </w:rPr>
            </w:pPr>
            <w:r>
              <w:rPr>
                <w:rFonts w:hint="eastAsia" w:hAnsi="宋体" w:cs="宋体"/>
                <w:sz w:val="21"/>
                <w:szCs w:val="21"/>
              </w:rPr>
              <w:t>检测成果符合国家规范要求，后续服务完善</w:t>
            </w:r>
            <w:r>
              <w:rPr>
                <w:rFonts w:hAnsi="宋体" w:cs="宋体"/>
                <w:sz w:val="21"/>
                <w:szCs w:val="21"/>
              </w:rPr>
              <w:t>4</w:t>
            </w:r>
            <w:r>
              <w:rPr>
                <w:rFonts w:hint="eastAsia" w:hAnsi="宋体" w:cs="宋体"/>
                <w:sz w:val="21"/>
                <w:szCs w:val="21"/>
              </w:rPr>
              <w:t>-</w:t>
            </w:r>
            <w:r>
              <w:rPr>
                <w:rFonts w:hAnsi="宋体" w:cs="宋体"/>
                <w:sz w:val="21"/>
                <w:szCs w:val="21"/>
              </w:rPr>
              <w:t>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3"/>
              <w:snapToGrid w:val="0"/>
              <w:jc w:val="center"/>
              <w:rPr>
                <w:rFonts w:hAnsi="宋体"/>
                <w:kern w:val="2"/>
                <w:sz w:val="21"/>
                <w:szCs w:val="21"/>
              </w:rPr>
            </w:pPr>
            <w:r>
              <w:rPr>
                <w:rFonts w:hint="eastAsia" w:hAnsi="宋体" w:cs="宋体"/>
                <w:sz w:val="21"/>
                <w:szCs w:val="21"/>
              </w:rPr>
              <w:t>重点、难点分析</w:t>
            </w:r>
          </w:p>
        </w:tc>
        <w:tc>
          <w:tcPr>
            <w:tcW w:w="850" w:type="dxa"/>
            <w:tcBorders>
              <w:left w:val="single" w:color="auto" w:sz="4" w:space="0"/>
              <w:right w:val="single" w:color="auto" w:sz="4" w:space="0"/>
            </w:tcBorders>
            <w:vAlign w:val="center"/>
          </w:tcPr>
          <w:p>
            <w:pPr>
              <w:pStyle w:val="3"/>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欠合理3分；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w:t>
            </w:r>
            <w:r>
              <w:rPr>
                <w:rFonts w:hint="eastAsia" w:ascii="宋体" w:hAnsi="宋体" w:cs="宋体"/>
                <w:szCs w:val="21"/>
              </w:rPr>
              <w:t>-</w:t>
            </w:r>
            <w:r>
              <w:rPr>
                <w:rFonts w:ascii="宋体" w:hAnsi="宋体" w:cs="宋体"/>
                <w:szCs w:val="21"/>
              </w:rPr>
              <w:t>4</w:t>
            </w:r>
            <w:r>
              <w:rPr>
                <w:rFonts w:hint="eastAsia" w:ascii="宋体" w:hAnsi="宋体" w:cs="宋体"/>
                <w:szCs w:val="21"/>
              </w:rPr>
              <w:t>分；</w:t>
            </w:r>
          </w:p>
          <w:p>
            <w:pPr>
              <w:snapToGrid w:val="0"/>
              <w:jc w:val="left"/>
              <w:rPr>
                <w:rFonts w:ascii="宋体" w:hAnsi="宋体"/>
                <w:szCs w:val="21"/>
              </w:rPr>
            </w:pPr>
            <w:r>
              <w:rPr>
                <w:rFonts w:hint="eastAsia" w:ascii="宋体" w:hAnsi="宋体" w:cs="宋体"/>
                <w:szCs w:val="21"/>
              </w:rPr>
              <w:t>科学先进，措施完善，可操作性强</w:t>
            </w:r>
            <w:r>
              <w:rPr>
                <w:rFonts w:ascii="宋体" w:hAnsi="宋体" w:cs="宋体"/>
                <w:szCs w:val="21"/>
              </w:rPr>
              <w:t>4</w:t>
            </w:r>
            <w:r>
              <w:rPr>
                <w:rFonts w:hint="eastAsia" w:ascii="宋体" w:hAnsi="宋体" w:cs="宋体"/>
                <w:szCs w:val="21"/>
              </w:rPr>
              <w:t>-</w:t>
            </w:r>
            <w:r>
              <w:rPr>
                <w:rFonts w:ascii="宋体" w:hAnsi="宋体" w:cs="宋体"/>
                <w:szCs w:val="21"/>
              </w:rPr>
              <w:t>5</w:t>
            </w:r>
            <w:r>
              <w:rPr>
                <w:rFonts w:hint="eastAsia" w:ascii="宋体" w:hAnsi="宋体" w:cs="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152"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18"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152" w:type="dxa"/>
            <w:gridSpan w:val="3"/>
            <w:vAlign w:val="center"/>
          </w:tcPr>
          <w:p>
            <w:pPr>
              <w:pStyle w:val="3"/>
              <w:spacing w:line="300" w:lineRule="exact"/>
              <w:rPr>
                <w:rFonts w:hAnsi="宋体"/>
                <w:kern w:val="2"/>
                <w:sz w:val="21"/>
                <w:szCs w:val="21"/>
              </w:rPr>
            </w:pPr>
            <w:r>
              <w:rPr>
                <w:rFonts w:hint="eastAsia" w:hAnsi="宋体"/>
                <w:kern w:val="2"/>
                <w:sz w:val="21"/>
                <w:szCs w:val="21"/>
              </w:rPr>
              <w:t>评标价得分计算公式：</w:t>
            </w:r>
          </w:p>
          <w:p>
            <w:pPr>
              <w:pStyle w:val="3"/>
              <w:spacing w:line="300" w:lineRule="exact"/>
              <w:rPr>
                <w:rFonts w:hAnsi="宋体"/>
                <w:kern w:val="2"/>
                <w:sz w:val="21"/>
                <w:szCs w:val="21"/>
              </w:rPr>
            </w:pPr>
            <w:r>
              <w:rPr>
                <w:rFonts w:hint="eastAsia" w:hAnsi="宋体"/>
                <w:kern w:val="2"/>
                <w:sz w:val="21"/>
                <w:szCs w:val="21"/>
              </w:rPr>
              <w:t>（1）如果投标人的评标价＞评标基准价，则评标价得分=F-偏差率×100×E1；</w:t>
            </w:r>
          </w:p>
          <w:p>
            <w:pPr>
              <w:pStyle w:val="3"/>
              <w:spacing w:line="300" w:lineRule="exact"/>
              <w:rPr>
                <w:rFonts w:hAnsi="宋体"/>
                <w:kern w:val="2"/>
                <w:sz w:val="21"/>
                <w:szCs w:val="21"/>
              </w:rPr>
            </w:pPr>
            <w:r>
              <w:rPr>
                <w:rFonts w:hint="eastAsia" w:hAnsi="宋体"/>
                <w:kern w:val="2"/>
                <w:sz w:val="21"/>
                <w:szCs w:val="21"/>
              </w:rPr>
              <w:t>（2）如果投标人的评标价≤评标基准价，则评标价得分=F+偏差率×100×E2。</w:t>
            </w:r>
          </w:p>
          <w:p>
            <w:pPr>
              <w:pStyle w:val="3"/>
              <w:spacing w:line="300" w:lineRule="exact"/>
              <w:rPr>
                <w:rFonts w:hAnsi="宋体"/>
                <w:kern w:val="2"/>
                <w:sz w:val="21"/>
                <w:szCs w:val="21"/>
              </w:rPr>
            </w:pPr>
            <w:r>
              <w:rPr>
                <w:rFonts w:hint="eastAsia" w:hAnsi="宋体"/>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152"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10</w:t>
            </w:r>
            <w:r>
              <w:rPr>
                <w:rFonts w:hint="eastAsia" w:ascii="宋体" w:hAnsi="宋体"/>
                <w:szCs w:val="21"/>
              </w:rPr>
              <w:t>分，最多加</w:t>
            </w:r>
            <w:r>
              <w:rPr>
                <w:rFonts w:ascii="宋体" w:hAnsi="宋体"/>
                <w:szCs w:val="21"/>
              </w:rPr>
              <w:t>10</w:t>
            </w:r>
            <w:r>
              <w:rPr>
                <w:rFonts w:hint="eastAsia" w:ascii="宋体" w:hAnsi="宋体"/>
                <w:szCs w:val="21"/>
              </w:rPr>
              <w:t>分。</w:t>
            </w:r>
          </w:p>
        </w:tc>
      </w:tr>
    </w:tbl>
    <w:p>
      <w:pPr>
        <w:rPr>
          <w:rFonts w:ascii="宋体" w:hAnsi="宋体"/>
          <w:kern w:val="0"/>
          <w:sz w:val="20"/>
          <w:szCs w:val="20"/>
        </w:rPr>
      </w:pPr>
      <w:bookmarkStart w:id="9" w:name="_Hlk71130285"/>
      <w:r>
        <w:rPr>
          <w:rFonts w:hint="eastAsia" w:ascii="宋体" w:hAnsi="宋体"/>
          <w:kern w:val="0"/>
          <w:sz w:val="20"/>
          <w:szCs w:val="20"/>
        </w:rPr>
        <w:t>注：1、评审因素得分应以评标委员会各成员的打分平均值确定。</w:t>
      </w:r>
    </w:p>
    <w:p>
      <w:pPr>
        <w:ind w:firstLine="400" w:firstLineChars="200"/>
        <w:rPr>
          <w:rFonts w:ascii="宋体" w:hAnsi="宋体"/>
          <w:kern w:val="0"/>
          <w:sz w:val="20"/>
          <w:szCs w:val="20"/>
        </w:rPr>
      </w:pPr>
      <w:r>
        <w:rPr>
          <w:rFonts w:hint="eastAsia" w:ascii="宋体" w:hAnsi="宋体"/>
          <w:kern w:val="0"/>
          <w:sz w:val="20"/>
          <w:szCs w:val="20"/>
        </w:rPr>
        <w:t>2、技术建议书各评分因素细分项的细分项缺项则该项得0分。</w:t>
      </w:r>
    </w:p>
    <w:p>
      <w:pPr>
        <w:ind w:firstLine="400" w:firstLineChars="200"/>
        <w:rPr>
          <w:rFonts w:ascii="宋体" w:hAnsi="宋体"/>
          <w:szCs w:val="21"/>
        </w:rPr>
      </w:pPr>
      <w:r>
        <w:rPr>
          <w:rFonts w:hint="eastAsia" w:ascii="宋体" w:hAnsi="宋体"/>
          <w:kern w:val="0"/>
          <w:sz w:val="20"/>
          <w:szCs w:val="20"/>
        </w:rPr>
        <w:t>3、技术建议书评分时保留1位小数，评标价得分计算时保留两位小数。</w:t>
      </w:r>
    </w:p>
    <w:bookmarkEnd w:id="9"/>
    <w:p>
      <w:pPr>
        <w:pStyle w:val="2"/>
        <w:snapToGrid w:val="0"/>
        <w:spacing w:before="156" w:beforeLines="50" w:after="156" w:afterLines="50" w:line="240" w:lineRule="auto"/>
        <w:rPr>
          <w:rFonts w:ascii="宋体" w:hAnsi="宋体"/>
          <w:sz w:val="24"/>
        </w:rPr>
      </w:pPr>
      <w:r>
        <w:br w:type="page"/>
      </w:r>
      <w:bookmarkStart w:id="10" w:name="_Toc143068717"/>
      <w:r>
        <w:rPr>
          <w:rFonts w:hint="eastAsia" w:ascii="宋体" w:hAnsi="宋体"/>
          <w:sz w:val="24"/>
          <w:szCs w:val="24"/>
        </w:rPr>
        <w:t>附件3：子项目情况</w:t>
      </w:r>
      <w:bookmarkEnd w:id="10"/>
    </w:p>
    <w:p>
      <w:pPr>
        <w:snapToGrid w:val="0"/>
        <w:spacing w:line="420" w:lineRule="exact"/>
        <w:ind w:firstLine="482" w:firstLineChars="200"/>
        <w:outlineLvl w:val="1"/>
        <w:rPr>
          <w:rFonts w:ascii="宋体" w:hAnsi="宋体"/>
          <w:b/>
          <w:bCs/>
          <w:sz w:val="24"/>
        </w:rPr>
      </w:pPr>
      <w:bookmarkStart w:id="11" w:name="_Toc138793827"/>
      <w:bookmarkStart w:id="12" w:name="_Toc143068718"/>
      <w:r>
        <w:rPr>
          <w:rFonts w:hint="eastAsia" w:ascii="宋体" w:hAnsi="宋体"/>
          <w:b/>
          <w:bCs/>
          <w:sz w:val="24"/>
        </w:rPr>
        <w:t>子项目17：石安分公司新元、京港澳高速2023年路面病害处治工程（执行机构：河北高速公路集团有限公司石安分公司）</w:t>
      </w:r>
      <w:bookmarkEnd w:id="11"/>
      <w:bookmarkEnd w:id="12"/>
    </w:p>
    <w:p>
      <w:pPr>
        <w:snapToGrid w:val="0"/>
        <w:spacing w:line="420" w:lineRule="exact"/>
        <w:ind w:firstLine="480" w:firstLineChars="200"/>
        <w:outlineLvl w:val="1"/>
        <w:rPr>
          <w:rFonts w:ascii="宋体" w:hAnsi="宋体"/>
          <w:sz w:val="24"/>
        </w:rPr>
      </w:pPr>
      <w:bookmarkStart w:id="13" w:name="_Toc143068719"/>
      <w:bookmarkStart w:id="14" w:name="_Toc138793828"/>
      <w:r>
        <w:rPr>
          <w:rFonts w:hint="eastAsia" w:ascii="宋体" w:hAnsi="宋体"/>
          <w:sz w:val="24"/>
        </w:rPr>
        <w:t>（1）对新元高速K291+250-K315+085段双向路面采用4厘米就地热再生罩面层沥青混凝土，并对该段落K294+269等4座大中桥桥面铣刨重铺4厘米细粒式SBS改性沥青混凝土（AC-13C） 。</w:t>
      </w:r>
      <w:bookmarkEnd w:id="13"/>
      <w:bookmarkEnd w:id="14"/>
    </w:p>
    <w:p>
      <w:pPr>
        <w:snapToGrid w:val="0"/>
        <w:spacing w:line="420" w:lineRule="exact"/>
        <w:ind w:firstLine="480" w:firstLineChars="200"/>
        <w:outlineLvl w:val="1"/>
        <w:rPr>
          <w:rFonts w:ascii="宋体" w:hAnsi="宋体"/>
          <w:sz w:val="24"/>
        </w:rPr>
      </w:pPr>
      <w:bookmarkStart w:id="15" w:name="_Toc138793829"/>
      <w:bookmarkStart w:id="16" w:name="_Toc143068720"/>
      <w:r>
        <w:rPr>
          <w:rFonts w:hint="eastAsia" w:ascii="宋体" w:hAnsi="宋体"/>
          <w:sz w:val="24"/>
        </w:rPr>
        <w:t>（2）对京港澳高速K377+700等3处、高邑互通立交引道等5处被交道路面沉陷、车辙、唧浆等病害进行治理。</w:t>
      </w:r>
      <w:bookmarkEnd w:id="15"/>
      <w:bookmarkEnd w:id="16"/>
    </w:p>
    <w:p>
      <w:pPr>
        <w:snapToGrid w:val="0"/>
        <w:spacing w:line="420" w:lineRule="exact"/>
        <w:ind w:firstLine="480" w:firstLineChars="200"/>
        <w:outlineLvl w:val="1"/>
        <w:rPr>
          <w:rFonts w:ascii="宋体" w:hAnsi="宋体"/>
          <w:sz w:val="24"/>
        </w:rPr>
      </w:pPr>
      <w:bookmarkStart w:id="17" w:name="_Toc138793830"/>
      <w:bookmarkStart w:id="18" w:name="_Toc143068721"/>
      <w:r>
        <w:rPr>
          <w:rFonts w:hint="eastAsia" w:ascii="宋体" w:hAnsi="宋体"/>
          <w:sz w:val="24"/>
        </w:rPr>
        <w:t>（3）对京港澳高速杜村互通分离式立交桥、漳河特大桥桥面严重病害进行挖补处治，重新铺筑C50快硬防水混凝土及沥青混凝土。</w:t>
      </w:r>
      <w:bookmarkEnd w:id="17"/>
      <w:bookmarkEnd w:id="18"/>
    </w:p>
    <w:p>
      <w:pPr>
        <w:snapToGrid w:val="0"/>
        <w:spacing w:line="420" w:lineRule="exact"/>
        <w:ind w:firstLine="482" w:firstLineChars="200"/>
        <w:outlineLvl w:val="1"/>
        <w:rPr>
          <w:rFonts w:ascii="宋体" w:hAnsi="宋体"/>
          <w:b/>
          <w:bCs/>
          <w:sz w:val="24"/>
        </w:rPr>
      </w:pPr>
      <w:bookmarkStart w:id="19" w:name="_Toc138793839"/>
      <w:bookmarkStart w:id="20" w:name="_Toc143068722"/>
      <w:r>
        <w:rPr>
          <w:rFonts w:hint="eastAsia" w:ascii="宋体" w:hAnsi="宋体"/>
          <w:b/>
          <w:bCs/>
          <w:sz w:val="24"/>
        </w:rPr>
        <w:t>子项目18：黄石高速公路2023年路面病害治理工程（执行机构：河北高速公路集团有限公司石黄分公司）</w:t>
      </w:r>
      <w:bookmarkEnd w:id="19"/>
      <w:bookmarkEnd w:id="20"/>
    </w:p>
    <w:p>
      <w:pPr>
        <w:snapToGrid w:val="0"/>
        <w:spacing w:line="420" w:lineRule="exact"/>
        <w:ind w:firstLine="480" w:firstLineChars="200"/>
        <w:outlineLvl w:val="1"/>
        <w:rPr>
          <w:rFonts w:ascii="宋体" w:hAnsi="宋体"/>
          <w:sz w:val="24"/>
        </w:rPr>
      </w:pPr>
      <w:bookmarkStart w:id="21" w:name="_Toc138793840"/>
      <w:bookmarkStart w:id="22" w:name="_Toc143068723"/>
      <w:r>
        <w:rPr>
          <w:rFonts w:hint="eastAsia" w:ascii="宋体" w:hAnsi="宋体"/>
          <w:sz w:val="24"/>
        </w:rPr>
        <w:t>（1）对河城街、崔尔庄、沧州西、黄骅南、黄骅东和津汕互通6处互通匝道存在路面病害的路段，铣刨重铺4厘米细粒式SBS改性沥青混凝土（AC-13C），下承层存在病害的，一并进行处理。处治面积135485平方米。</w:t>
      </w:r>
      <w:bookmarkEnd w:id="21"/>
      <w:bookmarkEnd w:id="22"/>
    </w:p>
    <w:p>
      <w:pPr>
        <w:snapToGrid w:val="0"/>
        <w:spacing w:line="420" w:lineRule="exact"/>
        <w:ind w:firstLine="480" w:firstLineChars="200"/>
        <w:outlineLvl w:val="1"/>
        <w:rPr>
          <w:rFonts w:ascii="宋体" w:hAnsi="宋体"/>
          <w:sz w:val="24"/>
        </w:rPr>
      </w:pPr>
      <w:bookmarkStart w:id="23" w:name="_Toc138793841"/>
      <w:bookmarkStart w:id="24" w:name="_Toc143068724"/>
      <w:r>
        <w:rPr>
          <w:rFonts w:hint="eastAsia" w:ascii="宋体" w:hAnsi="宋体"/>
          <w:sz w:val="24"/>
        </w:rPr>
        <w:t>（2）对K61+801南排河大桥双向桥面严重病害处治后，加铺1厘米微罩面。对K244+873主线桥等4座桥梁铣刨、凿除原桥面铺装层，重新铺筑高性能微膨胀钢筋混凝土+1厘米微罩面。处治面积26501平方米。</w:t>
      </w:r>
      <w:bookmarkEnd w:id="23"/>
      <w:bookmarkEnd w:id="24"/>
    </w:p>
    <w:p>
      <w:pPr>
        <w:snapToGrid w:val="0"/>
        <w:spacing w:line="420" w:lineRule="exact"/>
        <w:ind w:firstLine="482" w:firstLineChars="200"/>
        <w:outlineLvl w:val="1"/>
        <w:rPr>
          <w:rFonts w:ascii="宋体" w:hAnsi="宋体"/>
          <w:b/>
          <w:bCs/>
          <w:sz w:val="24"/>
        </w:rPr>
      </w:pPr>
      <w:bookmarkStart w:id="25" w:name="_Toc138793842"/>
      <w:bookmarkStart w:id="26" w:name="_Toc143068725"/>
      <w:r>
        <w:rPr>
          <w:rFonts w:hint="eastAsia" w:ascii="宋体" w:hAnsi="宋体"/>
          <w:b/>
          <w:bCs/>
          <w:sz w:val="24"/>
        </w:rPr>
        <w:t>子项目19：黄石高速公路2023年上跨桥桥面和引道病害治理工程（执行机构：河北高速公路集团有限公司石黄分公司）</w:t>
      </w:r>
      <w:bookmarkEnd w:id="25"/>
      <w:bookmarkEnd w:id="26"/>
    </w:p>
    <w:p>
      <w:pPr>
        <w:snapToGrid w:val="0"/>
        <w:spacing w:line="420" w:lineRule="exact"/>
        <w:ind w:firstLine="480" w:firstLineChars="200"/>
        <w:outlineLvl w:val="1"/>
        <w:rPr>
          <w:rFonts w:ascii="宋体" w:hAnsi="宋体"/>
          <w:sz w:val="24"/>
        </w:rPr>
      </w:pPr>
      <w:bookmarkStart w:id="27" w:name="_Toc138793843"/>
      <w:bookmarkStart w:id="28" w:name="_Toc143068726"/>
      <w:r>
        <w:rPr>
          <w:rFonts w:hint="eastAsia" w:ascii="宋体" w:hAnsi="宋体"/>
          <w:sz w:val="24"/>
        </w:rPr>
        <w:t>（1）对K17+976等5座上跨桥桥面铣刨重铺4厘米细粒式改性沥青混凝土（AC-13C），并对防水混凝土存在损坏的位置进行修补，处治面积16924平方米，同时更换损坏的TST伸缩缝，长度共计298米。</w:t>
      </w:r>
      <w:bookmarkEnd w:id="27"/>
      <w:bookmarkEnd w:id="28"/>
    </w:p>
    <w:p>
      <w:pPr>
        <w:snapToGrid w:val="0"/>
        <w:spacing w:line="420" w:lineRule="exact"/>
        <w:ind w:firstLine="480" w:firstLineChars="200"/>
        <w:outlineLvl w:val="1"/>
        <w:rPr>
          <w:rFonts w:ascii="宋体" w:hAnsi="宋体"/>
          <w:sz w:val="24"/>
        </w:rPr>
      </w:pPr>
      <w:bookmarkStart w:id="29" w:name="_Toc138793844"/>
      <w:bookmarkStart w:id="30" w:name="_Toc143068727"/>
      <w:r>
        <w:rPr>
          <w:rFonts w:hint="eastAsia" w:ascii="宋体" w:hAnsi="宋体"/>
          <w:sz w:val="24"/>
        </w:rPr>
        <w:t>（2）将K17+976两侧引道改造为水泥混凝土路面，面积3380平方米；K208+523两侧引道、K209+600北侧引道、K210+711北侧引道铣刨重铺5厘米细粒式改性沥青混凝土（AC-13C），下承层存在病害的挖补处治，面积5766平方米；K209+600南侧引道、K210+711南侧引道局部挖补后，加铺4厘米细粒式改性沥青混凝土（AC-13C），面积共计5395平方米。</w:t>
      </w:r>
      <w:bookmarkEnd w:id="29"/>
      <w:bookmarkEnd w:id="30"/>
    </w:p>
    <w:p>
      <w:pPr>
        <w:snapToGrid w:val="0"/>
        <w:spacing w:line="420" w:lineRule="exact"/>
        <w:ind w:firstLine="482" w:firstLineChars="200"/>
        <w:outlineLvl w:val="1"/>
        <w:rPr>
          <w:rFonts w:ascii="宋体" w:hAnsi="宋体"/>
          <w:b/>
          <w:bCs/>
          <w:sz w:val="24"/>
        </w:rPr>
      </w:pPr>
      <w:bookmarkStart w:id="31" w:name="_Toc138793845"/>
      <w:bookmarkStart w:id="32" w:name="_Toc143068728"/>
      <w:r>
        <w:rPr>
          <w:rFonts w:hint="eastAsia" w:ascii="宋体" w:hAnsi="宋体"/>
          <w:b/>
          <w:bCs/>
          <w:sz w:val="24"/>
        </w:rPr>
        <w:t>子项目20：京沪分公司2023年冀津界至黄石高速部分路段路面病害治理工程（执行机构：河北高速公路集团有限公司京沪分公司）</w:t>
      </w:r>
      <w:bookmarkEnd w:id="31"/>
      <w:bookmarkEnd w:id="32"/>
    </w:p>
    <w:p>
      <w:pPr>
        <w:snapToGrid w:val="0"/>
        <w:spacing w:line="420" w:lineRule="exact"/>
        <w:ind w:firstLine="480" w:firstLineChars="200"/>
        <w:outlineLvl w:val="1"/>
        <w:rPr>
          <w:rFonts w:ascii="宋体" w:hAnsi="宋体"/>
          <w:sz w:val="24"/>
        </w:rPr>
      </w:pPr>
      <w:bookmarkStart w:id="33" w:name="_Toc143068729"/>
      <w:bookmarkStart w:id="34" w:name="_Toc138793846"/>
      <w:r>
        <w:rPr>
          <w:rFonts w:hint="eastAsia" w:ascii="宋体" w:hAnsi="宋体"/>
          <w:sz w:val="24"/>
        </w:rPr>
        <w:t>上下行方向G2：K150+000-K182+362  G3：K167+372-K185+010路段内对病害严重路段路面铣刨重铺4厘米AC-13CSBS改性沥青混凝土，下面层存在病害的一并进行处理，处治面积188491.4平方米。</w:t>
      </w:r>
      <w:bookmarkEnd w:id="33"/>
      <w:bookmarkEnd w:id="34"/>
    </w:p>
    <w:p>
      <w:pPr>
        <w:snapToGrid w:val="0"/>
        <w:spacing w:line="420" w:lineRule="exact"/>
        <w:ind w:firstLine="482" w:firstLineChars="200"/>
        <w:outlineLvl w:val="1"/>
        <w:rPr>
          <w:rFonts w:ascii="宋体" w:hAnsi="宋体"/>
          <w:b/>
          <w:bCs/>
          <w:sz w:val="24"/>
        </w:rPr>
      </w:pPr>
      <w:bookmarkStart w:id="35" w:name="_Toc138793849"/>
      <w:bookmarkStart w:id="36" w:name="_Toc143068730"/>
      <w:r>
        <w:rPr>
          <w:rFonts w:hint="eastAsia" w:ascii="宋体" w:hAnsi="宋体"/>
          <w:b/>
          <w:bCs/>
          <w:sz w:val="24"/>
        </w:rPr>
        <w:t>子项目21：京沪分公司2023年青县城区路段增设声屏障工程（执行机构：河北高速公路集团有限公司京沪分公司）</w:t>
      </w:r>
      <w:bookmarkEnd w:id="35"/>
      <w:bookmarkEnd w:id="36"/>
    </w:p>
    <w:p>
      <w:pPr>
        <w:snapToGrid w:val="0"/>
        <w:spacing w:line="420" w:lineRule="exact"/>
        <w:ind w:firstLine="480" w:firstLineChars="200"/>
        <w:outlineLvl w:val="1"/>
        <w:rPr>
          <w:rFonts w:ascii="宋体" w:hAnsi="宋体"/>
          <w:sz w:val="24"/>
        </w:rPr>
      </w:pPr>
      <w:bookmarkStart w:id="37" w:name="_Toc138793850"/>
      <w:bookmarkStart w:id="38" w:name="_Toc143068731"/>
      <w:r>
        <w:rPr>
          <w:rFonts w:hint="eastAsia" w:ascii="宋体" w:hAnsi="宋体"/>
          <w:sz w:val="24"/>
        </w:rPr>
        <w:t>对上行方向K163+256-K164+467段增设金属板声屏障，总长度为1203米。声屏障设置高度为路面以上3米，上部采用百叶窗式吸声板，下部采用隔离板，吸隔声板厚度为90毫米，采用H型钢立柱，基础采用C30现浇钢筋混凝土。</w:t>
      </w:r>
      <w:bookmarkEnd w:id="37"/>
      <w:bookmarkEnd w:id="38"/>
    </w:p>
    <w:p>
      <w:pPr>
        <w:snapToGrid w:val="0"/>
        <w:spacing w:line="420" w:lineRule="exact"/>
        <w:ind w:firstLine="482" w:firstLineChars="200"/>
        <w:outlineLvl w:val="1"/>
        <w:rPr>
          <w:rFonts w:ascii="宋体" w:hAnsi="宋体"/>
          <w:b/>
          <w:bCs/>
          <w:sz w:val="24"/>
        </w:rPr>
      </w:pPr>
      <w:bookmarkStart w:id="39" w:name="_Toc138793858"/>
      <w:bookmarkStart w:id="40" w:name="_Toc143068732"/>
      <w:r>
        <w:rPr>
          <w:rFonts w:hint="eastAsia" w:ascii="宋体" w:hAnsi="宋体"/>
          <w:b/>
          <w:bCs/>
          <w:sz w:val="24"/>
        </w:rPr>
        <w:t>子项目22：青银高速公路2023年路面病害治理工程（执行机构：河北高速公路集团有限公司青银分公司）</w:t>
      </w:r>
      <w:bookmarkEnd w:id="39"/>
      <w:bookmarkEnd w:id="40"/>
    </w:p>
    <w:p>
      <w:pPr>
        <w:snapToGrid w:val="0"/>
        <w:spacing w:line="420" w:lineRule="exact"/>
        <w:ind w:firstLine="480" w:firstLineChars="200"/>
        <w:outlineLvl w:val="1"/>
        <w:rPr>
          <w:rFonts w:ascii="宋体" w:hAnsi="宋体"/>
          <w:sz w:val="24"/>
        </w:rPr>
      </w:pPr>
      <w:bookmarkStart w:id="41" w:name="_Toc138793859"/>
      <w:bookmarkStart w:id="42" w:name="_Toc143068733"/>
      <w:r>
        <w:rPr>
          <w:rFonts w:hint="eastAsia" w:ascii="宋体" w:hAnsi="宋体"/>
          <w:sz w:val="24"/>
        </w:rPr>
        <w:t>对存在破损、沉陷病害的路面进行挖补处治，共计 118841.5平方米。（1）对 2.5 厘米罩面层存在破损、沉陷病害的路段，铣刨重铺 3 厘米细粒式 SBS 改性沥青混凝土（AC-13C），下承层存在病害的，一并进行处理。处治面积 6912 平方米。（2）对 4 厘米罩面层存在破损、沉陷病害的路段，铣刨重铺4 厘米细粒式 SBS 改性沥青混凝土（AC-13C）,下承层存在病害的，一并进行处理。处治面积 111929.5 平方米。</w:t>
      </w:r>
      <w:bookmarkEnd w:id="41"/>
      <w:bookmarkEnd w:id="42"/>
    </w:p>
    <w:p>
      <w:pPr>
        <w:snapToGrid w:val="0"/>
        <w:spacing w:line="420" w:lineRule="exact"/>
        <w:ind w:firstLine="482" w:firstLineChars="200"/>
        <w:outlineLvl w:val="1"/>
        <w:rPr>
          <w:rFonts w:ascii="宋体" w:hAnsi="宋体"/>
          <w:b/>
          <w:bCs/>
          <w:sz w:val="24"/>
        </w:rPr>
      </w:pPr>
      <w:bookmarkStart w:id="43" w:name="_Toc138793860"/>
      <w:bookmarkStart w:id="44" w:name="_Toc143068734"/>
      <w:r>
        <w:rPr>
          <w:rFonts w:hint="eastAsia" w:ascii="宋体" w:hAnsi="宋体"/>
          <w:b/>
          <w:bCs/>
          <w:sz w:val="24"/>
        </w:rPr>
        <w:t>子项目23：青银高速公路2023年铜冶互通挡墙加固工程（执行机构：河北高速公路集团有限公司青银分公司）</w:t>
      </w:r>
      <w:bookmarkEnd w:id="43"/>
      <w:bookmarkEnd w:id="44"/>
    </w:p>
    <w:p>
      <w:pPr>
        <w:snapToGrid w:val="0"/>
        <w:spacing w:line="420" w:lineRule="exact"/>
        <w:ind w:firstLine="480" w:firstLineChars="200"/>
        <w:outlineLvl w:val="1"/>
        <w:rPr>
          <w:rFonts w:ascii="宋体"/>
          <w:sz w:val="24"/>
        </w:rPr>
      </w:pPr>
      <w:bookmarkStart w:id="45" w:name="_Toc143068735"/>
      <w:bookmarkStart w:id="46" w:name="_Toc138793861"/>
      <w:r>
        <w:rPr>
          <w:rFonts w:hint="eastAsia" w:ascii="宋体"/>
          <w:sz w:val="24"/>
        </w:rPr>
        <w:t>对AK0+000-AK0+122.758、DK0+170-DK0+280、GK0+267-GK0+286.6 的 加 筋 挡 土 墙 及K0+983-AK1+072 、 CK0+374-CK0+449挡墙，采用锚杆框架梁进行加固，共计加固挡墙444米。框架竖向采用28b型槽钢，横向采用20a型槽钢，框架纵横向间距均为2米。采用直径25锚杆进行锚固。</w:t>
      </w:r>
      <w:bookmarkEnd w:id="45"/>
      <w:bookmarkEnd w:id="46"/>
    </w:p>
    <w:p>
      <w:pPr>
        <w:snapToGrid w:val="0"/>
        <w:spacing w:line="420" w:lineRule="exact"/>
        <w:ind w:firstLine="482" w:firstLineChars="200"/>
        <w:outlineLvl w:val="1"/>
        <w:rPr>
          <w:rFonts w:ascii="宋体" w:hAnsi="宋体"/>
          <w:b/>
          <w:bCs/>
          <w:sz w:val="24"/>
        </w:rPr>
      </w:pPr>
      <w:bookmarkStart w:id="47" w:name="_Toc138793862"/>
      <w:bookmarkStart w:id="48" w:name="_Toc143068736"/>
      <w:r>
        <w:rPr>
          <w:rFonts w:hint="eastAsia" w:ascii="宋体" w:hAnsi="宋体"/>
          <w:b/>
          <w:bCs/>
          <w:sz w:val="24"/>
        </w:rPr>
        <w:t>子项目24：邢衡高速公路邢台段2023年增设桥头踏步工程（执行机构：河北高速公路集团有限公司邢衡邢台分公司）</w:t>
      </w:r>
      <w:bookmarkEnd w:id="47"/>
      <w:bookmarkEnd w:id="48"/>
    </w:p>
    <w:p>
      <w:pPr>
        <w:snapToGrid w:val="0"/>
        <w:spacing w:line="420" w:lineRule="exact"/>
        <w:ind w:firstLine="480" w:firstLineChars="200"/>
        <w:outlineLvl w:val="1"/>
        <w:rPr>
          <w:rFonts w:ascii="宋体" w:hAnsi="宋体"/>
          <w:sz w:val="24"/>
        </w:rPr>
      </w:pPr>
      <w:bookmarkStart w:id="49" w:name="_Toc138793863"/>
      <w:bookmarkStart w:id="50" w:name="_Toc143068737"/>
      <w:r>
        <w:rPr>
          <w:rFonts w:hint="eastAsia" w:ascii="宋体" w:hAnsi="宋体"/>
          <w:sz w:val="24"/>
        </w:rPr>
        <w:t>对K84+514、K101+161、K105+084小桥等257座桥涵增设桥头踏步，共计增设396道。</w:t>
      </w:r>
      <w:bookmarkEnd w:id="49"/>
      <w:bookmarkEnd w:id="50"/>
    </w:p>
    <w:p>
      <w:pPr>
        <w:snapToGrid w:val="0"/>
        <w:spacing w:line="420" w:lineRule="exact"/>
        <w:ind w:firstLine="482" w:firstLineChars="200"/>
        <w:outlineLvl w:val="1"/>
        <w:rPr>
          <w:rFonts w:ascii="宋体" w:hAnsi="宋体"/>
          <w:b/>
          <w:bCs/>
          <w:sz w:val="24"/>
        </w:rPr>
      </w:pPr>
      <w:bookmarkStart w:id="51" w:name="_Toc138793864"/>
      <w:bookmarkStart w:id="52" w:name="_Toc143068738"/>
      <w:r>
        <w:rPr>
          <w:rFonts w:hint="eastAsia" w:ascii="宋体" w:hAnsi="宋体"/>
          <w:b/>
          <w:bCs/>
          <w:sz w:val="24"/>
        </w:rPr>
        <w:t>子项目25：邢衡高速公路邢台段 2023 年增设桥梁防护门架工程（执行机构：河北高速公路集团有限公司邢衡邢台分公司）</w:t>
      </w:r>
      <w:bookmarkEnd w:id="51"/>
      <w:bookmarkEnd w:id="52"/>
    </w:p>
    <w:p>
      <w:pPr>
        <w:snapToGrid w:val="0"/>
        <w:spacing w:line="420" w:lineRule="exact"/>
        <w:ind w:firstLine="480" w:firstLineChars="200"/>
        <w:outlineLvl w:val="1"/>
        <w:rPr>
          <w:rFonts w:ascii="宋体" w:hAnsi="宋体"/>
          <w:sz w:val="24"/>
        </w:rPr>
      </w:pPr>
      <w:bookmarkStart w:id="53" w:name="_Toc143068739"/>
      <w:bookmarkStart w:id="54" w:name="_Toc138793865"/>
      <w:r>
        <w:rPr>
          <w:rFonts w:hint="eastAsia" w:ascii="宋体" w:hAnsi="宋体"/>
          <w:sz w:val="24"/>
        </w:rPr>
        <w:t>对K20+100白马河特大桥、K41+549沙营2号大桥等16座桥涵增设桥梁防护门架，共计增设31座，其中单根横梁式桥梁防护门架23座，桁架式桥梁防护门架8座。</w:t>
      </w:r>
      <w:bookmarkEnd w:id="53"/>
      <w:bookmarkEnd w:id="54"/>
    </w:p>
    <w:p>
      <w:pPr>
        <w:snapToGrid w:val="0"/>
        <w:spacing w:line="420" w:lineRule="exact"/>
        <w:ind w:firstLine="482" w:firstLineChars="200"/>
        <w:outlineLvl w:val="1"/>
        <w:rPr>
          <w:rFonts w:ascii="宋体" w:hAnsi="宋体"/>
          <w:b/>
          <w:bCs/>
          <w:sz w:val="24"/>
        </w:rPr>
      </w:pPr>
      <w:bookmarkStart w:id="55" w:name="_Toc143068740"/>
      <w:bookmarkStart w:id="56" w:name="_Toc138793866"/>
      <w:r>
        <w:rPr>
          <w:rFonts w:hint="eastAsia" w:ascii="宋体" w:hAnsi="宋体"/>
          <w:b/>
          <w:bCs/>
          <w:sz w:val="24"/>
        </w:rPr>
        <w:t>子项目26：邢衡高速公路衡水段2023年路面病害治理工程（执行机构：河北高速公路集团有限公司邢衡衡水分公司）</w:t>
      </w:r>
      <w:bookmarkEnd w:id="55"/>
      <w:bookmarkEnd w:id="56"/>
    </w:p>
    <w:p>
      <w:pPr>
        <w:snapToGrid w:val="0"/>
        <w:spacing w:line="420" w:lineRule="exact"/>
        <w:ind w:firstLine="480" w:firstLineChars="200"/>
        <w:outlineLvl w:val="1"/>
        <w:rPr>
          <w:rFonts w:ascii="宋体" w:hAnsi="宋体"/>
          <w:sz w:val="24"/>
        </w:rPr>
      </w:pPr>
      <w:bookmarkStart w:id="57" w:name="_Toc138793867"/>
      <w:bookmarkStart w:id="58" w:name="_Toc143068741"/>
      <w:r>
        <w:rPr>
          <w:rFonts w:hint="eastAsia" w:ascii="宋体" w:hAnsi="宋体"/>
          <w:sz w:val="24"/>
        </w:rPr>
        <w:t>对 K132+031 东王村中桥邢台方向邢台台等 42 处桥头跳车病害进行处治。根据沉降量及沉降范围不同，铣刨20-80米范围内原路面。重新铺筑AC-13C型SBS改性沥青混凝土找平后，铺筑4厘米AC-13C型SBS改性沥青混凝土表面层，表面层下设SBS改性沥青防水层，处治面积共计28736平方米，恢复路面标线1411平方米。</w:t>
      </w:r>
      <w:bookmarkEnd w:id="57"/>
      <w:bookmarkEnd w:id="58"/>
    </w:p>
    <w:p>
      <w:pPr>
        <w:snapToGrid w:val="0"/>
        <w:spacing w:line="420" w:lineRule="exact"/>
        <w:ind w:firstLine="480" w:firstLineChars="200"/>
        <w:outlineLvl w:val="1"/>
        <w:rPr>
          <w:rFonts w:ascii="宋体" w:hAnsi="宋体"/>
          <w:sz w:val="24"/>
        </w:rPr>
      </w:pPr>
      <w:bookmarkStart w:id="59" w:name="_Toc143068742"/>
      <w:bookmarkStart w:id="60" w:name="_Toc138793868"/>
      <w:r>
        <w:rPr>
          <w:rFonts w:hint="eastAsia" w:ascii="宋体" w:hAnsi="宋体"/>
          <w:sz w:val="24"/>
        </w:rPr>
        <w:t>对衡水方向K124+030-K124+115等4个路段路面积水病害，采用加铺AC-13C型SBS改性沥青混凝土的方式进行治理，铺筑前洒布改性沥青粘结防水层，治理面积共计5670平方米。治理完成后恢复路面标线。</w:t>
      </w:r>
      <w:bookmarkEnd w:id="59"/>
      <w:bookmarkEnd w:id="60"/>
    </w:p>
    <w:p>
      <w:pPr>
        <w:snapToGrid w:val="0"/>
        <w:spacing w:line="420" w:lineRule="exact"/>
        <w:ind w:firstLine="482" w:firstLineChars="200"/>
        <w:outlineLvl w:val="1"/>
        <w:rPr>
          <w:rFonts w:ascii="宋体" w:hAnsi="宋体"/>
          <w:b/>
          <w:bCs/>
          <w:sz w:val="24"/>
        </w:rPr>
      </w:pPr>
      <w:bookmarkStart w:id="61" w:name="_Toc143068743"/>
      <w:bookmarkStart w:id="62" w:name="_Toc138793869"/>
      <w:r>
        <w:rPr>
          <w:rFonts w:hint="eastAsia" w:ascii="宋体" w:hAnsi="宋体"/>
          <w:b/>
          <w:bCs/>
          <w:sz w:val="24"/>
        </w:rPr>
        <w:t>子项目27：邢衡高速公路衡水段2023年防排水完善工程（执行机构：河北高速公路集团有限公司邢衡衡水分公司）</w:t>
      </w:r>
      <w:bookmarkEnd w:id="61"/>
      <w:bookmarkEnd w:id="62"/>
    </w:p>
    <w:p>
      <w:pPr>
        <w:snapToGrid w:val="0"/>
        <w:spacing w:line="420" w:lineRule="exact"/>
        <w:ind w:firstLine="480" w:firstLineChars="200"/>
        <w:outlineLvl w:val="1"/>
        <w:rPr>
          <w:rFonts w:ascii="宋体" w:hAnsi="宋体"/>
          <w:sz w:val="24"/>
        </w:rPr>
      </w:pPr>
      <w:bookmarkStart w:id="63" w:name="_Toc143068744"/>
      <w:bookmarkStart w:id="64" w:name="_Toc138793870"/>
      <w:r>
        <w:rPr>
          <w:rFonts w:hint="eastAsia" w:ascii="宋体" w:hAnsi="宋体"/>
          <w:sz w:val="24"/>
        </w:rPr>
        <w:t>在下行 K157+881-K158+121 路段隔离栅位置增设C30混凝土挡水墙，挡水墙顶宽0.3米，底宽0.7米，墙高1.5米，基础0.9米宽、0.5米高，增设挡水墙长度为240米，并恢复隔离栅。</w:t>
      </w:r>
      <w:bookmarkEnd w:id="63"/>
      <w:bookmarkEnd w:id="64"/>
    </w:p>
    <w:p>
      <w:pPr>
        <w:snapToGrid w:val="0"/>
        <w:spacing w:line="420" w:lineRule="exact"/>
        <w:ind w:firstLine="480" w:firstLineChars="200"/>
        <w:outlineLvl w:val="1"/>
        <w:rPr>
          <w:rFonts w:ascii="宋体" w:hAnsi="宋体"/>
          <w:sz w:val="24"/>
        </w:rPr>
      </w:pPr>
      <w:bookmarkStart w:id="65" w:name="_Toc143068745"/>
      <w:bookmarkStart w:id="66" w:name="_Toc138793871"/>
      <w:r>
        <w:rPr>
          <w:rFonts w:hint="eastAsia" w:ascii="宋体" w:hAnsi="宋体"/>
          <w:sz w:val="24"/>
        </w:rPr>
        <w:t>在K122+781 位置蒸发池进行引渠改造，拆除顶部30厘米厚原有防护，浇筑混凝土支撑梁，每间隔5米布置一处，在排水沟挡墙位置增设HDPE排水管。</w:t>
      </w:r>
      <w:bookmarkEnd w:id="65"/>
      <w:bookmarkEnd w:id="66"/>
    </w:p>
    <w:p>
      <w:pPr>
        <w:snapToGrid w:val="0"/>
        <w:spacing w:line="420" w:lineRule="exact"/>
        <w:ind w:firstLine="482" w:firstLineChars="200"/>
        <w:outlineLvl w:val="1"/>
        <w:rPr>
          <w:rFonts w:ascii="宋体" w:hAnsi="宋体"/>
          <w:b/>
          <w:bCs/>
          <w:sz w:val="24"/>
        </w:rPr>
      </w:pPr>
      <w:bookmarkStart w:id="67" w:name="_Toc138793872"/>
      <w:bookmarkStart w:id="68" w:name="_Toc143068746"/>
      <w:r>
        <w:rPr>
          <w:rFonts w:hint="eastAsia" w:ascii="宋体" w:hAnsi="宋体"/>
          <w:b/>
          <w:bCs/>
          <w:sz w:val="24"/>
        </w:rPr>
        <w:t>子项目28：邢汾高速公路2023年交安设施完善工程（执行机构：河北高速公路集团有限公司邢汾分公司）</w:t>
      </w:r>
      <w:bookmarkEnd w:id="67"/>
      <w:bookmarkEnd w:id="68"/>
    </w:p>
    <w:p>
      <w:pPr>
        <w:snapToGrid w:val="0"/>
        <w:spacing w:line="420" w:lineRule="exact"/>
        <w:ind w:firstLine="480" w:firstLineChars="200"/>
        <w:outlineLvl w:val="1"/>
        <w:rPr>
          <w:rFonts w:ascii="宋体" w:hAnsi="宋体"/>
          <w:sz w:val="24"/>
        </w:rPr>
      </w:pPr>
      <w:bookmarkStart w:id="69" w:name="_Toc143068747"/>
      <w:bookmarkStart w:id="70" w:name="_Toc138793873"/>
      <w:r>
        <w:rPr>
          <w:rFonts w:hint="eastAsia" w:ascii="宋体" w:hAnsi="宋体"/>
          <w:sz w:val="24"/>
        </w:rPr>
        <w:t>（1）增设声屏障工程。对 ZK472+963(YK473+003）赵家沟大桥上行右侧及下行左侧护栏顶面设置声屏障，声屏障采用金属百叶窗，屏高2米，间距2.5米，共计452.5米。</w:t>
      </w:r>
      <w:bookmarkEnd w:id="69"/>
      <w:bookmarkEnd w:id="70"/>
      <w:r>
        <w:rPr>
          <w:rFonts w:hint="eastAsia" w:ascii="宋体" w:hAnsi="宋体"/>
          <w:sz w:val="24"/>
        </w:rPr>
        <w:t xml:space="preserve"> </w:t>
      </w:r>
    </w:p>
    <w:p>
      <w:pPr>
        <w:snapToGrid w:val="0"/>
        <w:spacing w:line="420" w:lineRule="exact"/>
        <w:ind w:firstLine="480" w:firstLineChars="200"/>
        <w:outlineLvl w:val="1"/>
        <w:rPr>
          <w:rFonts w:ascii="宋体" w:hAnsi="宋体"/>
          <w:sz w:val="24"/>
        </w:rPr>
      </w:pPr>
      <w:bookmarkStart w:id="71" w:name="_Toc143068748"/>
      <w:bookmarkStart w:id="72" w:name="_Toc138793874"/>
      <w:r>
        <w:rPr>
          <w:rFonts w:hint="eastAsia" w:ascii="宋体" w:hAnsi="宋体"/>
          <w:sz w:val="24"/>
        </w:rPr>
        <w:t>（2）增设防落物网工程。对 K413+308 皇褡路分离立交桥等52座桥梁增设钢板网防落物网，防落物网设置于护栏顶面，网片高1.1米，间距2米，共增设防落物网1996米。</w:t>
      </w:r>
      <w:bookmarkEnd w:id="71"/>
      <w:bookmarkEnd w:id="72"/>
    </w:p>
    <w:p>
      <w:pPr>
        <w:snapToGrid w:val="0"/>
        <w:spacing w:line="420" w:lineRule="exact"/>
        <w:ind w:firstLine="482" w:firstLineChars="200"/>
        <w:outlineLvl w:val="1"/>
        <w:rPr>
          <w:rFonts w:ascii="宋体" w:hAnsi="宋体"/>
          <w:b/>
          <w:bCs/>
          <w:sz w:val="24"/>
        </w:rPr>
      </w:pPr>
      <w:bookmarkStart w:id="73" w:name="_Toc138793875"/>
      <w:bookmarkStart w:id="74" w:name="_Toc143068749"/>
      <w:r>
        <w:rPr>
          <w:rFonts w:hint="eastAsia" w:ascii="宋体" w:hAnsi="宋体"/>
          <w:b/>
          <w:bCs/>
          <w:sz w:val="24"/>
        </w:rPr>
        <w:t>子项目29：邢汾高速公路2023年桥梁设施完善和病害处治工程（执行机构：河北高速公路集团有限公司邢汾分公司）</w:t>
      </w:r>
      <w:bookmarkEnd w:id="73"/>
      <w:bookmarkEnd w:id="74"/>
    </w:p>
    <w:p>
      <w:pPr>
        <w:snapToGrid w:val="0"/>
        <w:spacing w:line="420" w:lineRule="exact"/>
        <w:ind w:firstLine="480" w:firstLineChars="200"/>
        <w:outlineLvl w:val="1"/>
        <w:rPr>
          <w:rFonts w:ascii="宋体"/>
          <w:sz w:val="24"/>
        </w:rPr>
      </w:pPr>
      <w:bookmarkStart w:id="75" w:name="_Toc143068750"/>
      <w:bookmarkStart w:id="76" w:name="_Toc138793876"/>
      <w:r>
        <w:rPr>
          <w:rFonts w:hint="eastAsia" w:ascii="宋体"/>
          <w:sz w:val="24"/>
        </w:rPr>
        <w:t>（1）桥台搭板脱空处治。对K430+050邢峰线分离立交桥上行方向邢台侧和汾阳侧桥台、K434+459框架桥上行邢台侧、汾阳侧桥台，K439+834东太子井大桥下行汾阳侧桥台、ZK465+884白涯1号大桥下行汾阳侧桥台、ZK472+936赵家沟大桥下行汾阳侧桥台、ZK486+346.12小南坪大桥下行汾阳侧桥台等6座桥梁桥台搭板采用注浆处理，再对桥头至搭板后10米范围内路面进行顺坡处理，先铣刨路面面层后，撒布SBS沥青粘结层，最后铺设改性沥青混凝土。搭板注浆36立方米，路面顺坡处理2063平方米。</w:t>
      </w:r>
      <w:bookmarkEnd w:id="75"/>
      <w:bookmarkEnd w:id="76"/>
      <w:r>
        <w:rPr>
          <w:rFonts w:hint="eastAsia" w:ascii="宋体"/>
          <w:sz w:val="24"/>
        </w:rPr>
        <w:t xml:space="preserve"> </w:t>
      </w:r>
    </w:p>
    <w:p>
      <w:pPr>
        <w:snapToGrid w:val="0"/>
        <w:spacing w:line="420" w:lineRule="exact"/>
        <w:ind w:firstLine="480" w:firstLineChars="200"/>
        <w:outlineLvl w:val="1"/>
        <w:rPr>
          <w:rFonts w:ascii="宋体"/>
          <w:sz w:val="24"/>
        </w:rPr>
      </w:pPr>
      <w:bookmarkStart w:id="77" w:name="_Toc143068751"/>
      <w:bookmarkStart w:id="78" w:name="_Toc138793877"/>
      <w:r>
        <w:rPr>
          <w:rFonts w:hint="eastAsia" w:ascii="宋体"/>
          <w:sz w:val="24"/>
        </w:rPr>
        <w:t>（2）伸缩装置更换。对 K409+175留村枢纽 1 号跨线桥上行第2 道，K423+556.555沙河特大桥下行第33、35、39道，K436+926太子井互通主线大桥上行第 3 道及下行第3道，K456+991 庞会大桥上行第 2 道，K447+602 滹沱4号大桥上行第 2 道，K442+262西太子井2#大桥上行第2道、K458+351 宋家庄川大桥下行第3道、K438+562南岗西大桥上行第2道及下行第2道，K442+929西太子井 3#大桥下行第2道，共计 13 道存在型钢断裂、严重变形的伸缩装置进行更换，凿除现有伸缩缝安装混凝土，拆除原伸缩装置，全部更换为 160型异型钢伸缩装置，伸缩缝更换总长度为 176.39 米。对K410+511.63 留村枢纽2号跨线桥上行第2、3道及下行 第2道，共计3道存在锚栓断裂的梳齿板伸缩装置进行局部更换，凿除现有伸缩缝安装混凝土，拆除原伸缩装置，更换160型单元式多向变位梳形板伸缩装置9米，240型单元式多向变位梳形板伸缩装置 18 米。</w:t>
      </w:r>
      <w:bookmarkEnd w:id="77"/>
      <w:bookmarkEnd w:id="78"/>
      <w:r>
        <w:rPr>
          <w:rFonts w:hint="eastAsia" w:ascii="宋体"/>
          <w:sz w:val="24"/>
        </w:rPr>
        <w:t xml:space="preserve"> </w:t>
      </w:r>
    </w:p>
    <w:p>
      <w:pPr>
        <w:snapToGrid w:val="0"/>
        <w:spacing w:line="420" w:lineRule="exact"/>
        <w:ind w:firstLine="480" w:firstLineChars="200"/>
        <w:outlineLvl w:val="1"/>
        <w:rPr>
          <w:rFonts w:ascii="宋体"/>
          <w:sz w:val="24"/>
        </w:rPr>
      </w:pPr>
      <w:bookmarkStart w:id="79" w:name="_Toc138793878"/>
      <w:bookmarkStart w:id="80" w:name="_Toc143068752"/>
      <w:r>
        <w:rPr>
          <w:rFonts w:hint="eastAsia" w:ascii="宋体"/>
          <w:sz w:val="24"/>
        </w:rPr>
        <w:t>（3）沙河特大桥钢管拱防腐处理。对K423+556.555沙河特大桥主桥1×146米下承式钢管混凝土刚架系杆拱的风撑进行防腐处理；防腐体系为：底漆70微米+中涂漆80微米+面漆 50微米，总计厚度为200微米，防腐处治面积1864平方米。</w:t>
      </w:r>
      <w:bookmarkEnd w:id="79"/>
      <w:bookmarkEnd w:id="80"/>
      <w:r>
        <w:rPr>
          <w:rFonts w:hint="eastAsia" w:ascii="宋体"/>
          <w:sz w:val="24"/>
        </w:rPr>
        <w:t xml:space="preserve"> </w:t>
      </w:r>
    </w:p>
    <w:p>
      <w:pPr>
        <w:snapToGrid w:val="0"/>
        <w:spacing w:line="420" w:lineRule="exact"/>
        <w:ind w:firstLine="480" w:firstLineChars="200"/>
        <w:outlineLvl w:val="1"/>
        <w:rPr>
          <w:rFonts w:ascii="宋体"/>
          <w:sz w:val="24"/>
        </w:rPr>
      </w:pPr>
      <w:bookmarkStart w:id="81" w:name="_Toc143068753"/>
      <w:bookmarkStart w:id="82" w:name="_Toc138793879"/>
      <w:r>
        <w:rPr>
          <w:rFonts w:hint="eastAsia" w:ascii="宋体"/>
          <w:sz w:val="24"/>
        </w:rPr>
        <w:t>（4）沙河特大桥钢管拱增设检查梯。对 K423+556.555沙河特大桥主桥1×146米下承式钢管混凝土刚架系杆拱拱脚增设检查梯。在各拱脚上增设检查梯与拱肋检查梯相连接，共增设 6 处，其中外侧拱脚增加4处，中央分隔带拱脚增加2处。</w:t>
      </w:r>
      <w:bookmarkEnd w:id="81"/>
      <w:bookmarkEnd w:id="82"/>
      <w:r>
        <w:rPr>
          <w:rFonts w:hint="eastAsia" w:ascii="宋体"/>
          <w:sz w:val="24"/>
        </w:rPr>
        <w:t xml:space="preserve"> </w:t>
      </w:r>
    </w:p>
    <w:p>
      <w:pPr>
        <w:snapToGrid w:val="0"/>
        <w:spacing w:line="420" w:lineRule="exact"/>
        <w:ind w:firstLine="480" w:firstLineChars="200"/>
        <w:outlineLvl w:val="1"/>
        <w:rPr>
          <w:rFonts w:ascii="宋体"/>
          <w:sz w:val="24"/>
        </w:rPr>
      </w:pPr>
      <w:bookmarkStart w:id="83" w:name="_Toc143068754"/>
      <w:bookmarkStart w:id="84" w:name="_Toc138793880"/>
      <w:r>
        <w:rPr>
          <w:rFonts w:hint="eastAsia" w:ascii="宋体"/>
          <w:sz w:val="24"/>
        </w:rPr>
        <w:t>（5）留村互通钢箱梁防腐处理。对 K410+511.63留村枢纽二号跨线桥、BK0+718留村枢纽B匝道桥、DK0+742留村枢纽D匝道桥，共计3座桥梁的钢箱梁进行防腐处理。涂刷环氧富锌底漆+环氧（厚浆）中涂漆+丙烯酸脂肪族聚氨酯面漆，干膜厚度为240微米，防腐处治面积7109平方米。</w:t>
      </w:r>
      <w:bookmarkEnd w:id="83"/>
      <w:bookmarkEnd w:id="84"/>
    </w:p>
    <w:p>
      <w:pPr>
        <w:snapToGrid w:val="0"/>
        <w:spacing w:line="420" w:lineRule="exact"/>
        <w:ind w:firstLine="480" w:firstLineChars="200"/>
        <w:outlineLvl w:val="1"/>
        <w:rPr>
          <w:rFonts w:ascii="宋体" w:hAnsi="宋体"/>
          <w:sz w:val="24"/>
        </w:rPr>
      </w:pPr>
    </w:p>
    <w:p>
      <w:pPr>
        <w:rPr>
          <w:rFonts w:ascii="宋体" w:hAnsi="宋体"/>
          <w:sz w:val="24"/>
        </w:rPr>
      </w:pPr>
      <w:r>
        <w:rPr>
          <w:rFonts w:hint="eastAsia" w:ascii="宋体" w:hAnsi="宋体"/>
          <w:sz w:val="24"/>
        </w:rPr>
        <w:br w:type="page"/>
      </w:r>
    </w:p>
    <w:p>
      <w:pPr>
        <w:pStyle w:val="6"/>
      </w:pPr>
    </w:p>
    <w:p>
      <w:pPr>
        <w:pStyle w:val="2"/>
        <w:snapToGrid w:val="0"/>
        <w:spacing w:before="156" w:beforeLines="50" w:after="156" w:afterLines="50" w:line="240" w:lineRule="auto"/>
        <w:rPr>
          <w:rFonts w:ascii="宋体" w:hAnsi="宋体"/>
          <w:sz w:val="24"/>
        </w:rPr>
      </w:pPr>
      <w:bookmarkStart w:id="85" w:name="_Toc143068755"/>
      <w:r>
        <w:rPr>
          <w:rFonts w:hint="eastAsia" w:ascii="宋体" w:hAnsi="宋体"/>
          <w:sz w:val="24"/>
        </w:rPr>
        <w:t>附件4</w:t>
      </w:r>
      <w:r>
        <w:rPr>
          <w:rFonts w:ascii="宋体" w:hAnsi="宋体"/>
          <w:sz w:val="24"/>
        </w:rPr>
        <w:t xml:space="preserve"> </w:t>
      </w:r>
      <w:r>
        <w:rPr>
          <w:rFonts w:hint="eastAsia" w:ascii="宋体" w:hAnsi="宋体" w:cs="宋体"/>
          <w:kern w:val="0"/>
          <w:sz w:val="24"/>
          <w:szCs w:val="24"/>
        </w:rPr>
        <w:t>本标段施工单位、施工监理单位及其工地试验室母体机构</w:t>
      </w:r>
      <w:bookmarkEnd w:id="85"/>
    </w:p>
    <w:p>
      <w:pPr>
        <w:spacing w:after="156" w:afterLines="50" w:line="440" w:lineRule="exac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、本标段施工单位及其工地试验室母体机构：</w:t>
      </w:r>
    </w:p>
    <w:p>
      <w:pPr>
        <w:spacing w:after="156" w:afterLines="50" w:line="440" w:lineRule="exact"/>
        <w:rPr>
          <w:rFonts w:ascii="宋体" w:hAnsi="宋体" w:cs="宋体"/>
          <w:kern w:val="0"/>
          <w:sz w:val="24"/>
          <w:szCs w:val="24"/>
        </w:rPr>
      </w:pPr>
      <w:r>
        <w:rPr>
          <w:rFonts w:hint="eastAsia" w:ascii="宋体" w:hAnsi="宋体" w:cs="宋体"/>
          <w:kern w:val="0"/>
          <w:sz w:val="24"/>
          <w:szCs w:val="24"/>
        </w:rPr>
        <w:t>（1）施工单位：河北高速公路集团有限公司</w:t>
      </w:r>
    </w:p>
    <w:p>
      <w:pPr>
        <w:spacing w:after="156" w:afterLines="50" w:line="440" w:lineRule="exact"/>
        <w:rPr>
          <w:rFonts w:ascii="宋体" w:hAnsi="宋体" w:cs="宋体"/>
          <w:kern w:val="0"/>
          <w:sz w:val="24"/>
          <w:szCs w:val="24"/>
        </w:rPr>
      </w:pPr>
      <w:r>
        <w:rPr>
          <w:rFonts w:hint="eastAsia" w:ascii="宋体" w:hAnsi="宋体" w:cs="宋体"/>
          <w:kern w:val="0"/>
          <w:sz w:val="24"/>
          <w:szCs w:val="24"/>
        </w:rPr>
        <w:t>（2）施工单位的工地试验室母体机构：河北慧锦工程检测有限公司</w:t>
      </w:r>
    </w:p>
    <w:p>
      <w:pPr>
        <w:spacing w:after="156" w:afterLines="50" w:line="440" w:lineRule="exact"/>
        <w:rPr>
          <w:rFonts w:ascii="宋体" w:hAnsi="宋体" w:cs="宋体"/>
          <w:kern w:val="0"/>
          <w:sz w:val="24"/>
          <w:szCs w:val="24"/>
        </w:rPr>
      </w:pPr>
    </w:p>
    <w:p>
      <w:pPr>
        <w:spacing w:after="156" w:afterLines="50" w:line="440" w:lineRule="exac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、本项目施工监理单位及其工地试验室母体机构：</w:t>
      </w:r>
    </w:p>
    <w:p>
      <w:pPr>
        <w:spacing w:after="156" w:afterLines="50" w:line="440" w:lineRule="exact"/>
        <w:rPr>
          <w:rFonts w:ascii="宋体" w:hAnsi="宋体" w:cs="宋体"/>
          <w:kern w:val="0"/>
          <w:sz w:val="24"/>
          <w:szCs w:val="24"/>
        </w:rPr>
      </w:pPr>
      <w:r>
        <w:rPr>
          <w:rFonts w:hint="eastAsia" w:ascii="宋体" w:hAnsi="宋体" w:cs="宋体"/>
          <w:kern w:val="0"/>
          <w:sz w:val="24"/>
          <w:szCs w:val="24"/>
        </w:rPr>
        <w:t>（1）施工监理单位：河北路通监理咨询有限公司</w:t>
      </w:r>
    </w:p>
    <w:p>
      <w:pPr>
        <w:spacing w:after="156" w:afterLines="50" w:line="440" w:lineRule="exact"/>
        <w:rPr>
          <w:rFonts w:ascii="宋体" w:hAnsi="宋体" w:cs="宋体"/>
          <w:kern w:val="0"/>
          <w:sz w:val="24"/>
          <w:szCs w:val="24"/>
        </w:rPr>
      </w:pPr>
      <w:r>
        <w:rPr>
          <w:rFonts w:hint="eastAsia" w:ascii="宋体" w:hAnsi="宋体" w:cs="宋体"/>
          <w:kern w:val="0"/>
          <w:sz w:val="24"/>
          <w:szCs w:val="24"/>
        </w:rPr>
        <w:t>（2）施工监理单位的工地试验室母体机构：河北正公工程检测有限公司</w:t>
      </w:r>
    </w:p>
    <w:p>
      <w:bookmarkStart w:id="86" w:name="_GoBack"/>
      <w:bookmarkEnd w:id="8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41558D8"/>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customStyle="1" w:styleId="6">
    <w:name w:val="A 正文"/>
    <w:qFormat/>
    <w:uiPriority w:val="0"/>
    <w:pPr>
      <w:spacing w:line="400" w:lineRule="exact"/>
      <w:ind w:firstLine="482"/>
    </w:pPr>
    <w:rPr>
      <w:rFonts w:ascii="Times New Roman"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2023-08-18T00:42:22Z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78724F35F4C14ABF86A21046069351B7</vt:lpwstr>
  </property>
</Properties>
</file>