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ind w:left="0"/>
        <w:outlineLvl w:val="1"/>
        <w:rPr>
          <w:rFonts w:asciiTheme="minorEastAsia" w:hAnsiTheme="minorEastAsia" w:eastAsiaTheme="minorEastAsia"/>
          <w:bCs w:val="0"/>
          <w:sz w:val="28"/>
          <w:szCs w:val="36"/>
          <w:shd w:val="clear" w:color="auto" w:fill="FFFFFF"/>
          <w:lang w:eastAsia="zh-CN"/>
        </w:rPr>
      </w:pPr>
      <w:bookmarkStart w:id="0" w:name="_Toc136940559"/>
      <w:bookmarkStart w:id="1" w:name="_Toc136940439"/>
      <w:bookmarkStart w:id="2" w:name="OLE_LINK1"/>
      <w:bookmarkStart w:id="3" w:name="_Toc519088324"/>
      <w:bookmarkStart w:id="4" w:name="OLE_LINK2"/>
      <w:bookmarkStart w:id="9" w:name="_GoBack"/>
      <w:bookmarkEnd w:id="9"/>
      <w:r>
        <w:rPr>
          <w:rFonts w:hint="eastAsia" w:asciiTheme="minorEastAsia" w:hAnsiTheme="minorEastAsia" w:eastAsiaTheme="minorEastAsia"/>
          <w:bCs w:val="0"/>
          <w:sz w:val="28"/>
          <w:szCs w:val="36"/>
          <w:shd w:val="clear" w:color="auto" w:fill="FFFFFF"/>
          <w:lang w:eastAsia="zh-CN"/>
        </w:rPr>
        <w:t>附件</w:t>
      </w:r>
      <w:r>
        <w:rPr>
          <w:rFonts w:asciiTheme="minorEastAsia" w:hAnsiTheme="minorEastAsia" w:eastAsiaTheme="minorEastAsia"/>
          <w:bCs w:val="0"/>
          <w:sz w:val="28"/>
          <w:szCs w:val="36"/>
          <w:shd w:val="clear" w:color="auto" w:fill="FFFFFF"/>
          <w:lang w:eastAsia="zh-CN"/>
        </w:rPr>
        <w:t>1</w:t>
      </w:r>
      <w:r>
        <w:rPr>
          <w:rFonts w:hint="eastAsia" w:asciiTheme="minorEastAsia" w:hAnsiTheme="minorEastAsia" w:eastAsiaTheme="minorEastAsia"/>
          <w:bCs w:val="0"/>
          <w:sz w:val="28"/>
          <w:szCs w:val="36"/>
          <w:shd w:val="clear" w:color="auto" w:fill="FFFFFF"/>
          <w:lang w:eastAsia="zh-CN"/>
        </w:rPr>
        <w:t>：资格审查条件</w:t>
      </w:r>
      <w:bookmarkEnd w:id="0"/>
      <w:bookmarkEnd w:id="1"/>
    </w:p>
    <w:p>
      <w:pPr>
        <w:pStyle w:val="15"/>
        <w:adjustRightInd w:val="0"/>
        <w:snapToGrid w:val="0"/>
        <w:jc w:val="center"/>
        <w:rPr>
          <w:rFonts w:asciiTheme="minorEastAsia" w:hAnsiTheme="minorEastAsia"/>
          <w:b/>
          <w:sz w:val="24"/>
          <w:szCs w:val="24"/>
          <w:shd w:val="clear" w:color="auto" w:fill="FFFFFF"/>
          <w:lang w:eastAsia="zh-CN"/>
        </w:rPr>
      </w:pPr>
      <w:bookmarkStart w:id="5" w:name="_Hlk44947073"/>
      <w:bookmarkStart w:id="6" w:name="_Toc524343453"/>
    </w:p>
    <w:p>
      <w:pPr>
        <w:pStyle w:val="15"/>
        <w:adjustRightInd w:val="0"/>
        <w:snapToGrid w:val="0"/>
        <w:spacing w:line="360" w:lineRule="auto"/>
        <w:jc w:val="center"/>
        <w:rPr>
          <w:rFonts w:asciiTheme="minorEastAsia" w:hAnsiTheme="minorEastAsia"/>
          <w:sz w:val="24"/>
          <w:szCs w:val="24"/>
          <w:shd w:val="clear" w:color="auto" w:fill="FFFFFF"/>
          <w:lang w:eastAsia="zh-CN"/>
        </w:rPr>
      </w:pPr>
      <w:r>
        <w:rPr>
          <w:rFonts w:hint="eastAsia" w:asciiTheme="minorEastAsia" w:hAnsiTheme="minorEastAsia"/>
          <w:b/>
          <w:sz w:val="24"/>
          <w:szCs w:val="24"/>
          <w:shd w:val="clear" w:color="auto" w:fill="FFFFFF"/>
          <w:lang w:eastAsia="zh-CN"/>
        </w:rPr>
        <w:t>附录</w:t>
      </w:r>
      <w:r>
        <w:rPr>
          <w:rFonts w:asciiTheme="minorEastAsia" w:hAnsiTheme="minorEastAsia"/>
          <w:b/>
          <w:sz w:val="24"/>
          <w:szCs w:val="24"/>
          <w:shd w:val="clear" w:color="auto" w:fill="FFFFFF"/>
          <w:lang w:eastAsia="zh-CN"/>
        </w:rPr>
        <w:t xml:space="preserve">1 </w:t>
      </w:r>
      <w:bookmarkEnd w:id="5"/>
      <w:r>
        <w:rPr>
          <w:rFonts w:asciiTheme="minorEastAsia" w:hAnsiTheme="minorEastAsia"/>
          <w:b/>
          <w:sz w:val="24"/>
          <w:szCs w:val="24"/>
          <w:shd w:val="clear" w:color="auto" w:fill="FFFFFF"/>
          <w:lang w:eastAsia="zh-CN"/>
        </w:rPr>
        <w:t xml:space="preserve"> </w:t>
      </w:r>
      <w:r>
        <w:rPr>
          <w:rFonts w:hint="eastAsia" w:asciiTheme="minorEastAsia" w:hAnsiTheme="minorEastAsia"/>
          <w:b/>
          <w:sz w:val="24"/>
          <w:szCs w:val="24"/>
          <w:shd w:val="clear" w:color="auto" w:fill="FFFFFF"/>
          <w:lang w:eastAsia="zh-CN"/>
        </w:rPr>
        <w:t>资格审查条件</w:t>
      </w:r>
      <w:r>
        <w:rPr>
          <w:rFonts w:asciiTheme="minorEastAsia" w:hAnsiTheme="minorEastAsia"/>
          <w:b/>
          <w:sz w:val="24"/>
          <w:szCs w:val="24"/>
          <w:shd w:val="clear" w:color="auto" w:fill="FFFFFF"/>
          <w:lang w:eastAsia="zh-CN"/>
        </w:rPr>
        <w:t>(</w:t>
      </w:r>
      <w:r>
        <w:rPr>
          <w:rFonts w:hint="eastAsia" w:asciiTheme="minorEastAsia" w:hAnsiTheme="minorEastAsia"/>
          <w:b/>
          <w:sz w:val="24"/>
          <w:szCs w:val="24"/>
          <w:shd w:val="clear" w:color="auto" w:fill="FFFFFF"/>
          <w:lang w:eastAsia="zh-CN"/>
        </w:rPr>
        <w:t>资质最低条件</w:t>
      </w:r>
      <w:r>
        <w:rPr>
          <w:rFonts w:asciiTheme="minorEastAsia" w:hAnsiTheme="minorEastAsia"/>
          <w:b/>
          <w:sz w:val="24"/>
          <w:szCs w:val="24"/>
          <w:shd w:val="clear" w:color="auto" w:fill="FFFFFF"/>
          <w:lang w:eastAsia="zh-CN"/>
        </w:rPr>
        <w:t>)</w:t>
      </w:r>
      <w:bookmarkEnd w:id="6"/>
    </w:p>
    <w:tbl>
      <w:tblPr>
        <w:tblStyle w:val="7"/>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pPr>
              <w:adjustRightInd w:val="0"/>
              <w:snapToGrid w:val="0"/>
              <w:spacing w:line="360" w:lineRule="auto"/>
              <w:jc w:val="center"/>
              <w:rPr>
                <w:rFonts w:cs="宋体" w:asciiTheme="minorEastAsia" w:hAnsiTheme="minorEastAsia"/>
                <w:b/>
                <w:bCs/>
                <w:sz w:val="24"/>
                <w:szCs w:val="24"/>
                <w:shd w:val="clear" w:color="auto" w:fill="FFFFFF"/>
              </w:rPr>
            </w:pPr>
            <w:r>
              <w:rPr>
                <w:rFonts w:hint="eastAsia" w:cs="宋体" w:asciiTheme="minorEastAsia" w:hAnsiTheme="minorEastAsia"/>
                <w:b/>
                <w:bCs/>
                <w:sz w:val="24"/>
                <w:szCs w:val="24"/>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pPr>
              <w:adjustRightInd w:val="0"/>
              <w:snapToGrid w:val="0"/>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1.投标人应为在中华人民共和国境内注册，能够独立承担民事责任，有供应能力的独立法人组织；</w:t>
            </w:r>
          </w:p>
          <w:p>
            <w:pPr>
              <w:adjustRightInd w:val="0"/>
              <w:snapToGrid w:val="0"/>
              <w:spacing w:line="360" w:lineRule="auto"/>
              <w:ind w:firstLine="480" w:firstLineChars="200"/>
              <w:jc w:val="both"/>
              <w:rPr>
                <w:rFonts w:ascii="宋体" w:hAnsi="宋体" w:eastAsia="宋体"/>
                <w:sz w:val="24"/>
                <w:szCs w:val="24"/>
                <w:shd w:val="clear" w:color="auto" w:fill="FFFFFF"/>
                <w:lang w:eastAsia="zh-CN"/>
              </w:rPr>
            </w:pPr>
            <w:r>
              <w:rPr>
                <w:rFonts w:hint="eastAsia" w:ascii="宋体" w:hAnsi="宋体" w:eastAsia="宋体"/>
                <w:sz w:val="24"/>
                <w:szCs w:val="24"/>
                <w:lang w:eastAsia="zh-CN"/>
              </w:rPr>
              <w:t>2.本次招标接受经销商投标。</w:t>
            </w:r>
          </w:p>
        </w:tc>
      </w:tr>
    </w:tbl>
    <w:p>
      <w:pPr>
        <w:pStyle w:val="15"/>
        <w:wordWrap w:val="0"/>
        <w:adjustRightInd w:val="0"/>
        <w:snapToGrid w:val="0"/>
        <w:spacing w:line="360" w:lineRule="auto"/>
        <w:jc w:val="center"/>
        <w:rPr>
          <w:rFonts w:asciiTheme="minorEastAsia" w:hAnsiTheme="minorEastAsia"/>
          <w:b/>
          <w:sz w:val="24"/>
          <w:szCs w:val="24"/>
          <w:shd w:val="clear" w:color="auto" w:fill="FFFFFF"/>
          <w:lang w:eastAsia="zh-CN"/>
        </w:rPr>
      </w:pPr>
    </w:p>
    <w:p>
      <w:pPr>
        <w:pStyle w:val="15"/>
        <w:wordWrap w:val="0"/>
        <w:adjustRightInd w:val="0"/>
        <w:snapToGrid w:val="0"/>
        <w:spacing w:line="360" w:lineRule="auto"/>
        <w:jc w:val="center"/>
        <w:rPr>
          <w:rFonts w:asciiTheme="minorEastAsia" w:hAnsiTheme="minorEastAsia"/>
          <w:b/>
          <w:sz w:val="24"/>
          <w:szCs w:val="24"/>
          <w:shd w:val="clear" w:color="auto" w:fill="FFFFFF"/>
          <w:lang w:eastAsia="zh-CN"/>
        </w:rPr>
      </w:pPr>
    </w:p>
    <w:p>
      <w:pPr>
        <w:pStyle w:val="15"/>
        <w:wordWrap w:val="0"/>
        <w:adjustRightInd w:val="0"/>
        <w:snapToGrid w:val="0"/>
        <w:spacing w:line="360" w:lineRule="auto"/>
        <w:jc w:val="center"/>
        <w:rPr>
          <w:rFonts w:asciiTheme="minorEastAsia" w:hAnsiTheme="minorEastAsia"/>
          <w:b/>
          <w:sz w:val="24"/>
          <w:szCs w:val="24"/>
          <w:shd w:val="clear" w:color="auto" w:fill="FFFFFF"/>
          <w:lang w:eastAsia="zh-CN"/>
        </w:rPr>
      </w:pPr>
    </w:p>
    <w:p>
      <w:pPr>
        <w:pStyle w:val="15"/>
        <w:adjustRightInd w:val="0"/>
        <w:snapToGrid w:val="0"/>
        <w:spacing w:line="360" w:lineRule="auto"/>
        <w:jc w:val="center"/>
        <w:rPr>
          <w:rFonts w:asciiTheme="minorEastAsia" w:hAnsiTheme="minorEastAsia"/>
          <w:b/>
          <w:sz w:val="24"/>
          <w:szCs w:val="24"/>
          <w:shd w:val="clear" w:color="auto" w:fill="FFFFFF"/>
          <w:lang w:eastAsia="zh-CN"/>
        </w:rPr>
      </w:pPr>
      <w:bookmarkStart w:id="7" w:name="_Toc524343454"/>
      <w:r>
        <w:rPr>
          <w:rFonts w:hint="eastAsia" w:asciiTheme="minorEastAsia" w:hAnsiTheme="minorEastAsia"/>
          <w:b/>
          <w:sz w:val="24"/>
          <w:szCs w:val="24"/>
          <w:shd w:val="clear" w:color="auto" w:fill="FFFFFF"/>
          <w:lang w:eastAsia="zh-CN"/>
        </w:rPr>
        <w:t>附录</w:t>
      </w:r>
      <w:r>
        <w:rPr>
          <w:rFonts w:asciiTheme="minorEastAsia" w:hAnsiTheme="minorEastAsia"/>
          <w:b/>
          <w:sz w:val="24"/>
          <w:szCs w:val="24"/>
          <w:shd w:val="clear" w:color="auto" w:fill="FFFFFF"/>
          <w:lang w:eastAsia="zh-CN"/>
        </w:rPr>
        <w:t xml:space="preserve">2  </w:t>
      </w:r>
      <w:bookmarkEnd w:id="7"/>
      <w:r>
        <w:rPr>
          <w:rFonts w:hint="eastAsia" w:asciiTheme="minorEastAsia" w:hAnsiTheme="minorEastAsia"/>
          <w:b/>
          <w:sz w:val="24"/>
          <w:szCs w:val="24"/>
          <w:shd w:val="clear" w:color="auto" w:fill="FFFFFF"/>
          <w:lang w:eastAsia="zh-CN"/>
        </w:rPr>
        <w:t>信誉审查条件</w:t>
      </w:r>
      <w:r>
        <w:rPr>
          <w:rFonts w:asciiTheme="minorEastAsia" w:hAnsiTheme="minorEastAsia"/>
          <w:b/>
          <w:sz w:val="24"/>
          <w:szCs w:val="24"/>
          <w:shd w:val="clear" w:color="auto" w:fill="FFFFFF"/>
          <w:lang w:eastAsia="zh-CN"/>
        </w:rPr>
        <w:t>(</w:t>
      </w:r>
      <w:r>
        <w:rPr>
          <w:rFonts w:hint="eastAsia" w:asciiTheme="minorEastAsia" w:hAnsiTheme="minorEastAsia"/>
          <w:b/>
          <w:sz w:val="24"/>
          <w:szCs w:val="24"/>
          <w:shd w:val="clear" w:color="auto" w:fill="FFFFFF"/>
          <w:lang w:eastAsia="zh-CN"/>
        </w:rPr>
        <w:t>信誉最低要求</w:t>
      </w:r>
      <w:r>
        <w:rPr>
          <w:rFonts w:asciiTheme="minorEastAsia" w:hAnsiTheme="minorEastAsia"/>
          <w:b/>
          <w:sz w:val="24"/>
          <w:szCs w:val="24"/>
          <w:shd w:val="clear" w:color="auto" w:fill="FFFFFF"/>
          <w:lang w:eastAsia="zh-CN"/>
        </w:rPr>
        <w:t>)</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ind w:firstLine="480" w:firstLineChars="200"/>
              <w:jc w:val="both"/>
              <w:rPr>
                <w:rFonts w:asciiTheme="minorEastAsia" w:hAnsiTheme="minorEastAsia"/>
                <w:b/>
                <w:sz w:val="24"/>
                <w:szCs w:val="24"/>
                <w:shd w:val="clear" w:color="auto" w:fill="FFFFFF"/>
                <w:lang w:eastAsia="zh-CN"/>
              </w:rPr>
            </w:pPr>
            <w:r>
              <w:rPr>
                <w:rFonts w:hint="eastAsia" w:asciiTheme="minorEastAsia" w:hAnsiTheme="minorEastAsia"/>
                <w:sz w:val="24"/>
                <w:szCs w:val="24"/>
                <w:shd w:val="clear" w:color="auto" w:fill="FFFFFF"/>
                <w:lang w:eastAsia="zh-CN"/>
              </w:rPr>
              <w:t>“信用中国”网站(http://www.creditchina.gov.cn/)中被列入失信被执行人、异常经营名录、税收违法黑名单、政府采购严重违法失信行为记录名单（均不含分公司）的、在全国企业信用信息公示系统（http://www.gsxt.gov.cn）中被列入严重违法失信名单（不含分公司）的投标人，不得参加投标。</w:t>
            </w:r>
          </w:p>
        </w:tc>
      </w:tr>
      <w:bookmarkEnd w:id="2"/>
      <w:bookmarkEnd w:id="3"/>
    </w:tbl>
    <w:p>
      <w:pPr>
        <w:widowControl/>
        <w:rPr>
          <w:rFonts w:asciiTheme="minorEastAsia" w:hAnsiTheme="minorEastAsia"/>
          <w:bCs/>
          <w:sz w:val="52"/>
          <w:szCs w:val="52"/>
          <w:lang w:eastAsia="zh-CN"/>
        </w:rPr>
      </w:pPr>
      <w:r>
        <w:rPr>
          <w:rFonts w:asciiTheme="minorEastAsia" w:hAnsiTheme="minorEastAsia"/>
          <w:b/>
          <w:sz w:val="52"/>
          <w:szCs w:val="52"/>
          <w:lang w:eastAsia="zh-CN"/>
        </w:rPr>
        <w:br w:type="page"/>
      </w:r>
    </w:p>
    <w:p>
      <w:pPr>
        <w:pStyle w:val="5"/>
        <w:ind w:left="0" w:firstLine="0"/>
        <w:rPr>
          <w:rFonts w:ascii="宋体" w:hAnsi="宋体" w:cs="宋体"/>
        </w:rPr>
      </w:pPr>
      <w:r>
        <w:rPr>
          <w:rFonts w:hint="eastAsia" w:ascii="宋体" w:hAnsi="宋体" w:cs="宋体"/>
        </w:rPr>
        <w:t>附件2：评标办法（综合评估法）</w:t>
      </w:r>
    </w:p>
    <w:p>
      <w:pPr>
        <w:autoSpaceDE w:val="0"/>
        <w:autoSpaceDN w:val="0"/>
        <w:adjustRightInd w:val="0"/>
        <w:snapToGrid w:val="0"/>
        <w:spacing w:line="360" w:lineRule="auto"/>
        <w:ind w:right="113"/>
        <w:rPr>
          <w:rFonts w:ascii="宋体" w:hAnsi="宋体" w:cs="宋体"/>
          <w:b/>
          <w:bCs/>
          <w:sz w:val="24"/>
          <w:szCs w:val="32"/>
        </w:rPr>
      </w:pPr>
      <w:r>
        <w:rPr>
          <w:rFonts w:hint="eastAsia" w:ascii="宋体" w:hAnsi="宋体" w:cs="宋体"/>
          <w:b/>
          <w:bCs/>
          <w:sz w:val="24"/>
          <w:szCs w:val="32"/>
        </w:rPr>
        <w:t>评标办法前附表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17"/>
        <w:gridCol w:w="1607"/>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2524" w:type="dxa"/>
            <w:gridSpan w:val="2"/>
            <w:vAlign w:val="center"/>
          </w:tcPr>
          <w:p>
            <w:pPr>
              <w:adjustRightInd w:val="0"/>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条款号</w:t>
            </w:r>
          </w:p>
        </w:tc>
        <w:tc>
          <w:tcPr>
            <w:tcW w:w="6547" w:type="dxa"/>
            <w:vAlign w:val="center"/>
          </w:tcPr>
          <w:p>
            <w:pPr>
              <w:adjustRightInd w:val="0"/>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jc w:val="center"/>
              <w:rPr>
                <w:rFonts w:ascii="Times New Roman" w:hAnsi="Times New Roman" w:eastAsia="宋体" w:cs="Times New Roman"/>
                <w:b/>
                <w:sz w:val="24"/>
                <w:szCs w:val="24"/>
              </w:rPr>
            </w:pPr>
            <w:r>
              <w:rPr>
                <w:rFonts w:ascii="Times New Roman" w:hAnsi="Times New Roman" w:eastAsia="宋体" w:cs="Times New Roman"/>
                <w:bCs/>
                <w:sz w:val="24"/>
                <w:szCs w:val="24"/>
              </w:rPr>
              <w:t>1</w:t>
            </w:r>
          </w:p>
        </w:tc>
        <w:tc>
          <w:tcPr>
            <w:tcW w:w="1607" w:type="dxa"/>
            <w:vAlign w:val="center"/>
          </w:tcPr>
          <w:p>
            <w:pPr>
              <w:jc w:val="center"/>
              <w:rPr>
                <w:rFonts w:ascii="Times New Roman" w:hAnsi="Times New Roman" w:eastAsia="宋体" w:cs="Times New Roman"/>
                <w:b/>
                <w:sz w:val="24"/>
                <w:szCs w:val="24"/>
              </w:rPr>
            </w:pPr>
            <w:r>
              <w:rPr>
                <w:rFonts w:ascii="Times New Roman" w:hAnsi="Times New Roman" w:eastAsia="宋体" w:cs="Times New Roman"/>
                <w:sz w:val="24"/>
                <w:szCs w:val="24"/>
              </w:rPr>
              <w:t>评标办法</w:t>
            </w:r>
          </w:p>
        </w:tc>
        <w:tc>
          <w:tcPr>
            <w:tcW w:w="6547" w:type="dxa"/>
            <w:vAlign w:val="center"/>
          </w:tcPr>
          <w:p>
            <w:pPr>
              <w:rPr>
                <w:rFonts w:ascii="宋体" w:hAnsi="宋体" w:eastAsia="宋体"/>
                <w:sz w:val="24"/>
                <w:szCs w:val="24"/>
                <w:lang w:eastAsia="zh-CN"/>
              </w:rPr>
            </w:pPr>
            <w:r>
              <w:rPr>
                <w:rFonts w:ascii="宋体" w:hAnsi="宋体" w:eastAsia="宋体"/>
                <w:sz w:val="24"/>
                <w:szCs w:val="24"/>
                <w:lang w:eastAsia="zh-CN"/>
              </w:rPr>
              <w:t>本条修改为：</w:t>
            </w:r>
          </w:p>
          <w:p>
            <w:pPr>
              <w:rPr>
                <w:rFonts w:ascii="宋体" w:hAnsi="宋体" w:eastAsia="宋体"/>
                <w:sz w:val="24"/>
                <w:szCs w:val="24"/>
                <w:lang w:eastAsia="zh-CN"/>
              </w:rPr>
            </w:pPr>
            <w:r>
              <w:rPr>
                <w:rFonts w:ascii="宋体" w:hAnsi="宋体" w:eastAsia="宋体"/>
                <w:sz w:val="24"/>
                <w:szCs w:val="24"/>
                <w:lang w:eastAsia="zh-CN"/>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eastAsia="宋体"/>
                <w:sz w:val="24"/>
                <w:szCs w:val="24"/>
                <w:lang w:eastAsia="zh-CN"/>
              </w:rPr>
              <w:t>当综合得分相等时按以下顺序推荐中标候选人：</w:t>
            </w:r>
          </w:p>
          <w:p>
            <w:pPr>
              <w:rPr>
                <w:rFonts w:ascii="宋体" w:hAnsi="宋体" w:eastAsia="宋体"/>
                <w:sz w:val="24"/>
                <w:szCs w:val="24"/>
                <w:lang w:eastAsia="zh-CN"/>
              </w:rPr>
            </w:pPr>
            <w:r>
              <w:rPr>
                <w:rFonts w:ascii="宋体" w:hAnsi="宋体" w:eastAsia="宋体"/>
                <w:sz w:val="24"/>
                <w:szCs w:val="24"/>
                <w:lang w:eastAsia="zh-CN"/>
              </w:rPr>
              <w:t>（</w:t>
            </w:r>
            <w:r>
              <w:rPr>
                <w:rFonts w:hint="eastAsia" w:ascii="宋体" w:hAnsi="宋体" w:eastAsia="宋体"/>
                <w:sz w:val="24"/>
                <w:szCs w:val="24"/>
                <w:lang w:eastAsia="zh-CN"/>
              </w:rPr>
              <w:t>1</w:t>
            </w:r>
            <w:r>
              <w:rPr>
                <w:rFonts w:ascii="宋体" w:hAnsi="宋体" w:eastAsia="宋体"/>
                <w:sz w:val="24"/>
                <w:szCs w:val="24"/>
                <w:lang w:eastAsia="zh-CN"/>
              </w:rPr>
              <w:t>）以评标价低的优先</w:t>
            </w:r>
            <w:r>
              <w:rPr>
                <w:rFonts w:hint="eastAsia" w:ascii="宋体" w:hAnsi="宋体" w:eastAsia="宋体"/>
                <w:sz w:val="24"/>
                <w:szCs w:val="24"/>
                <w:lang w:eastAsia="zh-CN"/>
              </w:rPr>
              <w:t>；</w:t>
            </w:r>
          </w:p>
          <w:p>
            <w:pPr>
              <w:rPr>
                <w:rFonts w:ascii="宋体" w:hAnsi="宋体" w:eastAsia="宋体"/>
                <w:sz w:val="24"/>
                <w:szCs w:val="24"/>
                <w:lang w:eastAsia="zh-CN"/>
              </w:rPr>
            </w:pPr>
            <w:r>
              <w:rPr>
                <w:rFonts w:ascii="宋体" w:hAnsi="宋体" w:eastAsia="宋体"/>
                <w:sz w:val="24"/>
                <w:szCs w:val="24"/>
                <w:lang w:eastAsia="zh-CN"/>
              </w:rPr>
              <w:t>（2）当评标价也相等时，以技术得分高的优先</w:t>
            </w:r>
            <w:r>
              <w:rPr>
                <w:rFonts w:hint="eastAsia" w:ascii="宋体" w:hAnsi="宋体" w:eastAsia="宋体"/>
                <w:sz w:val="24"/>
                <w:szCs w:val="24"/>
                <w:lang w:eastAsia="zh-CN"/>
              </w:rPr>
              <w:t>；</w:t>
            </w:r>
          </w:p>
          <w:p>
            <w:pPr>
              <w:rPr>
                <w:rFonts w:ascii="宋体" w:hAnsi="宋体" w:eastAsia="宋体"/>
                <w:sz w:val="24"/>
                <w:szCs w:val="24"/>
                <w:lang w:eastAsia="zh-CN"/>
              </w:rPr>
            </w:pPr>
            <w:r>
              <w:rPr>
                <w:rFonts w:ascii="宋体" w:hAnsi="宋体" w:eastAsia="宋体"/>
                <w:sz w:val="24"/>
                <w:szCs w:val="24"/>
                <w:lang w:eastAsia="zh-CN"/>
              </w:rPr>
              <w:t>（</w:t>
            </w:r>
            <w:r>
              <w:rPr>
                <w:rFonts w:hint="eastAsia" w:ascii="宋体" w:hAnsi="宋体" w:eastAsia="宋体"/>
                <w:sz w:val="24"/>
                <w:szCs w:val="24"/>
                <w:lang w:eastAsia="zh-CN"/>
              </w:rPr>
              <w:t>3</w:t>
            </w:r>
            <w:r>
              <w:rPr>
                <w:rFonts w:ascii="宋体" w:hAnsi="宋体" w:eastAsia="宋体"/>
                <w:sz w:val="24"/>
                <w:szCs w:val="24"/>
                <w:lang w:eastAsia="zh-CN"/>
              </w:rPr>
              <w:t>）技术得分相等的，由评标委员会投票确定。</w:t>
            </w:r>
          </w:p>
          <w:p>
            <w:pPr>
              <w:rPr>
                <w:rFonts w:ascii="宋体" w:hAnsi="宋体" w:eastAsia="宋体"/>
                <w:sz w:val="24"/>
                <w:szCs w:val="24"/>
                <w:lang w:eastAsia="zh-CN"/>
              </w:rPr>
            </w:pPr>
            <w:r>
              <w:rPr>
                <w:rFonts w:hint="eastAsia" w:ascii="宋体" w:hAnsi="宋体" w:eastAsia="宋体"/>
                <w:sz w:val="24"/>
                <w:szCs w:val="24"/>
                <w:lang w:eastAsia="zh-CN"/>
              </w:rPr>
              <w:t>同一投标人参与不同标段的投标，若在先评审的标段被推荐为第一中标候选人，则在之后评审的标段中继续参加评审但将不被推荐为中标候选人。</w:t>
            </w:r>
          </w:p>
          <w:p>
            <w:pPr>
              <w:rPr>
                <w:rFonts w:ascii="宋体" w:hAnsi="宋体" w:eastAsia="宋体"/>
                <w:sz w:val="24"/>
                <w:szCs w:val="24"/>
                <w:lang w:eastAsia="zh-CN"/>
              </w:rPr>
            </w:pPr>
            <w:r>
              <w:rPr>
                <w:rFonts w:hint="eastAsia" w:ascii="宋体" w:hAnsi="宋体" w:eastAsia="宋体"/>
                <w:sz w:val="24"/>
                <w:szCs w:val="24"/>
                <w:lang w:eastAsia="zh-CN"/>
              </w:rPr>
              <w:t>本项目的本次招标按标段号 (标段1、标段2、标段</w:t>
            </w:r>
            <w:r>
              <w:rPr>
                <w:rFonts w:ascii="宋体" w:hAnsi="宋体" w:eastAsia="宋体"/>
                <w:sz w:val="24"/>
                <w:szCs w:val="24"/>
                <w:lang w:eastAsia="zh-CN"/>
              </w:rPr>
              <w:t>4</w:t>
            </w:r>
            <w:r>
              <w:rPr>
                <w:rFonts w:hint="eastAsia" w:ascii="宋体" w:hAnsi="宋体" w:eastAsia="宋体"/>
                <w:sz w:val="24"/>
                <w:szCs w:val="24"/>
                <w:lang w:eastAsia="zh-CN"/>
              </w:rPr>
              <w:t>、标段</w:t>
            </w:r>
            <w:r>
              <w:rPr>
                <w:rFonts w:ascii="宋体" w:hAnsi="宋体" w:eastAsia="宋体"/>
                <w:sz w:val="24"/>
                <w:szCs w:val="24"/>
                <w:lang w:eastAsia="zh-CN"/>
              </w:rPr>
              <w:t>5</w:t>
            </w:r>
            <w:r>
              <w:rPr>
                <w:rFonts w:hint="eastAsia" w:ascii="宋体" w:hAnsi="宋体" w:eastAsia="宋体"/>
                <w:sz w:val="24"/>
                <w:szCs w:val="24"/>
                <w:lang w:eastAsia="zh-CN"/>
              </w:rPr>
              <w:t>) 从小到大的顺序逐一进行评审。</w:t>
            </w:r>
          </w:p>
          <w:p>
            <w:pPr>
              <w:rPr>
                <w:rFonts w:ascii="宋体" w:hAnsi="宋体" w:eastAsia="宋体"/>
                <w:b/>
                <w:bCs/>
                <w:sz w:val="24"/>
                <w:szCs w:val="24"/>
                <w:lang w:eastAsia="zh-CN"/>
              </w:rPr>
            </w:pPr>
            <w:r>
              <w:rPr>
                <w:rFonts w:ascii="宋体" w:hAnsi="宋体" w:eastAsia="宋体"/>
                <w:b/>
                <w:bCs/>
                <w:sz w:val="24"/>
                <w:szCs w:val="24"/>
                <w:lang w:eastAsia="zh-CN"/>
              </w:rPr>
              <w:t>注</w:t>
            </w:r>
            <w:r>
              <w:rPr>
                <w:rFonts w:hint="eastAsia" w:ascii="宋体" w:hAnsi="宋体" w:eastAsia="宋体"/>
                <w:b/>
                <w:bCs/>
                <w:sz w:val="24"/>
                <w:szCs w:val="24"/>
                <w:lang w:eastAsia="zh-CN"/>
              </w:rPr>
              <w:t>：（1）</w:t>
            </w:r>
            <w:r>
              <w:rPr>
                <w:rFonts w:ascii="宋体" w:hAnsi="宋体" w:eastAsia="宋体"/>
                <w:b/>
                <w:bCs/>
                <w:sz w:val="24"/>
                <w:szCs w:val="24"/>
                <w:lang w:eastAsia="zh-CN"/>
              </w:rPr>
              <w:t>参与标段</w:t>
            </w:r>
            <w:r>
              <w:rPr>
                <w:rFonts w:hint="eastAsia" w:ascii="宋体" w:hAnsi="宋体" w:eastAsia="宋体"/>
                <w:b/>
                <w:bCs/>
                <w:sz w:val="24"/>
                <w:szCs w:val="24"/>
                <w:lang w:eastAsia="zh-CN"/>
              </w:rPr>
              <w:t>3</w:t>
            </w:r>
            <w:r>
              <w:rPr>
                <w:rFonts w:ascii="宋体" w:hAnsi="宋体" w:eastAsia="宋体"/>
                <w:b/>
                <w:bCs/>
                <w:sz w:val="24"/>
                <w:szCs w:val="24"/>
                <w:lang w:eastAsia="zh-CN"/>
              </w:rPr>
              <w:t>投标的投标人</w:t>
            </w:r>
            <w:r>
              <w:rPr>
                <w:rFonts w:hint="eastAsia" w:ascii="宋体" w:hAnsi="宋体" w:eastAsia="宋体"/>
                <w:b/>
                <w:bCs/>
                <w:sz w:val="24"/>
                <w:szCs w:val="24"/>
                <w:lang w:eastAsia="zh-CN"/>
              </w:rPr>
              <w:t>最多只允许参与标段1、标段2、标段</w:t>
            </w:r>
            <w:r>
              <w:rPr>
                <w:rFonts w:ascii="宋体" w:hAnsi="宋体" w:eastAsia="宋体"/>
                <w:b/>
                <w:bCs/>
                <w:sz w:val="24"/>
                <w:szCs w:val="24"/>
                <w:lang w:eastAsia="zh-CN"/>
              </w:rPr>
              <w:t>4</w:t>
            </w:r>
            <w:r>
              <w:rPr>
                <w:rFonts w:hint="eastAsia" w:ascii="宋体" w:hAnsi="宋体" w:eastAsia="宋体"/>
                <w:b/>
                <w:bCs/>
                <w:sz w:val="24"/>
                <w:szCs w:val="24"/>
                <w:lang w:eastAsia="zh-CN"/>
              </w:rPr>
              <w:t>、标段</w:t>
            </w:r>
            <w:r>
              <w:rPr>
                <w:rFonts w:ascii="宋体" w:hAnsi="宋体" w:eastAsia="宋体"/>
                <w:b/>
                <w:bCs/>
                <w:sz w:val="24"/>
                <w:szCs w:val="24"/>
                <w:lang w:eastAsia="zh-CN"/>
              </w:rPr>
              <w:t>5</w:t>
            </w:r>
            <w:r>
              <w:rPr>
                <w:rFonts w:hint="eastAsia" w:ascii="宋体" w:hAnsi="宋体" w:eastAsia="宋体"/>
                <w:b/>
                <w:bCs/>
                <w:sz w:val="24"/>
                <w:szCs w:val="24"/>
                <w:lang w:eastAsia="zh-CN"/>
              </w:rPr>
              <w:t>其中一个标段的投标；</w:t>
            </w:r>
          </w:p>
          <w:p>
            <w:pPr>
              <w:ind w:firstLine="482" w:firstLineChars="200"/>
              <w:rPr>
                <w:rFonts w:hint="eastAsia" w:ascii="宋体" w:hAnsi="宋体" w:eastAsia="宋体"/>
                <w:sz w:val="24"/>
                <w:szCs w:val="24"/>
                <w:lang w:eastAsia="zh-CN"/>
              </w:rPr>
            </w:pPr>
            <w:r>
              <w:rPr>
                <w:rFonts w:ascii="宋体" w:hAnsi="宋体" w:eastAsia="宋体"/>
                <w:b/>
                <w:bCs/>
                <w:sz w:val="24"/>
                <w:szCs w:val="24"/>
                <w:lang w:eastAsia="zh-CN"/>
              </w:rPr>
              <w:t>（</w:t>
            </w:r>
            <w:r>
              <w:rPr>
                <w:rFonts w:hint="eastAsia" w:ascii="宋体" w:hAnsi="宋体" w:eastAsia="宋体"/>
                <w:b/>
                <w:bCs/>
                <w:sz w:val="24"/>
                <w:szCs w:val="24"/>
                <w:lang w:eastAsia="zh-CN"/>
              </w:rPr>
              <w:t>2</w:t>
            </w:r>
            <w:r>
              <w:rPr>
                <w:rFonts w:ascii="宋体" w:hAnsi="宋体" w:eastAsia="宋体"/>
                <w:b/>
                <w:bCs/>
                <w:sz w:val="24"/>
                <w:szCs w:val="24"/>
                <w:lang w:eastAsia="zh-CN"/>
              </w:rPr>
              <w:t>）</w:t>
            </w:r>
            <w:r>
              <w:rPr>
                <w:rFonts w:hint="eastAsia" w:ascii="宋体" w:hAnsi="宋体" w:eastAsia="宋体"/>
                <w:b/>
                <w:bCs/>
                <w:sz w:val="24"/>
                <w:szCs w:val="24"/>
                <w:lang w:eastAsia="zh-CN"/>
              </w:rPr>
              <w:t>标段3被推荐为第一中标候选人的投标人，在之后评审的标段中继续参加评审但将不被推荐为中标候选人。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2.1.1</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2.1.3</w:t>
            </w:r>
          </w:p>
        </w:tc>
        <w:tc>
          <w:tcPr>
            <w:tcW w:w="1607" w:type="dxa"/>
            <w:vAlign w:val="center"/>
          </w:tcPr>
          <w:p>
            <w:pPr>
              <w:adjustRightInd w:val="0"/>
              <w:snapToGri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形式评审与响应性评审标准</w:t>
            </w:r>
          </w:p>
        </w:tc>
        <w:tc>
          <w:tcPr>
            <w:tcW w:w="6547" w:type="dxa"/>
            <w:vAlign w:val="center"/>
          </w:tcPr>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（1）投标文件按照招标文件规定的格式、内容填写，字迹清晰可辨：</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a.投标函按招标文件规定填报了报价、补遗书编号（如有）、标段号；</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b.投标文件组成齐全完整，内容均按规定填写。</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（2）投标文件上法定代表人或其委托代理人的签字、投标人的单位章盖章齐全，符合招标文件规定。</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（3）投标人按照招标文件的规定提供了投标保证金：</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a.投标保证金金额符合招标文件规定的金额，且投标保证金有效期不少于投标有效期；</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b.若投标保证金采用电汇或转账形式提交，投标人应在递交投标文件截止时间之前，将投标保证金由投标人的基本账户转入招标人指定账户；</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c.若投标保证金采用银行保函形式提交，银行保函的格式、开具保函的银行均满足招标文件要求，且在递交投标文件截止时间之前向招标人提交了银行保函原件。</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d. 若投标保证金采用保证保险或担保保函形式提交，需通过投标人基本账户购买电子保证保险或电子担保保函。投标文件中需附：</w:t>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保证保险的复印件或电子担保保函的复印件；</w:t>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购买电子保证保险或电子担保保函凭证的复印件。二者缺一不可。</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（4）投标人法定代表人授权委托代理人签署投标文件的，须提交授权委托书，授权委托书的签字盖章符合招标文件规定。 </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（5）投标人法定代表人亲自签署投标文件的，提供了法定代表人身份证明，法定代表人身份证明的签字盖章符合招标文件规定。</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（6）投标人未以联合体形式投标。</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（7）投标人未对本项目提出分包计划。</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（8）同一投标人未提交两个以上不同的投标文件。</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（9）投标文件载明的招标项目交货期符合招标文件规定。</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（10）投标文件对招标文件的实质性要求和条件作出响应。</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（11）权利义务符合招标文件规定：</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a.投标人应接受招标文件规定的风险划分原则，未提出新的风险划分办法；</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b.投标人未增加招标人的责任范围，或减少投标人义务；</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c.投标人未提出不同的支付办法；</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d.投标人对合同纠纷、事故处理办法未提出异议；</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e.投标人在投标活动中无欺诈行为；</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f.投标人未对合同条款有重要保留。</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(12)投标人名称与营业执照一致，如企业名称有变更的，应提供其变更记录或相关部门的合法批件复印件。</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(13)投标报价未超过最高投标限价。</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(14)投标报价中报价的金额能够确定具体数值。</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(15) 同一投标人未提交两个以上不同的投标报价。</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(16) 按招标人给定的标段划分及招标内容表填报的。</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(17) 投标人根据招标人提供的标段划分及招标内容表填报完成投标报价和投标函大写金额报价一致的。</w:t>
            </w:r>
          </w:p>
          <w:p>
            <w:pPr>
              <w:pStyle w:val="2"/>
              <w:ind w:left="0" w:leftChars="0" w:firstLine="0" w:firstLineChars="0"/>
            </w:pPr>
            <w:r>
              <w:rPr>
                <w:sz w:val="24"/>
              </w:rPr>
              <w:t xml:space="preserve">(18) </w:t>
            </w:r>
            <w:r>
              <w:rPr>
                <w:rFonts w:hint="eastAsia"/>
                <w:sz w:val="24"/>
              </w:rPr>
              <w:t>投标人未对两个以上标段投标。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2.1.2</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资格评审</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标准</w:t>
            </w:r>
          </w:p>
        </w:tc>
        <w:tc>
          <w:tcPr>
            <w:tcW w:w="6547" w:type="dxa"/>
            <w:vAlign w:val="center"/>
          </w:tcPr>
          <w:p>
            <w:pPr>
              <w:tabs>
                <w:tab w:val="left" w:pos="3060"/>
              </w:tabs>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（1）本次招标要求投标人须满足本公告附件1要求的资格审查条件，并具有与本招标项目相应的供货能力；</w:t>
            </w:r>
          </w:p>
          <w:p>
            <w:pPr>
              <w:tabs>
                <w:tab w:val="left" w:pos="3060"/>
              </w:tabs>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（2）投标人的信誉符合招标文件规定；</w:t>
            </w:r>
          </w:p>
          <w:p>
            <w:pPr>
              <w:tabs>
                <w:tab w:val="left" w:pos="3060"/>
              </w:tabs>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wordWrap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shd w:val="clear" w:color="auto" w:fill="FFFFFF" w:themeFill="background1"/>
              </w:rPr>
              <w:t>2.2</w:t>
            </w:r>
          </w:p>
        </w:tc>
        <w:tc>
          <w:tcPr>
            <w:tcW w:w="8154" w:type="dxa"/>
            <w:gridSpan w:val="2"/>
            <w:vAlign w:val="center"/>
          </w:tcPr>
          <w:p>
            <w:pPr>
              <w:wordWrap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shd w:val="clear" w:color="auto" w:fill="FFFFFF" w:themeFill="background1"/>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2.3.1</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分值构成</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（总分100分）</w:t>
            </w:r>
          </w:p>
        </w:tc>
        <w:tc>
          <w:tcPr>
            <w:tcW w:w="6547" w:type="dxa"/>
            <w:vAlign w:val="center"/>
          </w:tcPr>
          <w:p>
            <w:pPr>
              <w:jc w:val="both"/>
              <w:rPr>
                <w:rFonts w:ascii="Times New Roman" w:hAnsi="Times New Roman" w:eastAsia="宋体" w:cs="Times New Roman"/>
                <w:b/>
                <w:sz w:val="24"/>
                <w:szCs w:val="24"/>
                <w:lang w:eastAsia="zh-CN"/>
              </w:rPr>
            </w:pPr>
            <w:r>
              <w:rPr>
                <w:rFonts w:ascii="Times New Roman" w:hAnsi="Times New Roman" w:eastAsia="宋体" w:cs="Times New Roman"/>
                <w:b/>
                <w:sz w:val="24"/>
                <w:szCs w:val="24"/>
                <w:lang w:eastAsia="zh-CN"/>
              </w:rPr>
              <w:t>评分分值构成：</w:t>
            </w:r>
          </w:p>
          <w:p>
            <w:pPr>
              <w:jc w:val="both"/>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技术部分：60分</w:t>
            </w:r>
          </w:p>
          <w:p>
            <w:pPr>
              <w:adjustRightInd w:val="0"/>
              <w:snapToGrid w:val="0"/>
              <w:jc w:val="both"/>
              <w:rPr>
                <w:rFonts w:ascii="Times New Roman" w:hAnsi="Times New Roman" w:eastAsia="宋体" w:cs="Times New Roman"/>
                <w:sz w:val="24"/>
                <w:szCs w:val="24"/>
              </w:rPr>
            </w:pPr>
            <w:r>
              <w:rPr>
                <w:rFonts w:ascii="Times New Roman" w:hAnsi="Times New Roman" w:eastAsia="宋体" w:cs="Times New Roman"/>
                <w:bCs/>
                <w:sz w:val="24"/>
                <w:szCs w:val="24"/>
              </w:rPr>
              <w:t>投标报价：40分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2.3.2</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评标基准价</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计算方法</w:t>
            </w:r>
          </w:p>
        </w:tc>
        <w:tc>
          <w:tcPr>
            <w:tcW w:w="6547" w:type="dxa"/>
            <w:vAlign w:val="center"/>
          </w:tcPr>
          <w:p>
            <w:pPr>
              <w:pStyle w:val="2"/>
              <w:ind w:left="0" w:leftChars="0" w:firstLine="0" w:firstLineChars="0"/>
              <w:rPr>
                <w:sz w:val="24"/>
              </w:rPr>
            </w:pPr>
            <w:r>
              <w:rPr>
                <w:sz w:val="24"/>
              </w:rPr>
              <w:t>评标基准价的计算：</w:t>
            </w:r>
          </w:p>
          <w:p>
            <w:pPr>
              <w:pStyle w:val="2"/>
              <w:ind w:left="0" w:leftChars="0" w:firstLine="0" w:firstLineChars="0"/>
              <w:rPr>
                <w:sz w:val="24"/>
              </w:rPr>
            </w:pPr>
            <w:r>
              <w:rPr>
                <w:sz w:val="24"/>
              </w:rPr>
              <w:t>1、评标价的确定：</w:t>
            </w:r>
          </w:p>
          <w:p>
            <w:pPr>
              <w:pStyle w:val="2"/>
              <w:ind w:left="0" w:leftChars="0" w:firstLine="0" w:firstLineChars="0"/>
              <w:rPr>
                <w:sz w:val="24"/>
              </w:rPr>
            </w:pPr>
            <w:r>
              <w:rPr>
                <w:sz w:val="24"/>
              </w:rPr>
              <w:t>评标价=投标函文字报价</w:t>
            </w:r>
          </w:p>
          <w:p>
            <w:pPr>
              <w:pStyle w:val="2"/>
              <w:ind w:left="0" w:leftChars="0" w:firstLine="0" w:firstLineChars="0"/>
              <w:rPr>
                <w:sz w:val="24"/>
              </w:rPr>
            </w:pPr>
            <w:r>
              <w:rPr>
                <w:sz w:val="24"/>
              </w:rPr>
              <w:t>2、评标价平均值的计算：</w:t>
            </w:r>
          </w:p>
          <w:p>
            <w:pPr>
              <w:pStyle w:val="2"/>
              <w:ind w:left="0" w:leftChars="0" w:firstLine="0" w:firstLineChars="0"/>
              <w:rPr>
                <w:sz w:val="24"/>
              </w:rPr>
            </w:pPr>
            <w:r>
              <w:rPr>
                <w:sz w:val="24"/>
              </w:rPr>
              <w:t>通过初步评审的所有投标人的评标价去掉规定个数的最高值和最低值后的算术平均值即为评标价平均值。</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a、如果参与评标价平均值计算的投标人数量＜6家时，计算评标价平均值时不去最高值和最低值。 </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b、如果6家≤参与评标价平均值计算的投标人数量＜10家时，计算评标价平均值时去掉1个最高值和1个最低值。 </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c、如果10家≤参与评标价平均值计算的投标人数量＜20家时，计算评标价平均值时去掉2个最高值和2个最低值； </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d、如果20家≤参与评标价平均值计算的投标人数量＜30家时，计算评标价平均值时去掉3个最高值和3个最低值； </w:t>
            </w:r>
          </w:p>
          <w:p>
            <w:pPr>
              <w:pStyle w:val="2"/>
              <w:ind w:left="0" w:leftChars="0" w:firstLine="0" w:firstLineChars="0"/>
              <w:rPr>
                <w:spacing w:val="-4"/>
                <w:sz w:val="24"/>
              </w:rPr>
            </w:pPr>
            <w:r>
              <w:rPr>
                <w:spacing w:val="-4"/>
                <w:sz w:val="24"/>
              </w:rPr>
              <w:t>e、如果30家≤参与评标价平均值计算的投标人数量时，计算评标价平均值时去掉5个最高值和5个最低值；</w:t>
            </w:r>
          </w:p>
          <w:p>
            <w:pPr>
              <w:pStyle w:val="2"/>
              <w:ind w:left="0" w:leftChars="0" w:firstLine="0" w:firstLineChars="0"/>
              <w:rPr>
                <w:sz w:val="24"/>
              </w:rPr>
            </w:pPr>
            <w:r>
              <w:rPr>
                <w:sz w:val="24"/>
              </w:rPr>
              <w:t xml:space="preserve">3、评标基准价的确定： </w:t>
            </w:r>
          </w:p>
          <w:p>
            <w:pPr>
              <w:pStyle w:val="2"/>
              <w:ind w:left="0" w:leftChars="0" w:firstLine="0" w:firstLineChars="0"/>
              <w:rPr>
                <w:sz w:val="24"/>
              </w:rPr>
            </w:pPr>
            <w:r>
              <w:rPr>
                <w:sz w:val="24"/>
              </w:rPr>
              <w:t>评标价平均值作为评标基准价。</w:t>
            </w:r>
          </w:p>
          <w:p>
            <w:pPr>
              <w:pStyle w:val="2"/>
              <w:ind w:left="0" w:leftChars="0" w:firstLine="0" w:firstLineChars="0"/>
              <w:rPr>
                <w:sz w:val="24"/>
              </w:rPr>
            </w:pPr>
            <w:r>
              <w:rPr>
                <w:sz w:val="24"/>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eastAsia="zh-CN"/>
              </w:rPr>
              <w:t>3</w:t>
            </w:r>
            <w:r>
              <w:rPr>
                <w:rFonts w:ascii="Times New Roman" w:hAnsi="Times New Roman" w:eastAsia="宋体" w:cs="Times New Roman"/>
                <w:sz w:val="24"/>
                <w:szCs w:val="24"/>
              </w:rPr>
              <w:t>.3</w:t>
            </w:r>
          </w:p>
        </w:tc>
        <w:tc>
          <w:tcPr>
            <w:tcW w:w="1607" w:type="dxa"/>
            <w:vAlign w:val="center"/>
          </w:tcPr>
          <w:p>
            <w:pPr>
              <w:adjustRightInd w:val="0"/>
              <w:snapToGri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评标价的偏差率计算公式</w:t>
            </w:r>
          </w:p>
        </w:tc>
        <w:tc>
          <w:tcPr>
            <w:tcW w:w="6547" w:type="dxa"/>
            <w:vAlign w:val="center"/>
          </w:tcPr>
          <w:p>
            <w:pPr>
              <w:adjustRightInd w:val="0"/>
              <w:snapToGrid w:val="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3.6.1</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信息查询</w:t>
            </w:r>
          </w:p>
        </w:tc>
        <w:tc>
          <w:tcPr>
            <w:tcW w:w="6547" w:type="dxa"/>
            <w:vAlign w:val="center"/>
          </w:tcPr>
          <w:p>
            <w:pPr>
              <w:adjustRightInd w:val="0"/>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在评标过程中，评标委员会应对以下信息进行查询：</w:t>
            </w:r>
          </w:p>
          <w:p>
            <w:pPr>
              <w:snapToGrid w:val="0"/>
              <w:ind w:firstLine="240" w:firstLineChars="1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经营异常名录信息、重大税收违法失信主体和政府采购严重违法失信行为记录名单（均不含分公司）情形的，评标委员会应否决其投标。</w:t>
            </w:r>
          </w:p>
          <w:p>
            <w:pPr>
              <w:snapToGrid w:val="0"/>
              <w:ind w:firstLine="240" w:firstLineChars="1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若投标人未提供相关网页截图或所附截图结果与核查结果不一致的，评标委员会应否决其投标。</w:t>
            </w:r>
          </w:p>
        </w:tc>
      </w:tr>
    </w:tbl>
    <w:p>
      <w:pPr>
        <w:autoSpaceDE w:val="0"/>
        <w:autoSpaceDN w:val="0"/>
        <w:adjustRightInd w:val="0"/>
        <w:snapToGrid w:val="0"/>
        <w:spacing w:line="360" w:lineRule="auto"/>
        <w:ind w:left="119" w:right="113"/>
        <w:rPr>
          <w:rFonts w:ascii="宋体" w:hAnsi="宋体" w:cs="宋体"/>
          <w:szCs w:val="21"/>
          <w:lang w:eastAsia="zh-CN"/>
        </w:rPr>
      </w:pPr>
    </w:p>
    <w:p>
      <w:pPr>
        <w:rPr>
          <w:rFonts w:ascii="宋体" w:hAnsi="宋体" w:cs="宋体"/>
          <w:b/>
          <w:bCs/>
          <w:szCs w:val="21"/>
          <w:lang w:eastAsia="zh-CN"/>
        </w:rPr>
      </w:pPr>
      <w:r>
        <w:rPr>
          <w:rFonts w:hint="eastAsia" w:ascii="宋体" w:hAnsi="宋体" w:cs="宋体"/>
          <w:b/>
          <w:bCs/>
          <w:szCs w:val="21"/>
          <w:lang w:eastAsia="zh-CN"/>
        </w:rPr>
        <w:br w:type="page"/>
      </w:r>
    </w:p>
    <w:p>
      <w:pPr>
        <w:pStyle w:val="16"/>
        <w:jc w:val="left"/>
        <w:outlineLvl w:val="0"/>
        <w:rPr>
          <w:rFonts w:ascii="宋体" w:hAnsi="宋体" w:eastAsia="宋体" w:cs="宋体"/>
          <w:b w:val="0"/>
          <w:bCs/>
          <w:sz w:val="24"/>
          <w:szCs w:val="24"/>
        </w:rPr>
      </w:pPr>
      <w:r>
        <w:rPr>
          <w:rFonts w:hint="eastAsia" w:ascii="宋体" w:hAnsi="宋体" w:eastAsia="宋体" w:cs="宋体"/>
          <w:bCs/>
          <w:sz w:val="24"/>
          <w:szCs w:val="24"/>
        </w:rPr>
        <w:t>评分标准</w:t>
      </w:r>
    </w:p>
    <w:p>
      <w:pPr>
        <w:pStyle w:val="16"/>
        <w:jc w:val="left"/>
        <w:outlineLvl w:val="0"/>
        <w:rPr>
          <w:rFonts w:ascii="宋体" w:hAnsi="宋体" w:eastAsia="宋体" w:cs="宋体"/>
          <w:szCs w:val="21"/>
        </w:rPr>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85"/>
        <w:gridCol w:w="1128"/>
        <w:gridCol w:w="1677"/>
        <w:gridCol w:w="358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6"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条款号</w:t>
            </w:r>
          </w:p>
        </w:tc>
        <w:tc>
          <w:tcPr>
            <w:tcW w:w="2805"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评分因素</w:t>
            </w:r>
          </w:p>
        </w:tc>
        <w:tc>
          <w:tcPr>
            <w:tcW w:w="4800"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restart"/>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技术部分</w:t>
            </w:r>
          </w:p>
        </w:tc>
        <w:tc>
          <w:tcPr>
            <w:tcW w:w="785" w:type="dxa"/>
            <w:vMerge w:val="restart"/>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2.3.4（</w:t>
            </w:r>
            <w:r>
              <w:rPr>
                <w:rFonts w:ascii="Times New Roman" w:hAnsi="Times New Roman" w:eastAsia="宋体" w:cs="Times New Roman"/>
                <w:bCs/>
                <w:sz w:val="24"/>
                <w:szCs w:val="24"/>
                <w:lang w:eastAsia="zh-CN"/>
              </w:rPr>
              <w:t>1</w:t>
            </w:r>
            <w:r>
              <w:rPr>
                <w:rFonts w:ascii="Times New Roman" w:hAnsi="Times New Roman" w:eastAsia="宋体" w:cs="Times New Roman"/>
                <w:bCs/>
                <w:sz w:val="24"/>
                <w:szCs w:val="24"/>
              </w:rPr>
              <w:t>）</w:t>
            </w:r>
          </w:p>
        </w:tc>
        <w:tc>
          <w:tcPr>
            <w:tcW w:w="1128" w:type="dxa"/>
            <w:vMerge w:val="restart"/>
            <w:vAlign w:val="center"/>
          </w:tcPr>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服务方案评分标准</w:t>
            </w:r>
          </w:p>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（60分）</w:t>
            </w:r>
          </w:p>
        </w:tc>
        <w:tc>
          <w:tcPr>
            <w:tcW w:w="1677" w:type="dxa"/>
            <w:vMerge w:val="restart"/>
            <w:vAlign w:val="center"/>
          </w:tcPr>
          <w:p>
            <w:pPr>
              <w:jc w:val="center"/>
              <w:rPr>
                <w:rFonts w:ascii="Times New Roman" w:hAnsi="Times New Roman" w:eastAsia="宋体" w:cs="Times New Roman"/>
                <w:spacing w:val="12"/>
                <w:sz w:val="24"/>
                <w:szCs w:val="24"/>
                <w:lang w:eastAsia="zh-CN"/>
              </w:rPr>
            </w:pPr>
            <w:r>
              <w:rPr>
                <w:rFonts w:ascii="Times New Roman" w:hAnsi="Times New Roman" w:eastAsia="宋体" w:cs="Times New Roman"/>
                <w:spacing w:val="12"/>
                <w:sz w:val="24"/>
                <w:szCs w:val="24"/>
                <w:lang w:eastAsia="zh-CN"/>
              </w:rPr>
              <w:t>投标</w:t>
            </w:r>
            <w:r>
              <w:rPr>
                <w:rFonts w:hint="eastAsia" w:ascii="Times New Roman" w:hAnsi="Times New Roman" w:eastAsia="宋体" w:cs="Times New Roman"/>
                <w:spacing w:val="12"/>
                <w:sz w:val="24"/>
                <w:szCs w:val="24"/>
                <w:lang w:eastAsia="zh-CN"/>
              </w:rPr>
              <w:t>人综合能力</w:t>
            </w:r>
            <w:r>
              <w:rPr>
                <w:rFonts w:ascii="Times New Roman" w:hAnsi="Times New Roman" w:eastAsia="宋体" w:cs="Times New Roman"/>
                <w:spacing w:val="12"/>
                <w:sz w:val="24"/>
                <w:szCs w:val="24"/>
                <w:lang w:eastAsia="zh-CN"/>
              </w:rPr>
              <w:t>评价</w:t>
            </w:r>
          </w:p>
          <w:p>
            <w:pPr>
              <w:jc w:val="center"/>
              <w:rPr>
                <w:lang w:eastAsia="zh-CN"/>
              </w:rPr>
            </w:pPr>
            <w:r>
              <w:rPr>
                <w:rFonts w:hint="eastAsia" w:ascii="Times New Roman" w:hAnsi="Times New Roman" w:cs="Times New Roman"/>
                <w:bCs/>
                <w:sz w:val="24"/>
                <w:szCs w:val="24"/>
                <w:lang w:eastAsia="zh-CN"/>
              </w:rPr>
              <w:t>(2</w:t>
            </w:r>
            <w:r>
              <w:rPr>
                <w:rFonts w:ascii="Times New Roman" w:hAnsi="Times New Roman" w:cs="Times New Roman"/>
                <w:bCs/>
                <w:sz w:val="24"/>
                <w:szCs w:val="24"/>
                <w:lang w:eastAsia="zh-CN"/>
              </w:rPr>
              <w:t>5</w:t>
            </w:r>
            <w:r>
              <w:rPr>
                <w:rFonts w:hint="eastAsia" w:ascii="Times New Roman" w:hAnsi="Times New Roman" w:cs="Times New Roman"/>
                <w:bCs/>
                <w:sz w:val="24"/>
                <w:szCs w:val="24"/>
                <w:lang w:eastAsia="zh-CN"/>
              </w:rPr>
              <w:t>分)</w:t>
            </w:r>
          </w:p>
        </w:tc>
        <w:tc>
          <w:tcPr>
            <w:tcW w:w="3583" w:type="dxa"/>
            <w:vAlign w:val="center"/>
          </w:tcPr>
          <w:p>
            <w:pPr>
              <w:jc w:val="both"/>
              <w:rPr>
                <w:rFonts w:ascii="Times New Roman" w:hAnsi="Times New Roman" w:eastAsia="宋体" w:cs="Times New Roman"/>
                <w:bCs/>
                <w:sz w:val="24"/>
                <w:szCs w:val="24"/>
                <w:lang w:eastAsia="zh-CN"/>
              </w:rPr>
            </w:pPr>
            <w:r>
              <w:rPr>
                <w:rFonts w:hint="eastAsia" w:ascii="Times New Roman" w:hAnsi="Times New Roman" w:eastAsia="宋体" w:cs="Times New Roman"/>
                <w:spacing w:val="12"/>
                <w:sz w:val="24"/>
                <w:szCs w:val="24"/>
                <w:lang w:eastAsia="zh-CN"/>
              </w:rPr>
              <w:t>质保期限长、故障响应时间短、常驻服务人员多，投标人综合能力强，能很好满足招标文件要求</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21.0-25.0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bCs/>
                <w:sz w:val="24"/>
                <w:szCs w:val="24"/>
                <w:lang w:eastAsia="zh-CN"/>
              </w:rPr>
            </w:pPr>
            <w:r>
              <w:rPr>
                <w:rFonts w:hint="eastAsia" w:ascii="Times New Roman" w:hAnsi="Times New Roman" w:eastAsia="宋体" w:cs="Times New Roman"/>
                <w:spacing w:val="12"/>
                <w:sz w:val="24"/>
                <w:szCs w:val="24"/>
                <w:lang w:eastAsia="zh-CN"/>
              </w:rPr>
              <w:t>质保期限较长、故障响应时间较短、常驻服务人员较多，投标人综合能力较强，能较好满足招标文件要求</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18.0-21.0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bCs/>
                <w:sz w:val="24"/>
                <w:szCs w:val="24"/>
                <w:lang w:eastAsia="zh-CN"/>
              </w:rPr>
            </w:pPr>
            <w:r>
              <w:rPr>
                <w:rFonts w:hint="eastAsia" w:ascii="Times New Roman" w:hAnsi="Times New Roman" w:eastAsia="宋体" w:cs="Times New Roman"/>
                <w:spacing w:val="12"/>
                <w:sz w:val="24"/>
                <w:szCs w:val="24"/>
                <w:lang w:eastAsia="zh-CN"/>
              </w:rPr>
              <w:t>质保期限短、故障响应时间长、常驻服务人少，投标人综合能力一般，满足招标文件要求</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restart"/>
            <w:vAlign w:val="center"/>
          </w:tcPr>
          <w:p>
            <w:pPr>
              <w:jc w:val="center"/>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车辆主要配置及</w:t>
            </w:r>
            <w:r>
              <w:rPr>
                <w:rFonts w:ascii="Times New Roman" w:hAnsi="Times New Roman" w:eastAsia="宋体" w:cs="Times New Roman"/>
                <w:spacing w:val="12"/>
                <w:sz w:val="24"/>
                <w:szCs w:val="24"/>
                <w:lang w:eastAsia="zh-CN"/>
              </w:rPr>
              <w:t>投标设备技术性能指标的响应程度</w:t>
            </w:r>
            <w:r>
              <w:rPr>
                <w:rFonts w:hint="eastAsia" w:ascii="Times New Roman" w:hAnsi="Times New Roman" w:eastAsia="宋体" w:cs="Times New Roman"/>
                <w:spacing w:val="12"/>
                <w:sz w:val="24"/>
                <w:szCs w:val="24"/>
                <w:lang w:eastAsia="zh-CN"/>
              </w:rPr>
              <w:t>评价</w:t>
            </w:r>
          </w:p>
          <w:p>
            <w:pPr>
              <w:jc w:val="center"/>
              <w:rPr>
                <w:rFonts w:ascii="Times New Roman" w:hAnsi="Times New Roman" w:eastAsia="宋体" w:cs="Times New Roman"/>
                <w:spacing w:val="12"/>
                <w:sz w:val="24"/>
                <w:szCs w:val="24"/>
                <w:lang w:eastAsia="zh-CN"/>
              </w:rPr>
            </w:pPr>
            <w:r>
              <w:rPr>
                <w:rFonts w:hint="eastAsia" w:ascii="Times New Roman" w:hAnsi="Times New Roman" w:cs="Times New Roman"/>
                <w:bCs/>
                <w:sz w:val="24"/>
                <w:szCs w:val="24"/>
                <w:lang w:eastAsia="zh-CN"/>
              </w:rPr>
              <w:t>（1</w:t>
            </w:r>
            <w:r>
              <w:rPr>
                <w:rFonts w:ascii="Times New Roman" w:hAnsi="Times New Roman" w:cs="Times New Roman"/>
                <w:bCs/>
                <w:sz w:val="24"/>
                <w:szCs w:val="24"/>
                <w:lang w:eastAsia="zh-CN"/>
              </w:rPr>
              <w:t>5</w:t>
            </w:r>
            <w:r>
              <w:rPr>
                <w:rFonts w:hint="eastAsia" w:ascii="Times New Roman" w:hAnsi="Times New Roman" w:cs="Times New Roman"/>
                <w:bCs/>
                <w:sz w:val="24"/>
                <w:szCs w:val="24"/>
                <w:lang w:eastAsia="zh-CN"/>
              </w:rPr>
              <w:t>分）</w:t>
            </w: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车辆功能配置齐全、实用性强、外观、内饰、工艺好，主要零部件的性能参数高</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1</w:t>
            </w:r>
            <w:r>
              <w:rPr>
                <w:rFonts w:ascii="Times New Roman" w:hAnsi="Times New Roman"/>
                <w:bCs/>
              </w:rPr>
              <w:t>3</w:t>
            </w:r>
            <w:r>
              <w:rPr>
                <w:rFonts w:hint="eastAsia" w:ascii="Times New Roman" w:hAnsi="Times New Roman"/>
                <w:bCs/>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spacing w:val="12"/>
                <w:sz w:val="24"/>
                <w:szCs w:val="24"/>
                <w:lang w:eastAsia="zh-CN"/>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车辆功能配置较齐全、实用性较强、外观、内饰、工艺较好，主要零部件的性能参数较高</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11</w:t>
            </w:r>
            <w:r>
              <w:rPr>
                <w:rFonts w:hint="eastAsia" w:ascii="Times New Roman" w:hAnsi="Times New Roman"/>
                <w:bCs/>
              </w:rPr>
              <w:t>.</w:t>
            </w:r>
            <w:r>
              <w:rPr>
                <w:rFonts w:ascii="Times New Roman" w:hAnsi="Times New Roman"/>
                <w:bCs/>
              </w:rPr>
              <w:t>0</w:t>
            </w:r>
            <w:r>
              <w:rPr>
                <w:rFonts w:hint="eastAsia" w:ascii="Times New Roman" w:hAnsi="Times New Roman"/>
                <w:bCs/>
              </w:rPr>
              <w:t>-1</w:t>
            </w:r>
            <w:r>
              <w:rPr>
                <w:rFonts w:ascii="Times New Roman" w:hAnsi="Times New Roman"/>
                <w:bCs/>
              </w:rPr>
              <w:t>3</w:t>
            </w:r>
            <w:r>
              <w:rPr>
                <w:rFonts w:hint="eastAsia" w:ascii="Times New Roman" w:hAnsi="Times New Roman"/>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spacing w:val="12"/>
                <w:sz w:val="24"/>
                <w:szCs w:val="24"/>
                <w:lang w:eastAsia="zh-CN"/>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车辆功能配置一般、实用性一般、外观、内饰、工艺一般，主要零部件的性能参数一般</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9.0</w:t>
            </w:r>
            <w:r>
              <w:rPr>
                <w:rFonts w:ascii="Times New Roman" w:hAnsi="Times New Roman"/>
                <w:bC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restart"/>
            <w:vAlign w:val="center"/>
          </w:tcPr>
          <w:p>
            <w:pPr>
              <w:jc w:val="center"/>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交货期服务方案及服务能力评价</w:t>
            </w:r>
          </w:p>
          <w:p>
            <w:pPr>
              <w:jc w:val="center"/>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(10分)</w:t>
            </w: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配送及时、安全可靠、有良好的相关配套增值服务方案</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9.0-</w:t>
            </w:r>
            <w:r>
              <w:rPr>
                <w:rFonts w:hint="eastAsia" w:ascii="Times New Roman" w:hAnsi="Times New Roman"/>
                <w:bCs/>
              </w:rPr>
              <w:t>1</w:t>
            </w:r>
            <w:r>
              <w:rPr>
                <w:rFonts w:ascii="Times New Roman" w:hAnsi="Times New Roman"/>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配送较及时、较安全可靠、有较好的相关配套增值服务方案</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配送时效性一般、安全可靠性一般、相关配套增值服务方案一般</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6</w:t>
            </w:r>
            <w:r>
              <w:rPr>
                <w:rFonts w:ascii="Times New Roman" w:hAnsi="Times New Roman"/>
                <w:bCs/>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restart"/>
            <w:vAlign w:val="center"/>
          </w:tcPr>
          <w:p>
            <w:pPr>
              <w:wordWrap w:val="0"/>
              <w:adjustRightInd w:val="0"/>
              <w:snapToGrid w:val="0"/>
              <w:spacing w:line="300" w:lineRule="exact"/>
              <w:jc w:val="center"/>
              <w:rPr>
                <w:rFonts w:ascii="Times New Roman" w:hAnsi="Times New Roman" w:eastAsia="宋体" w:cs="Times New Roman"/>
                <w:sz w:val="24"/>
                <w:szCs w:val="24"/>
                <w:shd w:val="clear" w:color="auto" w:fill="FFFFFF"/>
                <w:lang w:eastAsia="zh-CN"/>
              </w:rPr>
            </w:pPr>
            <w:r>
              <w:rPr>
                <w:rFonts w:ascii="Times New Roman" w:hAnsi="Times New Roman" w:eastAsia="宋体" w:cs="Times New Roman"/>
                <w:sz w:val="24"/>
                <w:szCs w:val="24"/>
                <w:shd w:val="clear" w:color="auto" w:fill="FFFFFF"/>
                <w:lang w:eastAsia="zh-CN"/>
              </w:rPr>
              <w:t>技术服务和质保期服务能力的评价</w:t>
            </w:r>
          </w:p>
          <w:p>
            <w:pPr>
              <w:wordWrap w:val="0"/>
              <w:adjustRightInd w:val="0"/>
              <w:snapToGrid w:val="0"/>
              <w:spacing w:line="300" w:lineRule="exact"/>
              <w:jc w:val="center"/>
              <w:rPr>
                <w:rFonts w:ascii="Times New Roman" w:hAnsi="Times New Roman" w:cs="Times New Roman"/>
                <w:bCs/>
                <w:sz w:val="24"/>
                <w:szCs w:val="24"/>
                <w:lang w:eastAsia="zh-CN"/>
              </w:rPr>
            </w:pPr>
            <w:r>
              <w:rPr>
                <w:rFonts w:hint="eastAsia" w:ascii="Times New Roman" w:hAnsi="Times New Roman" w:cs="Times New Roman"/>
                <w:bCs/>
                <w:sz w:val="24"/>
                <w:szCs w:val="24"/>
                <w:lang w:eastAsia="zh-CN"/>
              </w:rPr>
              <w:t>(10分)</w:t>
            </w: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技术服务能力、维保能力强，优惠政策好、有良好的保养检测等售后服务</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9.0-</w:t>
            </w:r>
            <w:r>
              <w:rPr>
                <w:rFonts w:hint="eastAsia" w:ascii="Times New Roman" w:hAnsi="Times New Roman"/>
                <w:bCs/>
              </w:rPr>
              <w:t>1</w:t>
            </w:r>
            <w:r>
              <w:rPr>
                <w:rFonts w:ascii="Times New Roman" w:hAnsi="Times New Roman"/>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技术服务能力、维保能力较强，优惠政策较好、有较好的保养检测等售后服务</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技术服务能力、维保能力一般，优惠政策一般、保养检测等售后服务一般</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6</w:t>
            </w:r>
            <w:r>
              <w:rPr>
                <w:rFonts w:ascii="Times New Roman" w:hAnsi="Times New Roman"/>
                <w:bCs/>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81" w:type="dxa"/>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投标报价</w:t>
            </w:r>
          </w:p>
        </w:tc>
        <w:tc>
          <w:tcPr>
            <w:tcW w:w="1913"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2.3.4（</w:t>
            </w:r>
            <w:r>
              <w:rPr>
                <w:rFonts w:ascii="Times New Roman" w:hAnsi="Times New Roman" w:eastAsia="宋体" w:cs="Times New Roman"/>
                <w:bCs/>
                <w:sz w:val="24"/>
                <w:szCs w:val="24"/>
                <w:lang w:eastAsia="zh-CN"/>
              </w:rPr>
              <w:t>2</w:t>
            </w:r>
            <w:r>
              <w:rPr>
                <w:rFonts w:ascii="Times New Roman" w:hAnsi="Times New Roman" w:eastAsia="宋体" w:cs="Times New Roman"/>
                <w:bCs/>
                <w:sz w:val="24"/>
                <w:szCs w:val="24"/>
              </w:rPr>
              <w:t>）</w:t>
            </w:r>
          </w:p>
        </w:tc>
        <w:tc>
          <w:tcPr>
            <w:tcW w:w="1677" w:type="dxa"/>
            <w:vAlign w:val="center"/>
          </w:tcPr>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投标报价评分</w:t>
            </w:r>
          </w:p>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标准</w:t>
            </w:r>
          </w:p>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（40分）</w:t>
            </w:r>
          </w:p>
        </w:tc>
        <w:tc>
          <w:tcPr>
            <w:tcW w:w="4800" w:type="dxa"/>
            <w:gridSpan w:val="2"/>
            <w:vAlign w:val="center"/>
          </w:tcPr>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投标报价得分计算公式：</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(1)如果投标人的有效投标报价＞评标基准价，则投标报价得分=40-偏差率×100×E1；</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(2)如果投标人的有效投标报价≤评标基准价，则投标报价得分=40+偏差率×100×E2。</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其中：</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E1是有效投标报价每高于评标基准价一个百分点的扣分值，E1＝0.</w:t>
            </w:r>
            <w:r>
              <w:rPr>
                <w:rFonts w:hint="eastAsia" w:ascii="Times New Roman" w:hAnsi="Times New Roman" w:eastAsia="宋体" w:cs="Times New Roman"/>
                <w:sz w:val="24"/>
                <w:szCs w:val="24"/>
                <w:lang w:eastAsia="zh-CN"/>
              </w:rPr>
              <w:t>2</w:t>
            </w:r>
            <w:r>
              <w:rPr>
                <w:rFonts w:ascii="Times New Roman" w:hAnsi="Times New Roman" w:eastAsia="宋体" w:cs="Times New Roman"/>
                <w:sz w:val="24"/>
                <w:szCs w:val="24"/>
                <w:lang w:eastAsia="zh-CN"/>
              </w:rPr>
              <w:t>；</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E2是有效投标报价每低于评标基准价一个百分点的扣分值，E2＝0.</w:t>
            </w:r>
            <w:r>
              <w:rPr>
                <w:rFonts w:hint="eastAsia" w:ascii="Times New Roman" w:hAnsi="Times New Roman" w:eastAsia="宋体" w:cs="Times New Roman"/>
                <w:sz w:val="24"/>
                <w:szCs w:val="24"/>
                <w:lang w:eastAsia="zh-CN"/>
              </w:rPr>
              <w:t>1</w:t>
            </w:r>
            <w:r>
              <w:rPr>
                <w:rFonts w:ascii="Times New Roman" w:hAnsi="Times New Roman" w:eastAsia="宋体" w:cs="Times New Roman"/>
                <w:sz w:val="24"/>
                <w:szCs w:val="24"/>
                <w:lang w:eastAsia="zh-CN"/>
              </w:rPr>
              <w:t>。</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投标价最低得分为0分。投标报价得分保留小数点后两位，小数点后第三位“四舍五入”。</w:t>
            </w:r>
          </w:p>
        </w:tc>
      </w:tr>
    </w:tbl>
    <w:p>
      <w:pPr>
        <w:adjustRightInd w:val="0"/>
        <w:spacing w:line="400" w:lineRule="exact"/>
        <w:rPr>
          <w:rFonts w:ascii="宋体" w:hAnsi="宋体"/>
          <w:sz w:val="24"/>
          <w:lang w:eastAsia="zh-CN"/>
        </w:rPr>
      </w:pPr>
      <w:r>
        <w:rPr>
          <w:rFonts w:hint="eastAsia" w:ascii="宋体" w:hAnsi="宋体"/>
          <w:sz w:val="24"/>
          <w:lang w:eastAsia="zh-CN"/>
        </w:rPr>
        <w:t>注：1、评审因素得分应以评标委员会各成员的打分平均值确定；</w:t>
      </w:r>
    </w:p>
    <w:p>
      <w:pPr>
        <w:adjustRightInd w:val="0"/>
        <w:spacing w:line="400" w:lineRule="exact"/>
        <w:ind w:firstLine="480" w:firstLineChars="200"/>
        <w:rPr>
          <w:rFonts w:ascii="宋体" w:hAnsi="宋体"/>
          <w:sz w:val="24"/>
          <w:lang w:eastAsia="zh-CN"/>
        </w:rPr>
      </w:pPr>
      <w:r>
        <w:rPr>
          <w:rFonts w:hint="eastAsia" w:ascii="宋体" w:hAnsi="宋体"/>
          <w:sz w:val="24"/>
          <w:lang w:eastAsia="zh-CN"/>
        </w:rPr>
        <w:t>2、服务方案各评分因素细分项的细分项缺项则该项得0分；</w:t>
      </w:r>
    </w:p>
    <w:p>
      <w:pPr>
        <w:adjustRightInd w:val="0"/>
        <w:spacing w:line="400" w:lineRule="exact"/>
        <w:ind w:firstLine="480" w:firstLineChars="200"/>
        <w:rPr>
          <w:rFonts w:ascii="宋体" w:hAnsi="宋体"/>
          <w:sz w:val="24"/>
          <w:lang w:eastAsia="zh-CN"/>
        </w:rPr>
      </w:pPr>
      <w:r>
        <w:rPr>
          <w:rFonts w:hint="eastAsia" w:ascii="宋体" w:hAnsi="宋体"/>
          <w:sz w:val="24"/>
          <w:lang w:eastAsia="zh-CN"/>
        </w:rPr>
        <w:t>3、服务方案评分时保留1位小数，评标价得分计算时保留两位小数。</w:t>
      </w:r>
    </w:p>
    <w:p>
      <w:pPr>
        <w:widowControl/>
        <w:rPr>
          <w:rFonts w:ascii="宋体" w:hAnsi="宋体"/>
          <w:sz w:val="24"/>
          <w:lang w:eastAsia="zh-CN"/>
        </w:rPr>
      </w:pPr>
      <w:r>
        <w:rPr>
          <w:rFonts w:ascii="宋体" w:hAnsi="宋体"/>
          <w:sz w:val="24"/>
          <w:lang w:eastAsia="zh-CN"/>
        </w:rPr>
        <w:br w:type="page"/>
      </w:r>
    </w:p>
    <w:p>
      <w:pPr>
        <w:pStyle w:val="5"/>
        <w:ind w:left="0" w:firstLine="0"/>
        <w:rPr>
          <w:rFonts w:ascii="宋体" w:hAnsi="宋体" w:cs="宋体"/>
        </w:rPr>
      </w:pPr>
      <w:r>
        <w:rPr>
          <w:rFonts w:hint="eastAsia" w:ascii="宋体" w:hAnsi="宋体" w:cs="宋体"/>
        </w:rPr>
        <w:t>附件3：标段划分及招标内容表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276"/>
        <w:gridCol w:w="708"/>
        <w:gridCol w:w="1418"/>
        <w:gridCol w:w="1276"/>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rPr>
            </w:pPr>
            <w:bookmarkStart w:id="8" w:name="_Hlk138842293"/>
            <w:r>
              <w:rPr>
                <w:rFonts w:ascii="宋体" w:hAnsi="宋体" w:eastAsia="宋体" w:cs="Times New Roman"/>
                <w:b/>
                <w:bCs/>
                <w:sz w:val="24"/>
                <w:szCs w:val="24"/>
                <w:lang w:eastAsia="zh-CN"/>
              </w:rPr>
              <w:br w:type="page"/>
            </w:r>
            <w:r>
              <w:rPr>
                <w:rFonts w:ascii="宋体" w:hAnsi="宋体" w:eastAsia="宋体" w:cs="Times New Roman"/>
                <w:b/>
                <w:bCs/>
                <w:sz w:val="24"/>
                <w:szCs w:val="24"/>
              </w:rPr>
              <w:t>标段</w:t>
            </w:r>
          </w:p>
        </w:tc>
        <w:tc>
          <w:tcPr>
            <w:tcW w:w="127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车辆类别</w:t>
            </w:r>
          </w:p>
        </w:tc>
        <w:tc>
          <w:tcPr>
            <w:tcW w:w="70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数量</w:t>
            </w:r>
          </w:p>
        </w:tc>
        <w:tc>
          <w:tcPr>
            <w:tcW w:w="141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限价</w:t>
            </w:r>
          </w:p>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（万元/辆）</w:t>
            </w:r>
          </w:p>
        </w:tc>
        <w:tc>
          <w:tcPr>
            <w:tcW w:w="127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车身颜色</w:t>
            </w:r>
          </w:p>
        </w:tc>
        <w:tc>
          <w:tcPr>
            <w:tcW w:w="3485"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采购需求部门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rPr>
              <w:t>标段</w:t>
            </w:r>
            <w:r>
              <w:rPr>
                <w:rFonts w:hint="eastAsia" w:ascii="宋体" w:hAnsi="宋体" w:eastAsia="宋体" w:cs="Times New Roman"/>
                <w:sz w:val="24"/>
                <w:szCs w:val="24"/>
                <w:lang w:eastAsia="zh-CN"/>
              </w:rPr>
              <w:t>1</w:t>
            </w:r>
          </w:p>
        </w:tc>
        <w:tc>
          <w:tcPr>
            <w:tcW w:w="127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商务</w:t>
            </w:r>
          </w:p>
        </w:tc>
        <w:tc>
          <w:tcPr>
            <w:tcW w:w="70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w:t>
            </w:r>
          </w:p>
        </w:tc>
        <w:tc>
          <w:tcPr>
            <w:tcW w:w="141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38</w:t>
            </w:r>
          </w:p>
        </w:tc>
        <w:tc>
          <w:tcPr>
            <w:tcW w:w="127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灰色</w:t>
            </w:r>
          </w:p>
        </w:tc>
        <w:tc>
          <w:tcPr>
            <w:tcW w:w="3485"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河北高速公路集团有限公司总部3辆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08"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2</w:t>
            </w:r>
          </w:p>
        </w:tc>
        <w:tc>
          <w:tcPr>
            <w:tcW w:w="1276"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商务</w:t>
            </w:r>
          </w:p>
        </w:tc>
        <w:tc>
          <w:tcPr>
            <w:tcW w:w="70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w:t>
            </w:r>
          </w:p>
        </w:tc>
        <w:tc>
          <w:tcPr>
            <w:tcW w:w="141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28</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灰色</w:t>
            </w:r>
          </w:p>
        </w:tc>
        <w:tc>
          <w:tcPr>
            <w:tcW w:w="348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河北高速公路集团有限公司京哈北线分公司、河北高速公路集团有限公司邢衡邢台分公司、河北高速公路集团有限公司青银分公司、河北高速公路集团有限公司张涿分公司、河北高速集团工程咨询有限公司、河北高速集团资源开发运营有限公司、河北高速公路集团有限公司项目开发办公室、河北金牛化工股份有限公司、河北高速邯港高速公路有限公司各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4</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越野车</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18</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白色</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河北高速邯港高速公路有限公司5辆、河北高速集团工程咨询有限公司1辆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5</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trike/>
                <w:sz w:val="24"/>
                <w:szCs w:val="24"/>
                <w:lang w:eastAsia="zh-CN"/>
              </w:rPr>
            </w:pPr>
            <w:r>
              <w:rPr>
                <w:rFonts w:ascii="Times New Roman" w:hAnsi="Times New Roman" w:eastAsia="宋体" w:cs="Times New Roman"/>
                <w:sz w:val="24"/>
                <w:szCs w:val="24"/>
              </w:rPr>
              <w:t>小型车</w:t>
            </w:r>
          </w:p>
        </w:tc>
        <w:tc>
          <w:tcPr>
            <w:tcW w:w="70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trike/>
                <w:sz w:val="24"/>
                <w:szCs w:val="24"/>
                <w:lang w:eastAsia="zh-CN"/>
              </w:rPr>
            </w:pPr>
            <w:r>
              <w:rPr>
                <w:rFonts w:ascii="Times New Roman" w:hAnsi="Times New Roman" w:eastAsia="宋体" w:cs="Times New Roman"/>
                <w:sz w:val="24"/>
                <w:szCs w:val="24"/>
                <w:lang w:eastAsia="zh-CN"/>
              </w:rPr>
              <w:t>2</w:t>
            </w:r>
          </w:p>
        </w:tc>
        <w:tc>
          <w:tcPr>
            <w:tcW w:w="141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strike/>
                <w:sz w:val="24"/>
                <w:szCs w:val="24"/>
                <w:lang w:eastAsia="zh-CN"/>
              </w:rPr>
            </w:pPr>
            <w:r>
              <w:rPr>
                <w:rFonts w:ascii="Times New Roman" w:hAnsi="Times New Roman" w:eastAsia="宋体" w:cs="Times New Roman"/>
                <w:sz w:val="24"/>
                <w:szCs w:val="24"/>
                <w:lang w:eastAsia="zh-CN"/>
              </w:rPr>
              <w:t>18</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trike/>
                <w:sz w:val="24"/>
                <w:szCs w:val="24"/>
                <w:lang w:eastAsia="zh-CN"/>
              </w:rPr>
            </w:pPr>
            <w:r>
              <w:rPr>
                <w:rFonts w:ascii="Times New Roman" w:hAnsi="Times New Roman" w:eastAsia="宋体" w:cs="Times New Roman"/>
                <w:sz w:val="24"/>
                <w:szCs w:val="24"/>
                <w:lang w:eastAsia="zh-CN"/>
              </w:rPr>
              <w:t>黑色</w:t>
            </w:r>
          </w:p>
        </w:tc>
        <w:tc>
          <w:tcPr>
            <w:tcW w:w="34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trike/>
                <w:sz w:val="24"/>
                <w:szCs w:val="24"/>
                <w:lang w:eastAsia="zh-CN"/>
              </w:rPr>
            </w:pPr>
            <w:r>
              <w:rPr>
                <w:rFonts w:ascii="Times New Roman" w:hAnsi="Times New Roman" w:eastAsia="宋体" w:cs="Times New Roman"/>
                <w:sz w:val="24"/>
                <w:szCs w:val="24"/>
                <w:lang w:eastAsia="zh-CN"/>
              </w:rPr>
              <w:t>河北高速公路集团有限公司项目开发办公室、河北金牛化工股份有限公司各1辆</w:t>
            </w:r>
          </w:p>
        </w:tc>
      </w:tr>
      <w:bookmarkEnd w:id="8"/>
    </w:tbl>
    <w:p>
      <w:pPr>
        <w:pStyle w:val="13"/>
        <w:spacing w:line="360" w:lineRule="auto"/>
        <w:ind w:left="300" w:hanging="300" w:hangingChars="125"/>
        <w:jc w:val="both"/>
        <w:outlineLvl w:val="1"/>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注：各标段中标人需与各采购需求部门签订车辆采购合同并按照各采购需求部门指定地点分别供货。</w:t>
      </w:r>
    </w:p>
    <w:bookmarkEnd w:id="4"/>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C60C4"/>
    <w:rsid w:val="00C05D33"/>
    <w:rsid w:val="00C23F0D"/>
    <w:rsid w:val="00FC60C4"/>
    <w:rsid w:val="0230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5">
    <w:name w:val="heading 4"/>
    <w:basedOn w:val="1"/>
    <w:next w:val="1"/>
    <w:link w:val="9"/>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11"/>
    <w:qFormat/>
    <w:uiPriority w:val="0"/>
    <w:pPr>
      <w:ind w:firstLine="420" w:firstLineChars="200"/>
      <w:jc w:val="both"/>
    </w:pPr>
    <w:rPr>
      <w:rFonts w:ascii="Times New Roman" w:hAnsi="Times New Roman" w:eastAsia="宋体" w:cs="Times New Roman"/>
      <w:kern w:val="2"/>
      <w:sz w:val="21"/>
      <w:szCs w:val="24"/>
      <w:lang w:eastAsia="zh-CN"/>
    </w:rPr>
  </w:style>
  <w:style w:type="paragraph" w:styleId="3">
    <w:name w:val="Body Text Indent"/>
    <w:basedOn w:val="1"/>
    <w:link w:val="10"/>
    <w:semiHidden/>
    <w:unhideWhenUsed/>
    <w:uiPriority w:val="99"/>
    <w:pPr>
      <w:spacing w:after="120"/>
      <w:ind w:left="420" w:leftChars="200"/>
    </w:pPr>
  </w:style>
  <w:style w:type="paragraph" w:styleId="4">
    <w:name w:val="annotation text"/>
    <w:basedOn w:val="1"/>
    <w:link w:val="19"/>
    <w:semiHidden/>
    <w:unhideWhenUsed/>
    <w:uiPriority w:val="99"/>
  </w:style>
  <w:style w:type="paragraph" w:styleId="6">
    <w:name w:val="Body Text"/>
    <w:basedOn w:val="1"/>
    <w:next w:val="1"/>
    <w:link w:val="12"/>
    <w:qFormat/>
    <w:uiPriority w:val="0"/>
    <w:pPr>
      <w:ind w:left="100"/>
    </w:pPr>
    <w:rPr>
      <w:rFonts w:ascii="宋体" w:hAnsi="宋体" w:eastAsia="宋体"/>
      <w:sz w:val="21"/>
      <w:szCs w:val="21"/>
    </w:rPr>
  </w:style>
  <w:style w:type="character" w:customStyle="1" w:styleId="9">
    <w:name w:val="标题 4 字符"/>
    <w:basedOn w:val="8"/>
    <w:link w:val="5"/>
    <w:qFormat/>
    <w:uiPriority w:val="0"/>
    <w:rPr>
      <w:rFonts w:ascii="Calibri Light" w:hAnsi="Calibri Light" w:eastAsia="宋体" w:cs="黑体"/>
      <w:b/>
      <w:bCs/>
      <w:sz w:val="28"/>
      <w:szCs w:val="28"/>
    </w:rPr>
  </w:style>
  <w:style w:type="character" w:customStyle="1" w:styleId="10">
    <w:name w:val="正文文本缩进 字符"/>
    <w:basedOn w:val="8"/>
    <w:link w:val="3"/>
    <w:semiHidden/>
    <w:uiPriority w:val="99"/>
    <w:rPr>
      <w:kern w:val="0"/>
      <w:sz w:val="22"/>
      <w:lang w:eastAsia="en-US"/>
    </w:rPr>
  </w:style>
  <w:style w:type="character" w:customStyle="1" w:styleId="11">
    <w:name w:val="正文文本首行缩进 2 字符"/>
    <w:basedOn w:val="10"/>
    <w:link w:val="2"/>
    <w:qFormat/>
    <w:uiPriority w:val="0"/>
    <w:rPr>
      <w:rFonts w:ascii="Times New Roman" w:hAnsi="Times New Roman" w:eastAsia="宋体" w:cs="Times New Roman"/>
      <w:kern w:val="0"/>
      <w:sz w:val="22"/>
      <w:szCs w:val="24"/>
      <w:lang w:eastAsia="en-US"/>
    </w:rPr>
  </w:style>
  <w:style w:type="character" w:customStyle="1" w:styleId="12">
    <w:name w:val="正文文本 字符"/>
    <w:basedOn w:val="8"/>
    <w:link w:val="6"/>
    <w:qFormat/>
    <w:uiPriority w:val="0"/>
    <w:rPr>
      <w:rFonts w:ascii="宋体" w:hAnsi="宋体" w:eastAsia="宋体"/>
      <w:kern w:val="0"/>
      <w:szCs w:val="21"/>
      <w:lang w:eastAsia="en-US"/>
    </w:rPr>
  </w:style>
  <w:style w:type="paragraph" w:customStyle="1" w:styleId="13">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14">
    <w:name w:val="标题 41"/>
    <w:basedOn w:val="1"/>
    <w:qFormat/>
    <w:uiPriority w:val="1"/>
    <w:pPr>
      <w:ind w:left="237"/>
      <w:outlineLvl w:val="4"/>
    </w:pPr>
    <w:rPr>
      <w:rFonts w:ascii="宋体" w:hAnsi="宋体" w:eastAsia="宋体"/>
      <w:sz w:val="28"/>
      <w:szCs w:val="28"/>
    </w:rPr>
  </w:style>
  <w:style w:type="paragraph" w:styleId="15">
    <w:name w:val="List Paragraph"/>
    <w:basedOn w:val="1"/>
    <w:qFormat/>
    <w:uiPriority w:val="34"/>
  </w:style>
  <w:style w:type="paragraph" w:customStyle="1" w:styleId="16">
    <w:name w:val="目录1"/>
    <w:basedOn w:val="1"/>
    <w:qFormat/>
    <w:uiPriority w:val="99"/>
    <w:pPr>
      <w:adjustRightInd w:val="0"/>
      <w:spacing w:line="420" w:lineRule="atLeast"/>
      <w:jc w:val="both"/>
      <w:textAlignment w:val="baseline"/>
    </w:pPr>
    <w:rPr>
      <w:rFonts w:ascii="Times New Roman" w:hAnsi="Times New Roman" w:eastAsia="黑体" w:cs="Times New Roman"/>
      <w:b/>
      <w:sz w:val="21"/>
      <w:szCs w:val="20"/>
      <w:lang w:eastAsia="zh-CN"/>
    </w:rPr>
  </w:style>
  <w:style w:type="paragraph" w:customStyle="1" w:styleId="17">
    <w:name w:val="目录3"/>
    <w:basedOn w:val="1"/>
    <w:qFormat/>
    <w:uiPriority w:val="99"/>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8">
    <w:name w:val="No Spacing"/>
    <w:qFormat/>
    <w:uiPriority w:val="0"/>
    <w:pPr>
      <w:widowControl w:val="0"/>
      <w:jc w:val="both"/>
    </w:pPr>
    <w:rPr>
      <w:rFonts w:ascii="宋体" w:hAnsi="宋体" w:eastAsia="宋体" w:cs="Times New Roman"/>
      <w:kern w:val="2"/>
      <w:sz w:val="24"/>
      <w:szCs w:val="24"/>
      <w:lang w:val="en-US" w:eastAsia="zh-CN" w:bidi="ar-SA"/>
    </w:rPr>
  </w:style>
  <w:style w:type="character" w:customStyle="1" w:styleId="19">
    <w:name w:val="批注文字 字符"/>
    <w:basedOn w:val="8"/>
    <w:link w:val="4"/>
    <w:semiHidden/>
    <w:uiPriority w:val="99"/>
    <w:rPr>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939</Words>
  <Characters>5354</Characters>
  <Lines>44</Lines>
  <Paragraphs>12</Paragraphs>
  <TotalTime>0</TotalTime>
  <ScaleCrop>false</ScaleCrop>
  <LinksUpToDate>false</LinksUpToDate>
  <CharactersWithSpaces>6281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2023-08-11T07:15:00Z</dcterms:created>
  <dc:creator>Zixuan Su</dc:creator>
  <cp:lastModifiedBy>李</cp:lastModifiedBy>
  <dcterms:modified xsi:type="dcterms:W3CDTF">2023-08-11T08:21:01Z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C1CC4BF8B929463192C2FD243CE22747_12</vt:lpwstr>
  </property>
</Properties>
</file>