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12" w:lineRule="auto"/>
        <w:rPr>
          <w:rFonts w:ascii="Times New Roman" w:hAnsi="Times New Roman" w:eastAsia="宋体"/>
          <w:sz w:val="24"/>
          <w:szCs w:val="24"/>
        </w:rPr>
      </w:pPr>
      <w:r>
        <w:rPr>
          <w:rFonts w:ascii="Times New Roman" w:hAnsi="Times New Roman" w:eastAsia="宋体"/>
          <w:sz w:val="24"/>
          <w:szCs w:val="24"/>
        </w:rPr>
        <w:t>附件1：资格审查条件</w:t>
      </w:r>
    </w:p>
    <w:p>
      <w:pPr>
        <w:rPr>
          <w:szCs w:val="21"/>
        </w:rPr>
      </w:pPr>
    </w:p>
    <w:p>
      <w:pPr>
        <w:spacing w:after="120" w:afterLines="50"/>
        <w:jc w:val="center"/>
        <w:rPr>
          <w:b/>
          <w:sz w:val="24"/>
        </w:rPr>
      </w:pPr>
      <w:bookmarkStart w:id="0" w:name="_Hlk135638310"/>
      <w:r>
        <w:rPr>
          <w:b/>
          <w:sz w:val="24"/>
        </w:rPr>
        <w:t>附录1 资格审查条件（资质最低要求）</w:t>
      </w:r>
    </w:p>
    <w:p>
      <w:pPr>
        <w:pStyle w:val="2"/>
      </w:pP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8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9685" w:type="dxa"/>
            <w:tcBorders>
              <w:top w:val="single" w:color="auto" w:sz="2" w:space="0"/>
              <w:left w:val="single" w:color="auto" w:sz="2" w:space="0"/>
              <w:bottom w:val="single" w:color="auto" w:sz="2" w:space="0"/>
              <w:right w:val="single" w:color="auto" w:sz="2" w:space="0"/>
            </w:tcBorders>
            <w:vAlign w:val="center"/>
          </w:tcPr>
          <w:p>
            <w:pPr>
              <w:spacing w:line="288" w:lineRule="auto"/>
              <w:jc w:val="center"/>
            </w:pPr>
            <w: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8" w:hRule="atLeast"/>
          <w:jc w:val="center"/>
        </w:trPr>
        <w:tc>
          <w:tcPr>
            <w:tcW w:w="9685" w:type="dxa"/>
            <w:tcBorders>
              <w:top w:val="single" w:color="auto" w:sz="2" w:space="0"/>
              <w:left w:val="single" w:color="auto" w:sz="2" w:space="0"/>
              <w:bottom w:val="single" w:color="auto" w:sz="2" w:space="0"/>
              <w:right w:val="single" w:color="auto" w:sz="2" w:space="0"/>
            </w:tcBorders>
            <w:vAlign w:val="center"/>
          </w:tcPr>
          <w:p>
            <w:pPr>
              <w:pStyle w:val="8"/>
              <w:snapToGrid w:val="0"/>
              <w:spacing w:line="360" w:lineRule="auto"/>
              <w:ind w:firstLine="422"/>
              <w:rPr>
                <w:rFonts w:ascii="Times New Roman" w:hAnsi="Times New Roman"/>
                <w:b/>
                <w:sz w:val="21"/>
                <w:szCs w:val="21"/>
              </w:rPr>
            </w:pPr>
            <w:r>
              <w:rPr>
                <w:rFonts w:ascii="Times New Roman" w:hAnsi="Times New Roman"/>
                <w:b/>
                <w:sz w:val="21"/>
                <w:szCs w:val="21"/>
              </w:rPr>
              <w:t>1、</w:t>
            </w:r>
            <w:r>
              <w:rPr>
                <w:rFonts w:ascii="Times New Roman" w:hAnsi="Times New Roman"/>
                <w:bCs/>
                <w:sz w:val="21"/>
                <w:szCs w:val="21"/>
              </w:rPr>
              <w:t>具有独立企业法人资格，持有有效的企业营业执照。</w:t>
            </w:r>
          </w:p>
          <w:p>
            <w:pPr>
              <w:pStyle w:val="8"/>
              <w:snapToGrid w:val="0"/>
              <w:spacing w:line="360" w:lineRule="auto"/>
              <w:ind w:firstLine="422"/>
              <w:rPr>
                <w:rFonts w:ascii="Times New Roman" w:hAnsi="Times New Roman"/>
                <w:b/>
                <w:sz w:val="21"/>
                <w:szCs w:val="21"/>
              </w:rPr>
            </w:pPr>
            <w:r>
              <w:rPr>
                <w:rFonts w:ascii="Times New Roman" w:hAnsi="Times New Roman"/>
                <w:b/>
                <w:sz w:val="21"/>
                <w:szCs w:val="21"/>
              </w:rPr>
              <w:t>2、勘察、设计资质：</w:t>
            </w:r>
          </w:p>
          <w:p>
            <w:pPr>
              <w:snapToGrid w:val="0"/>
              <w:spacing w:line="360" w:lineRule="auto"/>
              <w:ind w:firstLine="420" w:firstLineChars="200"/>
              <w:rPr>
                <w:szCs w:val="21"/>
              </w:rPr>
            </w:pPr>
            <w:r>
              <w:rPr>
                <w:szCs w:val="21"/>
              </w:rPr>
              <w:t>（1）具备工程勘察</w:t>
            </w:r>
            <w:r>
              <w:rPr>
                <w:szCs w:val="21"/>
                <w:u w:val="single"/>
              </w:rPr>
              <w:t xml:space="preserve"> 综合类甲级或</w:t>
            </w:r>
            <w:r>
              <w:rPr>
                <w:rFonts w:hint="eastAsia"/>
                <w:szCs w:val="21"/>
                <w:u w:val="single"/>
              </w:rPr>
              <w:t>工</w:t>
            </w:r>
            <w:r>
              <w:rPr>
                <w:szCs w:val="21"/>
                <w:u w:val="single"/>
              </w:rPr>
              <w:t>程勘察</w:t>
            </w:r>
            <w:r>
              <w:rPr>
                <w:rFonts w:hint="eastAsia"/>
                <w:szCs w:val="21"/>
                <w:u w:val="single"/>
              </w:rPr>
              <w:t>岩土工程</w:t>
            </w:r>
            <w:r>
              <w:rPr>
                <w:szCs w:val="21"/>
                <w:u w:val="single"/>
              </w:rPr>
              <w:t xml:space="preserve">专业甲级 </w:t>
            </w:r>
            <w:r>
              <w:rPr>
                <w:szCs w:val="21"/>
              </w:rPr>
              <w:t>资质；</w:t>
            </w:r>
          </w:p>
          <w:p>
            <w:pPr>
              <w:snapToGrid w:val="0"/>
              <w:spacing w:line="360" w:lineRule="auto"/>
              <w:ind w:firstLine="420" w:firstLineChars="200"/>
              <w:rPr>
                <w:szCs w:val="21"/>
              </w:rPr>
            </w:pPr>
            <w:r>
              <w:rPr>
                <w:szCs w:val="21"/>
              </w:rPr>
              <w:t>（2）具备工程设计</w:t>
            </w:r>
            <w:r>
              <w:rPr>
                <w:szCs w:val="21"/>
                <w:u w:val="single"/>
              </w:rPr>
              <w:t xml:space="preserve"> </w:t>
            </w:r>
            <w:r>
              <w:rPr>
                <w:rFonts w:hint="eastAsia"/>
                <w:szCs w:val="21"/>
                <w:u w:val="single"/>
              </w:rPr>
              <w:t>综合甲级资质或公路行业甲级资质或</w:t>
            </w:r>
            <w:r>
              <w:rPr>
                <w:szCs w:val="21"/>
                <w:u w:val="single"/>
              </w:rPr>
              <w:t xml:space="preserve">公路行业（公路、交通工程）专业甲级 </w:t>
            </w:r>
            <w:r>
              <w:rPr>
                <w:szCs w:val="21"/>
              </w:rPr>
              <w:t>资质。</w:t>
            </w:r>
          </w:p>
          <w:p>
            <w:pPr>
              <w:snapToGrid w:val="0"/>
              <w:spacing w:line="360" w:lineRule="auto"/>
              <w:ind w:firstLine="422" w:firstLineChars="200"/>
              <w:rPr>
                <w:b/>
                <w:szCs w:val="21"/>
              </w:rPr>
            </w:pPr>
            <w:r>
              <w:rPr>
                <w:b/>
                <w:szCs w:val="21"/>
              </w:rPr>
              <w:t>3、施工资质：</w:t>
            </w:r>
          </w:p>
          <w:p>
            <w:pPr>
              <w:snapToGrid w:val="0"/>
              <w:spacing w:line="360" w:lineRule="auto"/>
              <w:ind w:firstLine="420" w:firstLineChars="200"/>
              <w:rPr>
                <w:szCs w:val="21"/>
              </w:rPr>
            </w:pPr>
            <w:r>
              <w:rPr>
                <w:szCs w:val="21"/>
              </w:rPr>
              <w:t>（1）具备住房和城乡建设行政主管部门颁发的</w:t>
            </w:r>
            <w:r>
              <w:rPr>
                <w:szCs w:val="21"/>
                <w:u w:val="single"/>
              </w:rPr>
              <w:t xml:space="preserve"> 公路工程施工总承包一级</w:t>
            </w:r>
            <w:r>
              <w:rPr>
                <w:rFonts w:hint="eastAsia"/>
                <w:szCs w:val="21"/>
                <w:u w:val="single"/>
              </w:rPr>
              <w:t>及</w:t>
            </w:r>
            <w:r>
              <w:rPr>
                <w:szCs w:val="21"/>
                <w:u w:val="single"/>
              </w:rPr>
              <w:t>以上资质</w:t>
            </w:r>
            <w:r>
              <w:rPr>
                <w:rFonts w:hint="eastAsia"/>
                <w:szCs w:val="21"/>
                <w:u w:val="single"/>
              </w:rPr>
              <w:t>、</w:t>
            </w:r>
            <w:r>
              <w:rPr>
                <w:szCs w:val="21"/>
                <w:u w:val="single"/>
              </w:rPr>
              <w:t>公路交通工程专业承包（公路安全设施分项、公路机电工程分项）一级</w:t>
            </w:r>
            <w:r>
              <w:rPr>
                <w:rFonts w:hint="eastAsia"/>
                <w:szCs w:val="21"/>
                <w:u w:val="single"/>
              </w:rPr>
              <w:t>资质和建筑工程施工总承包三级及以上</w:t>
            </w:r>
            <w:r>
              <w:rPr>
                <w:szCs w:val="21"/>
                <w:u w:val="single"/>
              </w:rPr>
              <w:t xml:space="preserve"> </w:t>
            </w:r>
            <w:r>
              <w:rPr>
                <w:szCs w:val="21"/>
              </w:rPr>
              <w:t>资质；</w:t>
            </w:r>
          </w:p>
          <w:p>
            <w:pPr>
              <w:snapToGrid w:val="0"/>
              <w:spacing w:line="360" w:lineRule="auto"/>
              <w:ind w:firstLine="420" w:firstLineChars="200"/>
              <w:rPr>
                <w:szCs w:val="21"/>
              </w:rPr>
            </w:pPr>
            <w:r>
              <w:rPr>
                <w:szCs w:val="21"/>
              </w:rPr>
              <w:t>（2）具有住房和城乡建设行政主管部门颁发的有效的安全生产许可证。</w:t>
            </w:r>
          </w:p>
          <w:p>
            <w:pPr>
              <w:snapToGrid w:val="0"/>
              <w:spacing w:line="360" w:lineRule="auto"/>
              <w:ind w:firstLine="422" w:firstLineChars="200"/>
              <w:rPr>
                <w:szCs w:val="21"/>
              </w:rPr>
            </w:pPr>
            <w:r>
              <w:rPr>
                <w:b/>
                <w:szCs w:val="21"/>
              </w:rPr>
              <w:t>4、</w:t>
            </w:r>
            <w:r>
              <w:rPr>
                <w:szCs w:val="21"/>
              </w:rPr>
              <w:t>以联合体形式投标的，联合体所有成员数量不得超过</w:t>
            </w:r>
            <w:r>
              <w:rPr>
                <w:szCs w:val="21"/>
                <w:u w:val="single"/>
              </w:rPr>
              <w:t xml:space="preserve"> 5 </w:t>
            </w:r>
            <w:r>
              <w:rPr>
                <w:szCs w:val="21"/>
              </w:rPr>
              <w:t>家。</w:t>
            </w:r>
          </w:p>
          <w:p>
            <w:pPr>
              <w:snapToGrid w:val="0"/>
              <w:spacing w:line="360" w:lineRule="auto"/>
              <w:ind w:firstLine="420" w:firstLineChars="200"/>
            </w:pPr>
            <w:r>
              <w:rPr>
                <w:szCs w:val="21"/>
              </w:rPr>
              <w:t>其中联合体牵头人应具备住房和城乡建设行政主管部门颁发的</w:t>
            </w:r>
            <w:r>
              <w:rPr>
                <w:rFonts w:hint="eastAsia"/>
                <w:szCs w:val="21"/>
                <w:u w:val="single"/>
              </w:rPr>
              <w:t xml:space="preserve"> </w:t>
            </w:r>
            <w:r>
              <w:rPr>
                <w:szCs w:val="21"/>
                <w:u w:val="single"/>
              </w:rPr>
              <w:t>公路工程施工总承包一级</w:t>
            </w:r>
            <w:r>
              <w:rPr>
                <w:rFonts w:hint="eastAsia"/>
                <w:szCs w:val="21"/>
                <w:u w:val="single"/>
              </w:rPr>
              <w:t>及</w:t>
            </w:r>
            <w:r>
              <w:rPr>
                <w:szCs w:val="21"/>
                <w:u w:val="single"/>
              </w:rPr>
              <w:t>以上</w:t>
            </w:r>
            <w:r>
              <w:rPr>
                <w:rFonts w:hint="eastAsia"/>
                <w:szCs w:val="21"/>
                <w:u w:val="single"/>
              </w:rPr>
              <w:t xml:space="preserve"> </w:t>
            </w:r>
            <w:r>
              <w:rPr>
                <w:szCs w:val="21"/>
              </w:rPr>
              <w:t>资质。</w:t>
            </w:r>
          </w:p>
        </w:tc>
      </w:tr>
    </w:tbl>
    <w:p>
      <w:pPr>
        <w:pStyle w:val="2"/>
        <w:rPr>
          <w:sz w:val="18"/>
          <w:szCs w:val="18"/>
        </w:rPr>
      </w:pPr>
    </w:p>
    <w:p>
      <w:pPr>
        <w:jc w:val="center"/>
        <w:rPr>
          <w:b/>
          <w:sz w:val="24"/>
        </w:rPr>
      </w:pPr>
    </w:p>
    <w:p>
      <w:pPr>
        <w:jc w:val="center"/>
        <w:rPr>
          <w:szCs w:val="21"/>
        </w:rPr>
      </w:pPr>
      <w:r>
        <w:rPr>
          <w:b/>
          <w:sz w:val="24"/>
        </w:rPr>
        <w:t>附录2 资格审查条件（财务最低要求）</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577" w:type="dxa"/>
            <w:tcBorders>
              <w:top w:val="single" w:color="auto" w:sz="2" w:space="0"/>
              <w:left w:val="single" w:color="auto" w:sz="2" w:space="0"/>
              <w:bottom w:val="single" w:color="auto" w:sz="2" w:space="0"/>
              <w:right w:val="single" w:color="auto" w:sz="2" w:space="0"/>
            </w:tcBorders>
            <w:vAlign w:val="center"/>
          </w:tcPr>
          <w:p>
            <w:pPr>
              <w:jc w:val="center"/>
            </w:pPr>
            <w: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71" w:hRule="atLeast"/>
          <w:jc w:val="center"/>
        </w:trPr>
        <w:tc>
          <w:tcPr>
            <w:tcW w:w="9577" w:type="dxa"/>
            <w:tcBorders>
              <w:top w:val="single" w:color="auto" w:sz="2" w:space="0"/>
              <w:left w:val="single" w:color="auto" w:sz="2" w:space="0"/>
              <w:bottom w:val="single" w:color="auto" w:sz="2" w:space="0"/>
              <w:right w:val="single" w:color="auto" w:sz="2" w:space="0"/>
            </w:tcBorders>
            <w:vAlign w:val="center"/>
          </w:tcPr>
          <w:p>
            <w:pPr>
              <w:spacing w:line="360" w:lineRule="auto"/>
              <w:ind w:firstLine="226" w:firstLineChars="108"/>
              <w:jc w:val="left"/>
            </w:pPr>
            <w:r>
              <w:t>（1）承诺为本合同所提供的营运资金（</w:t>
            </w:r>
            <w:r>
              <w:rPr>
                <w:rFonts w:hint="eastAsia"/>
              </w:rPr>
              <w:t>以经会计事务所或审计机构审计的2022年度财务报表中</w:t>
            </w:r>
            <w:r>
              <w:t>：营运资金=流动资产-流动负债，以年末数计算）以及为本项目而专门开具的银行信贷证明总和不得低于</w:t>
            </w:r>
            <w:r>
              <w:rPr>
                <w:u w:val="single"/>
              </w:rPr>
              <w:t xml:space="preserve"> </w:t>
            </w:r>
            <w:r>
              <w:rPr>
                <w:rFonts w:hint="eastAsia"/>
                <w:u w:val="single"/>
              </w:rPr>
              <w:t>15</w:t>
            </w:r>
            <w:r>
              <w:rPr>
                <w:u w:val="single"/>
              </w:rPr>
              <w:t xml:space="preserve">00万 </w:t>
            </w:r>
            <w:r>
              <w:t>元。</w:t>
            </w:r>
          </w:p>
          <w:p>
            <w:pPr>
              <w:spacing w:line="360" w:lineRule="auto"/>
              <w:ind w:firstLine="226" w:firstLineChars="108"/>
              <w:jc w:val="left"/>
            </w:pPr>
            <w:r>
              <w:t>（2）以联合体形式投标的，联合体牵头人应满足第（1）项规定的资格条件。</w:t>
            </w:r>
          </w:p>
        </w:tc>
      </w:tr>
    </w:tbl>
    <w:p>
      <w:pPr>
        <w:widowControl/>
        <w:jc w:val="left"/>
        <w:rPr>
          <w:b/>
          <w:sz w:val="24"/>
        </w:rPr>
      </w:pPr>
    </w:p>
    <w:p>
      <w:pPr>
        <w:pStyle w:val="2"/>
        <w:rPr>
          <w:b/>
          <w:sz w:val="24"/>
        </w:rPr>
      </w:pPr>
      <w:r>
        <w:br w:type="page"/>
      </w:r>
    </w:p>
    <w:p>
      <w:pPr>
        <w:jc w:val="center"/>
        <w:rPr>
          <w:b/>
          <w:sz w:val="24"/>
        </w:rPr>
      </w:pPr>
      <w:bookmarkStart w:id="1" w:name="_Hlk135685949"/>
      <w:r>
        <w:rPr>
          <w:b/>
          <w:sz w:val="24"/>
        </w:rPr>
        <w:t>附录3 资格审查条件（业绩最低要求）</w:t>
      </w:r>
    </w:p>
    <w:p>
      <w:pPr>
        <w:pStyle w:val="2"/>
      </w:pP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tcBorders>
              <w:top w:val="single" w:color="auto" w:sz="2" w:space="0"/>
              <w:left w:val="single" w:color="auto" w:sz="2" w:space="0"/>
              <w:bottom w:val="single" w:color="auto" w:sz="2" w:space="0"/>
              <w:right w:val="single" w:color="auto" w:sz="2" w:space="0"/>
            </w:tcBorders>
            <w:vAlign w:val="center"/>
          </w:tcPr>
          <w:p>
            <w:pPr>
              <w:jc w:val="center"/>
              <w:rPr>
                <w:szCs w:val="21"/>
              </w:rPr>
            </w:pPr>
            <w: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79" w:hRule="atLeast"/>
          <w:jc w:val="center"/>
        </w:trPr>
        <w:tc>
          <w:tcPr>
            <w:tcW w:w="9629" w:type="dxa"/>
            <w:tcBorders>
              <w:top w:val="single" w:color="auto" w:sz="2" w:space="0"/>
              <w:left w:val="single" w:color="auto" w:sz="2" w:space="0"/>
              <w:bottom w:val="single" w:color="auto" w:sz="2" w:space="0"/>
              <w:right w:val="single" w:color="auto" w:sz="2" w:space="0"/>
            </w:tcBorders>
            <w:vAlign w:val="center"/>
          </w:tcPr>
          <w:p>
            <w:pPr>
              <w:snapToGrid w:val="0"/>
              <w:rPr>
                <w:szCs w:val="21"/>
              </w:rPr>
            </w:pPr>
            <w:bookmarkStart w:id="2" w:name="_Hlk136368367"/>
            <w:r>
              <w:rPr>
                <w:b/>
                <w:bCs/>
                <w:szCs w:val="21"/>
              </w:rPr>
              <w:t>施工业绩</w:t>
            </w:r>
            <w:r>
              <w:rPr>
                <w:szCs w:val="21"/>
              </w:rPr>
              <w:t>：</w:t>
            </w:r>
          </w:p>
          <w:p>
            <w:pPr>
              <w:pStyle w:val="2"/>
              <w:spacing w:before="120" w:beforeLines="50" w:after="0" w:line="360" w:lineRule="auto"/>
              <w:ind w:firstLine="420" w:firstLineChars="200"/>
              <w:rPr>
                <w:szCs w:val="21"/>
              </w:rPr>
            </w:pPr>
            <w:r>
              <w:rPr>
                <w:szCs w:val="21"/>
              </w:rPr>
              <w:t>近五年（</w:t>
            </w:r>
            <w:r>
              <w:rPr>
                <w:rFonts w:hint="eastAsia"/>
                <w:szCs w:val="21"/>
              </w:rPr>
              <w:t>2018年8月1日至投标截止时间，以工程竣（交）工时间为准</w:t>
            </w:r>
            <w:r>
              <w:rPr>
                <w:szCs w:val="21"/>
              </w:rPr>
              <w:t>）至少完成过一项新建或改（扩）建高速公路工程（含互通）</w:t>
            </w:r>
            <w:r>
              <w:rPr>
                <w:rFonts w:hint="eastAsia"/>
                <w:szCs w:val="21"/>
              </w:rPr>
              <w:t>的</w:t>
            </w:r>
            <w:r>
              <w:rPr>
                <w:szCs w:val="21"/>
              </w:rPr>
              <w:t>施工业绩</w:t>
            </w:r>
            <w:r>
              <w:rPr>
                <w:rFonts w:hint="eastAsia"/>
                <w:szCs w:val="21"/>
              </w:rPr>
              <w:t>、一项新建或改（扩）建高速公路机电工程施工业绩和一项房建工程施工业绩。</w:t>
            </w:r>
          </w:p>
          <w:p>
            <w:pPr>
              <w:snapToGrid w:val="0"/>
              <w:spacing w:line="360" w:lineRule="auto"/>
              <w:rPr>
                <w:szCs w:val="21"/>
              </w:rPr>
            </w:pPr>
            <w:r>
              <w:rPr>
                <w:b/>
                <w:bCs/>
                <w:szCs w:val="21"/>
              </w:rPr>
              <w:t>设计业绩</w:t>
            </w:r>
            <w:r>
              <w:rPr>
                <w:szCs w:val="21"/>
              </w:rPr>
              <w:t>：</w:t>
            </w:r>
          </w:p>
          <w:p>
            <w:pPr>
              <w:pStyle w:val="2"/>
              <w:spacing w:after="0" w:line="360" w:lineRule="auto"/>
              <w:ind w:firstLine="420" w:firstLineChars="200"/>
              <w:rPr>
                <w:szCs w:val="21"/>
              </w:rPr>
            </w:pPr>
            <w:r>
              <w:rPr>
                <w:szCs w:val="21"/>
              </w:rPr>
              <w:t>近五年（2018年</w:t>
            </w:r>
            <w:r>
              <w:rPr>
                <w:rFonts w:hint="eastAsia"/>
                <w:szCs w:val="21"/>
              </w:rPr>
              <w:t>8</w:t>
            </w:r>
            <w:r>
              <w:rPr>
                <w:szCs w:val="21"/>
              </w:rPr>
              <w:t>月1日至投标截止时间，以施工图设计批复时间为准）至少完成过一项新建或改（扩）建高速公路工程（含互通）的设计业绩</w:t>
            </w:r>
            <w:bookmarkEnd w:id="2"/>
            <w:r>
              <w:rPr>
                <w:rFonts w:hint="eastAsia"/>
                <w:szCs w:val="21"/>
              </w:rPr>
              <w:t>。</w:t>
            </w:r>
          </w:p>
          <w:p>
            <w:pPr>
              <w:pStyle w:val="2"/>
              <w:spacing w:after="0" w:line="360" w:lineRule="auto"/>
              <w:rPr>
                <w:szCs w:val="21"/>
              </w:rPr>
            </w:pPr>
            <w:r>
              <w:rPr>
                <w:rFonts w:hint="eastAsia"/>
                <w:szCs w:val="21"/>
              </w:rPr>
              <w:t>注：（1）以联合体形式投标的，联合体应满足本项规定的资格条件。</w:t>
            </w:r>
          </w:p>
          <w:p>
            <w:pPr>
              <w:pStyle w:val="2"/>
              <w:spacing w:after="0" w:line="360" w:lineRule="auto"/>
              <w:ind w:firstLine="420" w:firstLineChars="200"/>
            </w:pPr>
            <w:r>
              <w:rPr>
                <w:rFonts w:hint="eastAsia"/>
                <w:szCs w:val="21"/>
              </w:rPr>
              <w:t>（2）如提供设计施工总承包业绩，应同时满足施工业绩和设计业绩的相关要求。</w:t>
            </w:r>
          </w:p>
        </w:tc>
      </w:tr>
    </w:tbl>
    <w:p>
      <w:pPr>
        <w:spacing w:line="360" w:lineRule="auto"/>
        <w:jc w:val="left"/>
        <w:rPr>
          <w:sz w:val="18"/>
          <w:szCs w:val="18"/>
        </w:rPr>
      </w:pPr>
      <w:r>
        <w:rPr>
          <w:sz w:val="18"/>
          <w:szCs w:val="18"/>
        </w:rPr>
        <w:t xml:space="preserve"> </w:t>
      </w:r>
    </w:p>
    <w:p>
      <w:pPr>
        <w:jc w:val="center"/>
        <w:rPr>
          <w:b/>
          <w:sz w:val="24"/>
        </w:rPr>
      </w:pPr>
    </w:p>
    <w:p>
      <w:pPr>
        <w:jc w:val="center"/>
        <w:rPr>
          <w:b/>
          <w:sz w:val="24"/>
        </w:rPr>
      </w:pPr>
      <w:r>
        <w:rPr>
          <w:b/>
          <w:sz w:val="24"/>
        </w:rPr>
        <w:t>附录4 资格审查条件（信誉最低要求）</w:t>
      </w:r>
    </w:p>
    <w:p>
      <w:pPr>
        <w:pStyle w:val="2"/>
      </w:pP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tcBorders>
              <w:top w:val="single" w:color="auto" w:sz="2" w:space="0"/>
              <w:left w:val="single" w:color="auto" w:sz="2" w:space="0"/>
              <w:bottom w:val="single" w:color="auto" w:sz="2" w:space="0"/>
              <w:right w:val="single" w:color="auto" w:sz="2" w:space="0"/>
            </w:tcBorders>
            <w:vAlign w:val="center"/>
          </w:tcPr>
          <w:p>
            <w:pPr>
              <w:jc w:val="center"/>
              <w:rPr>
                <w:szCs w:val="21"/>
              </w:rPr>
            </w:pPr>
            <w: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4" w:hRule="atLeast"/>
          <w:jc w:val="center"/>
        </w:trPr>
        <w:tc>
          <w:tcPr>
            <w:tcW w:w="9629" w:type="dxa"/>
            <w:tcBorders>
              <w:top w:val="single" w:color="auto" w:sz="2" w:space="0"/>
              <w:left w:val="single" w:color="auto" w:sz="2" w:space="0"/>
              <w:bottom w:val="single" w:color="auto" w:sz="2" w:space="0"/>
              <w:right w:val="single" w:color="auto" w:sz="2" w:space="0"/>
            </w:tcBorders>
            <w:vAlign w:val="center"/>
          </w:tcPr>
          <w:p>
            <w:pPr>
              <w:pStyle w:val="2"/>
              <w:snapToGrid w:val="0"/>
              <w:spacing w:after="0" w:line="360" w:lineRule="auto"/>
              <w:ind w:firstLine="420" w:firstLineChars="200"/>
              <w:rPr>
                <w:szCs w:val="21"/>
              </w:rPr>
            </w:pPr>
            <w:bookmarkStart w:id="3" w:name="_Hlk136378244"/>
            <w:r>
              <w:rPr>
                <w:rFonts w:hint="eastAsia"/>
                <w:szCs w:val="21"/>
              </w:rPr>
              <w:t>（1）</w:t>
            </w:r>
            <w:r>
              <w:rPr>
                <w:szCs w:val="21"/>
              </w:rPr>
              <w:t>投标人在近一年（2022年</w:t>
            </w:r>
            <w:r>
              <w:rPr>
                <w:rFonts w:hint="eastAsia"/>
                <w:szCs w:val="21"/>
              </w:rPr>
              <w:t>8</w:t>
            </w:r>
            <w:r>
              <w:rPr>
                <w:szCs w:val="21"/>
              </w:rPr>
              <w:t>月1日至投标截止时间）不曾在</w:t>
            </w:r>
            <w:r>
              <w:rPr>
                <w:rFonts w:hint="eastAsia"/>
                <w:szCs w:val="21"/>
              </w:rPr>
              <w:t>高速公路</w:t>
            </w:r>
            <w:r>
              <w:rPr>
                <w:szCs w:val="21"/>
              </w:rPr>
              <w:t>项目中违约被逐或因投标人自身的原因而使</w:t>
            </w:r>
            <w:r>
              <w:rPr>
                <w:rFonts w:hint="eastAsia"/>
                <w:szCs w:val="21"/>
              </w:rPr>
              <w:t>高速</w:t>
            </w:r>
            <w:r>
              <w:rPr>
                <w:szCs w:val="21"/>
              </w:rPr>
              <w:t>公路工程</w:t>
            </w:r>
            <w:r>
              <w:rPr>
                <w:rFonts w:hint="eastAsia"/>
                <w:szCs w:val="21"/>
              </w:rPr>
              <w:t>合同</w:t>
            </w:r>
            <w:r>
              <w:rPr>
                <w:szCs w:val="21"/>
              </w:rPr>
              <w:t>被解除。</w:t>
            </w:r>
            <w:bookmarkEnd w:id="3"/>
          </w:p>
          <w:p>
            <w:pPr>
              <w:pStyle w:val="2"/>
              <w:snapToGrid w:val="0"/>
              <w:spacing w:after="0" w:line="360" w:lineRule="auto"/>
              <w:rPr>
                <w:szCs w:val="21"/>
              </w:rPr>
            </w:pPr>
            <w:r>
              <w:rPr>
                <w:rFonts w:hint="eastAsia"/>
                <w:szCs w:val="21"/>
              </w:rPr>
              <w:t>注：</w:t>
            </w:r>
            <w:r>
              <w:rPr>
                <w:rFonts w:hint="eastAsia" w:ascii="宋体" w:hAnsi="宋体" w:cs="宋体"/>
                <w:bCs/>
                <w:szCs w:val="21"/>
              </w:rPr>
              <w:t>以联合体形式投标的，联合体各成员均满足第（1）项的资格条件。</w:t>
            </w:r>
          </w:p>
        </w:tc>
      </w:tr>
    </w:tbl>
    <w:p>
      <w:pPr>
        <w:rPr>
          <w:szCs w:val="21"/>
        </w:rPr>
      </w:pPr>
    </w:p>
    <w:p>
      <w:pPr>
        <w:widowControl/>
        <w:jc w:val="center"/>
        <w:rPr>
          <w:b/>
          <w:sz w:val="24"/>
        </w:rPr>
      </w:pPr>
      <w:r>
        <w:rPr>
          <w:b/>
          <w:sz w:val="24"/>
        </w:rPr>
        <w:br w:type="page"/>
      </w:r>
      <w:r>
        <w:rPr>
          <w:b/>
          <w:sz w:val="24"/>
        </w:rPr>
        <w:t>附录5 资格审查条件（主要人员最低要求）</w:t>
      </w:r>
    </w:p>
    <w:p>
      <w:pPr>
        <w:pStyle w:val="2"/>
      </w:pP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829"/>
        <w:gridCol w:w="4656"/>
        <w:gridCol w:w="2366"/>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03" w:type="dxa"/>
            <w:tcBorders>
              <w:top w:val="single" w:color="auto" w:sz="2" w:space="0"/>
              <w:left w:val="single" w:color="auto" w:sz="2" w:space="0"/>
              <w:bottom w:val="single" w:color="auto" w:sz="6" w:space="0"/>
              <w:right w:val="single" w:color="auto" w:sz="6" w:space="0"/>
            </w:tcBorders>
            <w:vAlign w:val="center"/>
          </w:tcPr>
          <w:p>
            <w:pPr>
              <w:adjustRightInd w:val="0"/>
              <w:snapToGrid w:val="0"/>
              <w:jc w:val="center"/>
              <w:rPr>
                <w:b/>
                <w:szCs w:val="21"/>
              </w:rPr>
            </w:pPr>
            <w:r>
              <w:rPr>
                <w:b/>
                <w:szCs w:val="21"/>
              </w:rPr>
              <w:t>岗位</w:t>
            </w:r>
          </w:p>
        </w:tc>
        <w:tc>
          <w:tcPr>
            <w:tcW w:w="829" w:type="dxa"/>
            <w:tcBorders>
              <w:top w:val="single" w:color="auto" w:sz="2" w:space="0"/>
              <w:left w:val="single" w:color="auto" w:sz="6" w:space="0"/>
              <w:bottom w:val="single" w:color="auto" w:sz="6" w:space="0"/>
              <w:right w:val="single" w:color="auto" w:sz="6" w:space="0"/>
            </w:tcBorders>
            <w:vAlign w:val="center"/>
          </w:tcPr>
          <w:p>
            <w:pPr>
              <w:adjustRightInd w:val="0"/>
              <w:snapToGrid w:val="0"/>
              <w:jc w:val="center"/>
              <w:rPr>
                <w:b/>
                <w:szCs w:val="21"/>
              </w:rPr>
            </w:pPr>
            <w:r>
              <w:rPr>
                <w:b/>
                <w:szCs w:val="21"/>
              </w:rPr>
              <w:t>数量</w:t>
            </w:r>
          </w:p>
        </w:tc>
        <w:tc>
          <w:tcPr>
            <w:tcW w:w="4656" w:type="dxa"/>
            <w:tcBorders>
              <w:top w:val="single" w:color="auto" w:sz="2" w:space="0"/>
              <w:left w:val="single" w:color="auto" w:sz="6" w:space="0"/>
              <w:bottom w:val="single" w:color="auto" w:sz="4" w:space="0"/>
              <w:right w:val="single" w:color="auto" w:sz="6" w:space="0"/>
            </w:tcBorders>
            <w:vAlign w:val="center"/>
          </w:tcPr>
          <w:p>
            <w:pPr>
              <w:adjustRightInd w:val="0"/>
              <w:snapToGrid w:val="0"/>
              <w:jc w:val="center"/>
              <w:rPr>
                <w:b/>
                <w:szCs w:val="21"/>
              </w:rPr>
            </w:pPr>
            <w:r>
              <w:rPr>
                <w:b/>
                <w:szCs w:val="21"/>
              </w:rPr>
              <w:t>资格标准</w:t>
            </w:r>
          </w:p>
        </w:tc>
        <w:tc>
          <w:tcPr>
            <w:tcW w:w="2366" w:type="dxa"/>
            <w:tcBorders>
              <w:top w:val="single" w:color="auto" w:sz="2" w:space="0"/>
              <w:left w:val="single" w:color="auto" w:sz="6" w:space="0"/>
              <w:bottom w:val="single" w:color="auto" w:sz="4" w:space="0"/>
              <w:right w:val="single" w:color="auto" w:sz="2" w:space="0"/>
            </w:tcBorders>
            <w:vAlign w:val="center"/>
          </w:tcPr>
          <w:p>
            <w:pPr>
              <w:adjustRightInd w:val="0"/>
              <w:snapToGrid w:val="0"/>
              <w:jc w:val="center"/>
              <w:rPr>
                <w:b/>
                <w:szCs w:val="21"/>
              </w:rPr>
            </w:pPr>
            <w:r>
              <w:rPr>
                <w:b/>
                <w:szCs w:val="21"/>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54" w:hRule="atLeast"/>
          <w:jc w:val="center"/>
        </w:trPr>
        <w:tc>
          <w:tcPr>
            <w:tcW w:w="1703" w:type="dxa"/>
            <w:tcBorders>
              <w:top w:val="single" w:color="auto" w:sz="6" w:space="0"/>
              <w:left w:val="single" w:color="auto" w:sz="2" w:space="0"/>
              <w:bottom w:val="single" w:color="auto" w:sz="4" w:space="0"/>
              <w:right w:val="single" w:color="auto" w:sz="6" w:space="0"/>
            </w:tcBorders>
            <w:vAlign w:val="center"/>
          </w:tcPr>
          <w:p>
            <w:pPr>
              <w:adjustRightInd w:val="0"/>
              <w:snapToGrid w:val="0"/>
              <w:spacing w:line="400" w:lineRule="exact"/>
              <w:jc w:val="center"/>
            </w:pPr>
            <w:r>
              <w:rPr>
                <w:szCs w:val="21"/>
              </w:rPr>
              <w:t>项目经理</w:t>
            </w:r>
            <w:r>
              <w:rPr>
                <w:rFonts w:hint="eastAsia"/>
                <w:szCs w:val="21"/>
              </w:rPr>
              <w:t>（兼施工负责人）</w:t>
            </w:r>
          </w:p>
        </w:tc>
        <w:tc>
          <w:tcPr>
            <w:tcW w:w="829"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400" w:lineRule="exact"/>
              <w:jc w:val="center"/>
              <w:rPr>
                <w:szCs w:val="21"/>
              </w:rPr>
            </w:pPr>
            <w:r>
              <w:rPr>
                <w:szCs w:val="21"/>
              </w:rPr>
              <w:t>1</w:t>
            </w:r>
          </w:p>
        </w:tc>
        <w:tc>
          <w:tcPr>
            <w:tcW w:w="4656" w:type="dxa"/>
            <w:tcBorders>
              <w:top w:val="single" w:color="auto" w:sz="6" w:space="0"/>
              <w:left w:val="single" w:color="auto" w:sz="6" w:space="0"/>
              <w:bottom w:val="single" w:color="auto" w:sz="4" w:space="0"/>
              <w:right w:val="single" w:color="auto" w:sz="6" w:space="0"/>
            </w:tcBorders>
            <w:vAlign w:val="center"/>
          </w:tcPr>
          <w:p>
            <w:pPr>
              <w:snapToGrid w:val="0"/>
              <w:spacing w:line="320" w:lineRule="exact"/>
              <w:ind w:leftChars="-1" w:hanging="2" w:hangingChars="1"/>
              <w:rPr>
                <w:szCs w:val="21"/>
              </w:rPr>
            </w:pPr>
            <w:bookmarkStart w:id="4" w:name="_Hlk141977841"/>
            <w:r>
              <w:rPr>
                <w:rFonts w:hint="eastAsia"/>
                <w:szCs w:val="21"/>
              </w:rPr>
              <w:t>工程师</w:t>
            </w:r>
            <w:r>
              <w:rPr>
                <w:szCs w:val="21"/>
              </w:rPr>
              <w:t>及以上职称</w:t>
            </w:r>
            <w:bookmarkEnd w:id="4"/>
            <w:r>
              <w:rPr>
                <w:szCs w:val="21"/>
              </w:rPr>
              <w:t>；</w:t>
            </w:r>
          </w:p>
          <w:p>
            <w:pPr>
              <w:snapToGrid w:val="0"/>
              <w:spacing w:line="320" w:lineRule="exact"/>
              <w:ind w:leftChars="-1" w:hanging="2" w:hangingChars="1"/>
              <w:rPr>
                <w:szCs w:val="21"/>
              </w:rPr>
            </w:pPr>
            <w:r>
              <w:rPr>
                <w:szCs w:val="21"/>
              </w:rPr>
              <w:t>具有“公路工程”专业的“一级建造师注册证书”，建造师注册证书的注册单位须与投标人单位名称一致；</w:t>
            </w:r>
          </w:p>
          <w:p>
            <w:pPr>
              <w:snapToGrid w:val="0"/>
              <w:spacing w:line="320" w:lineRule="exact"/>
              <w:ind w:leftChars="-1" w:hanging="2" w:hangingChars="1"/>
              <w:rPr>
                <w:szCs w:val="21"/>
              </w:rPr>
            </w:pPr>
            <w:r>
              <w:rPr>
                <w:szCs w:val="21"/>
              </w:rPr>
              <w:t>具有交通运输行政主管部门颁发的有效的《安全生产考核合格证书》（B类），安全生产考核合格证书的登记单位须与投标人单位名称一致；</w:t>
            </w:r>
          </w:p>
          <w:p>
            <w:pPr>
              <w:pStyle w:val="2"/>
              <w:snapToGrid w:val="0"/>
              <w:spacing w:after="0" w:line="320" w:lineRule="exact"/>
              <w:ind w:left="-1"/>
              <w:rPr>
                <w:szCs w:val="21"/>
              </w:rPr>
            </w:pPr>
            <w:r>
              <w:rPr>
                <w:szCs w:val="21"/>
              </w:rPr>
              <w:t>近5年（</w:t>
            </w:r>
            <w:r>
              <w:rPr>
                <w:rFonts w:hint="eastAsia"/>
                <w:szCs w:val="21"/>
              </w:rPr>
              <w:t>2018年8月1日至投标截止时间，以工程竣（交）工时间为准</w:t>
            </w:r>
            <w:r>
              <w:rPr>
                <w:szCs w:val="21"/>
              </w:rPr>
              <w:t>）至少担任过一项新建或改（扩）建高速公路工程（含互通）项目的项目经理或项目副经理或项目总工。</w:t>
            </w:r>
          </w:p>
        </w:tc>
        <w:tc>
          <w:tcPr>
            <w:tcW w:w="2366" w:type="dxa"/>
            <w:tcBorders>
              <w:top w:val="single" w:color="auto" w:sz="6" w:space="0"/>
              <w:left w:val="single" w:color="auto" w:sz="6" w:space="0"/>
              <w:bottom w:val="single" w:color="auto" w:sz="6" w:space="0"/>
              <w:right w:val="single" w:color="auto" w:sz="2" w:space="0"/>
            </w:tcBorders>
            <w:vAlign w:val="center"/>
          </w:tcPr>
          <w:p>
            <w:pPr>
              <w:adjustRightInd w:val="0"/>
              <w:snapToGrid w:val="0"/>
              <w:spacing w:line="320" w:lineRule="exact"/>
              <w:ind w:leftChars="-28" w:right="-44" w:rightChars="-21" w:hanging="58" w:hangingChars="28"/>
              <w:jc w:val="center"/>
              <w:rPr>
                <w:szCs w:val="21"/>
              </w:rPr>
            </w:pPr>
            <w:r>
              <w:rPr>
                <w:rFonts w:hint="eastAsia"/>
                <w:kern w:val="0"/>
                <w:szCs w:val="21"/>
              </w:rPr>
              <w:t>目前未在其他项目上任职，或虽在其他项目上任职但本项目中标后能够从其他项目撤离，并能在本项目履约</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971" w:hRule="atLeast"/>
          <w:jc w:val="center"/>
        </w:trPr>
        <w:tc>
          <w:tcPr>
            <w:tcW w:w="1703" w:type="dxa"/>
            <w:tcBorders>
              <w:top w:val="single" w:color="auto" w:sz="6" w:space="0"/>
              <w:left w:val="single" w:color="auto" w:sz="2" w:space="0"/>
              <w:bottom w:val="single" w:color="auto" w:sz="6" w:space="0"/>
              <w:right w:val="single" w:color="auto" w:sz="6" w:space="0"/>
            </w:tcBorders>
            <w:vAlign w:val="center"/>
          </w:tcPr>
          <w:p>
            <w:pPr>
              <w:spacing w:line="400" w:lineRule="exact"/>
              <w:jc w:val="center"/>
              <w:rPr>
                <w:szCs w:val="21"/>
              </w:rPr>
            </w:pPr>
            <w:r>
              <w:rPr>
                <w:szCs w:val="21"/>
              </w:rPr>
              <w:t>设计负责人</w:t>
            </w:r>
          </w:p>
        </w:tc>
        <w:tc>
          <w:tcPr>
            <w:tcW w:w="82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szCs w:val="21"/>
              </w:rPr>
            </w:pPr>
            <w:r>
              <w:rPr>
                <w:szCs w:val="21"/>
              </w:rPr>
              <w:t>1</w:t>
            </w:r>
          </w:p>
        </w:tc>
        <w:tc>
          <w:tcPr>
            <w:tcW w:w="4656" w:type="dxa"/>
            <w:tcBorders>
              <w:top w:val="single" w:color="auto" w:sz="6" w:space="0"/>
              <w:left w:val="single" w:color="auto" w:sz="6" w:space="0"/>
              <w:bottom w:val="single" w:color="auto" w:sz="6" w:space="0"/>
              <w:right w:val="single" w:color="auto" w:sz="6" w:space="0"/>
            </w:tcBorders>
            <w:vAlign w:val="center"/>
          </w:tcPr>
          <w:p>
            <w:pPr>
              <w:pStyle w:val="2"/>
              <w:snapToGrid w:val="0"/>
              <w:spacing w:after="0" w:line="320" w:lineRule="exact"/>
              <w:ind w:left="-1"/>
              <w:rPr>
                <w:szCs w:val="21"/>
              </w:rPr>
            </w:pPr>
            <w:bookmarkStart w:id="5" w:name="_Hlk141977813"/>
            <w:r>
              <w:rPr>
                <w:szCs w:val="21"/>
              </w:rPr>
              <w:t>高级</w:t>
            </w:r>
            <w:r>
              <w:rPr>
                <w:rFonts w:hint="eastAsia"/>
                <w:szCs w:val="21"/>
              </w:rPr>
              <w:t>工程师</w:t>
            </w:r>
            <w:r>
              <w:rPr>
                <w:szCs w:val="21"/>
              </w:rPr>
              <w:t>及以上职称</w:t>
            </w:r>
            <w:bookmarkEnd w:id="5"/>
            <w:r>
              <w:rPr>
                <w:szCs w:val="21"/>
              </w:rPr>
              <w:t>；</w:t>
            </w:r>
          </w:p>
          <w:p>
            <w:pPr>
              <w:pStyle w:val="2"/>
              <w:snapToGrid w:val="0"/>
              <w:spacing w:after="0" w:line="320" w:lineRule="exact"/>
              <w:ind w:left="-1"/>
            </w:pPr>
            <w:r>
              <w:rPr>
                <w:szCs w:val="21"/>
              </w:rPr>
              <w:t>近5年（2018年</w:t>
            </w:r>
            <w:r>
              <w:rPr>
                <w:rFonts w:hint="eastAsia"/>
                <w:szCs w:val="21"/>
              </w:rPr>
              <w:t>8</w:t>
            </w:r>
            <w:r>
              <w:rPr>
                <w:szCs w:val="21"/>
              </w:rPr>
              <w:t>月1日至投标截止时间，以施工图批复日期为准</w:t>
            </w:r>
            <w:r>
              <w:rPr>
                <w:rFonts w:hint="eastAsia"/>
                <w:szCs w:val="21"/>
              </w:rPr>
              <w:t>）</w:t>
            </w:r>
            <w:r>
              <w:rPr>
                <w:szCs w:val="21"/>
              </w:rPr>
              <w:t>至少担任过一项新建或改（扩）建高速公路工程（含互通）设计项目的项目负责人或设计负责人。</w:t>
            </w:r>
          </w:p>
        </w:tc>
        <w:tc>
          <w:tcPr>
            <w:tcW w:w="2366" w:type="dxa"/>
            <w:tcBorders>
              <w:top w:val="single" w:color="auto" w:sz="4" w:space="0"/>
              <w:left w:val="single" w:color="auto" w:sz="6" w:space="0"/>
              <w:bottom w:val="single" w:color="auto" w:sz="4" w:space="0"/>
              <w:right w:val="single" w:color="auto" w:sz="2" w:space="0"/>
            </w:tcBorders>
            <w:vAlign w:val="center"/>
          </w:tcPr>
          <w:p>
            <w:pPr>
              <w:adjustRightInd w:val="0"/>
              <w:snapToGrid w:val="0"/>
              <w:spacing w:line="400" w:lineRule="exact"/>
              <w:jc w:val="center"/>
              <w:rPr>
                <w:szCs w:val="21"/>
              </w:rPr>
            </w:pPr>
            <w:r>
              <w:rPr>
                <w:szCs w:val="21"/>
              </w:rPr>
              <w:t>无</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799" w:hRule="atLeast"/>
          <w:jc w:val="center"/>
        </w:trPr>
        <w:tc>
          <w:tcPr>
            <w:tcW w:w="1703" w:type="dxa"/>
            <w:tcBorders>
              <w:top w:val="single" w:color="auto" w:sz="6" w:space="0"/>
              <w:left w:val="single" w:color="auto" w:sz="2" w:space="0"/>
              <w:bottom w:val="single" w:color="auto" w:sz="2" w:space="0"/>
              <w:right w:val="single" w:color="auto" w:sz="6" w:space="0"/>
            </w:tcBorders>
            <w:vAlign w:val="center"/>
          </w:tcPr>
          <w:p>
            <w:pPr>
              <w:spacing w:line="400" w:lineRule="exact"/>
              <w:jc w:val="center"/>
              <w:rPr>
                <w:szCs w:val="21"/>
              </w:rPr>
            </w:pPr>
            <w:r>
              <w:rPr>
                <w:rFonts w:hint="eastAsia"/>
                <w:szCs w:val="21"/>
              </w:rPr>
              <w:t>项目总工</w:t>
            </w:r>
          </w:p>
        </w:tc>
        <w:tc>
          <w:tcPr>
            <w:tcW w:w="829" w:type="dxa"/>
            <w:tcBorders>
              <w:top w:val="single" w:color="auto" w:sz="6" w:space="0"/>
              <w:left w:val="single" w:color="auto" w:sz="6" w:space="0"/>
              <w:bottom w:val="single" w:color="auto" w:sz="2" w:space="0"/>
              <w:right w:val="single" w:color="auto" w:sz="6" w:space="0"/>
            </w:tcBorders>
            <w:vAlign w:val="center"/>
          </w:tcPr>
          <w:p>
            <w:pPr>
              <w:spacing w:line="400" w:lineRule="exact"/>
              <w:jc w:val="center"/>
              <w:rPr>
                <w:szCs w:val="21"/>
              </w:rPr>
            </w:pPr>
            <w:r>
              <w:rPr>
                <w:szCs w:val="21"/>
              </w:rPr>
              <w:t>1</w:t>
            </w:r>
          </w:p>
        </w:tc>
        <w:tc>
          <w:tcPr>
            <w:tcW w:w="4656" w:type="dxa"/>
            <w:tcBorders>
              <w:top w:val="single" w:color="auto" w:sz="6" w:space="0"/>
              <w:left w:val="single" w:color="auto" w:sz="6" w:space="0"/>
              <w:bottom w:val="single" w:color="auto" w:sz="2" w:space="0"/>
              <w:right w:val="single" w:color="auto" w:sz="6" w:space="0"/>
            </w:tcBorders>
            <w:vAlign w:val="center"/>
          </w:tcPr>
          <w:p>
            <w:pPr>
              <w:snapToGrid w:val="0"/>
              <w:spacing w:line="320" w:lineRule="exact"/>
              <w:ind w:leftChars="-1" w:hanging="2" w:hangingChars="1"/>
              <w:rPr>
                <w:szCs w:val="21"/>
              </w:rPr>
            </w:pPr>
            <w:bookmarkStart w:id="6" w:name="_Hlk141977794"/>
            <w:r>
              <w:rPr>
                <w:rFonts w:hint="eastAsia"/>
                <w:szCs w:val="21"/>
              </w:rPr>
              <w:t>高</w:t>
            </w:r>
            <w:r>
              <w:rPr>
                <w:szCs w:val="21"/>
              </w:rPr>
              <w:t>级</w:t>
            </w:r>
            <w:r>
              <w:rPr>
                <w:rFonts w:hint="eastAsia"/>
                <w:szCs w:val="21"/>
              </w:rPr>
              <w:t>工程师</w:t>
            </w:r>
            <w:r>
              <w:rPr>
                <w:szCs w:val="21"/>
              </w:rPr>
              <w:t>及以上职称</w:t>
            </w:r>
            <w:bookmarkEnd w:id="6"/>
            <w:r>
              <w:rPr>
                <w:szCs w:val="21"/>
              </w:rPr>
              <w:t>；</w:t>
            </w:r>
          </w:p>
          <w:p>
            <w:pPr>
              <w:snapToGrid w:val="0"/>
              <w:spacing w:line="320" w:lineRule="exact"/>
              <w:ind w:leftChars="-1" w:hanging="2" w:hangingChars="1"/>
              <w:rPr>
                <w:szCs w:val="21"/>
              </w:rPr>
            </w:pPr>
            <w:r>
              <w:rPr>
                <w:szCs w:val="21"/>
              </w:rPr>
              <w:t>具有交通运输行政主管部门颁发的有效的《安全生产考核合格证书》（B类），安全生产考核合格证书的登记单位须与投标人单位名称一致；</w:t>
            </w:r>
          </w:p>
          <w:p>
            <w:pPr>
              <w:adjustRightInd w:val="0"/>
              <w:snapToGrid w:val="0"/>
              <w:spacing w:line="271" w:lineRule="auto"/>
              <w:rPr>
                <w:szCs w:val="21"/>
              </w:rPr>
            </w:pPr>
            <w:r>
              <w:rPr>
                <w:szCs w:val="21"/>
              </w:rPr>
              <w:t>近5年（</w:t>
            </w:r>
            <w:r>
              <w:rPr>
                <w:rFonts w:hint="eastAsia"/>
                <w:szCs w:val="21"/>
              </w:rPr>
              <w:t>2018年8月1日至投标截止时间，以工程竣（交）工时间为准</w:t>
            </w:r>
            <w:r>
              <w:rPr>
                <w:szCs w:val="21"/>
              </w:rPr>
              <w:t>）至少担任过一项新建或改（扩）建高速公路工程（含互通）项目</w:t>
            </w:r>
            <w:r>
              <w:rPr>
                <w:rFonts w:hint="eastAsia"/>
                <w:szCs w:val="21"/>
              </w:rPr>
              <w:t>的</w:t>
            </w:r>
            <w:r>
              <w:rPr>
                <w:szCs w:val="21"/>
              </w:rPr>
              <w:t>项目总工</w:t>
            </w:r>
            <w:r>
              <w:rPr>
                <w:rFonts w:hint="eastAsia"/>
                <w:szCs w:val="21"/>
              </w:rPr>
              <w:t>或项目副总工</w:t>
            </w:r>
            <w:r>
              <w:rPr>
                <w:szCs w:val="21"/>
              </w:rPr>
              <w:t>。</w:t>
            </w:r>
          </w:p>
        </w:tc>
        <w:tc>
          <w:tcPr>
            <w:tcW w:w="2366" w:type="dxa"/>
            <w:tcBorders>
              <w:top w:val="single" w:color="auto" w:sz="4" w:space="0"/>
              <w:left w:val="single" w:color="auto" w:sz="6" w:space="0"/>
              <w:bottom w:val="single" w:color="auto" w:sz="2" w:space="0"/>
              <w:right w:val="single" w:color="auto" w:sz="2" w:space="0"/>
            </w:tcBorders>
            <w:vAlign w:val="center"/>
          </w:tcPr>
          <w:p>
            <w:pPr>
              <w:adjustRightInd w:val="0"/>
              <w:snapToGrid w:val="0"/>
              <w:spacing w:line="400" w:lineRule="exact"/>
              <w:jc w:val="center"/>
              <w:rPr>
                <w:szCs w:val="21"/>
              </w:rPr>
            </w:pPr>
            <w:r>
              <w:rPr>
                <w:rFonts w:hint="eastAsia"/>
                <w:kern w:val="0"/>
                <w:szCs w:val="21"/>
              </w:rPr>
              <w:t>目前未在其他项目上任职，或虽在其他项目上任职但本项目中标后能够从其他项目撤离，并能在本项目履约</w:t>
            </w:r>
          </w:p>
        </w:tc>
      </w:tr>
    </w:tbl>
    <w:p>
      <w:pPr>
        <w:spacing w:line="400" w:lineRule="exact"/>
        <w:ind w:right="-44" w:rightChars="-21"/>
        <w:jc w:val="left"/>
      </w:pPr>
      <w:r>
        <w:t xml:space="preserve"> </w:t>
      </w:r>
    </w:p>
    <w:bookmarkEnd w:id="1"/>
    <w:p>
      <w:pPr>
        <w:pStyle w:val="4"/>
        <w:spacing w:before="0" w:after="120" w:afterLines="50" w:line="312" w:lineRule="auto"/>
        <w:rPr>
          <w:rFonts w:ascii="Times New Roman" w:hAnsi="Times New Roman" w:eastAsia="宋体"/>
          <w:sz w:val="24"/>
          <w:szCs w:val="24"/>
        </w:rPr>
      </w:pPr>
      <w:r>
        <w:rPr>
          <w:rFonts w:ascii="Times New Roman" w:hAnsi="Times New Roman"/>
        </w:rPr>
        <w:br w:type="page"/>
      </w:r>
      <w:bookmarkEnd w:id="0"/>
      <w:bookmarkStart w:id="7" w:name="_Toc115354983"/>
      <w:bookmarkStart w:id="8" w:name="_Toc115360828"/>
      <w:bookmarkStart w:id="9" w:name="_Toc135068505"/>
      <w:bookmarkStart w:id="10" w:name="_Toc135063154"/>
      <w:r>
        <w:rPr>
          <w:rFonts w:ascii="Times New Roman" w:hAnsi="Times New Roman" w:eastAsia="宋体"/>
          <w:sz w:val="24"/>
          <w:szCs w:val="24"/>
        </w:rPr>
        <w:t>附件2：随机确定评标基准价计算方法的规则与程序</w:t>
      </w:r>
      <w:bookmarkEnd w:id="7"/>
      <w:bookmarkEnd w:id="8"/>
      <w:bookmarkEnd w:id="9"/>
      <w:bookmarkEnd w:id="10"/>
    </w:p>
    <w:p/>
    <w:p>
      <w:pPr>
        <w:adjustRightInd w:val="0"/>
        <w:spacing w:line="360" w:lineRule="auto"/>
        <w:jc w:val="left"/>
        <w:rPr>
          <w:b/>
          <w:sz w:val="24"/>
        </w:rPr>
      </w:pPr>
      <w:r>
        <w:rPr>
          <w:b/>
          <w:sz w:val="24"/>
        </w:rPr>
        <w:t>一、随机抽取投标人所投标段和评标基准价计算方法的规则</w:t>
      </w:r>
    </w:p>
    <w:p>
      <w:pPr>
        <w:adjustRightInd w:val="0"/>
        <w:spacing w:line="360" w:lineRule="auto"/>
        <w:ind w:firstLine="480" w:firstLineChars="200"/>
        <w:jc w:val="left"/>
        <w:rPr>
          <w:bCs/>
          <w:sz w:val="24"/>
        </w:rPr>
      </w:pPr>
      <w:r>
        <w:rPr>
          <w:bCs/>
          <w:sz w:val="24"/>
        </w:rPr>
        <w:t>参与随机抽取投标人所投标段和评标基准价计算方法的各方当事人（以下简称“各方”）应当严格遵守以下规则：</w:t>
      </w:r>
    </w:p>
    <w:p>
      <w:pPr>
        <w:adjustRightInd w:val="0"/>
        <w:spacing w:line="360" w:lineRule="auto"/>
        <w:ind w:firstLine="480" w:firstLineChars="200"/>
        <w:jc w:val="left"/>
        <w:rPr>
          <w:bCs/>
          <w:sz w:val="24"/>
        </w:rPr>
      </w:pPr>
      <w:r>
        <w:rPr>
          <w:bCs/>
          <w:sz w:val="24"/>
        </w:rPr>
        <w:t>（一）各方必须严格遵守公开、公平、公正和诚实信用原则；</w:t>
      </w:r>
    </w:p>
    <w:p>
      <w:pPr>
        <w:adjustRightInd w:val="0"/>
        <w:spacing w:line="360" w:lineRule="auto"/>
        <w:ind w:firstLine="480" w:firstLineChars="200"/>
        <w:jc w:val="left"/>
        <w:rPr>
          <w:bCs/>
          <w:sz w:val="24"/>
        </w:rPr>
      </w:pPr>
      <w:r>
        <w:rPr>
          <w:bCs/>
          <w:sz w:val="24"/>
        </w:rPr>
        <w:t>（二）随机抽取活动在招标人的主持下进行，由</w:t>
      </w:r>
      <w:r>
        <w:rPr>
          <w:rFonts w:hint="eastAsia"/>
          <w:bCs/>
          <w:sz w:val="24"/>
        </w:rPr>
        <w:t>监督人员</w:t>
      </w:r>
      <w:r>
        <w:rPr>
          <w:bCs/>
          <w:sz w:val="24"/>
        </w:rPr>
        <w:t>对全过程进行</w:t>
      </w:r>
      <w:r>
        <w:rPr>
          <w:rFonts w:hint="eastAsia"/>
          <w:bCs/>
          <w:sz w:val="24"/>
        </w:rPr>
        <w:t>监督</w:t>
      </w:r>
      <w:r>
        <w:rPr>
          <w:bCs/>
          <w:sz w:val="24"/>
        </w:rPr>
        <w:t>，招标人做好影像记录，并存档备查；</w:t>
      </w:r>
    </w:p>
    <w:p>
      <w:pPr>
        <w:adjustRightInd w:val="0"/>
        <w:spacing w:line="360" w:lineRule="auto"/>
        <w:ind w:firstLine="480" w:firstLineChars="200"/>
        <w:jc w:val="left"/>
        <w:rPr>
          <w:bCs/>
          <w:sz w:val="24"/>
        </w:rPr>
      </w:pPr>
      <w:r>
        <w:rPr>
          <w:bCs/>
          <w:sz w:val="24"/>
        </w:rPr>
        <w:t>（三）用于随机抽取的器具由招标人提供；</w:t>
      </w:r>
    </w:p>
    <w:p>
      <w:pPr>
        <w:adjustRightInd w:val="0"/>
        <w:spacing w:line="360" w:lineRule="auto"/>
        <w:ind w:firstLine="480" w:firstLineChars="200"/>
        <w:jc w:val="left"/>
        <w:rPr>
          <w:bCs/>
          <w:sz w:val="24"/>
        </w:rPr>
      </w:pPr>
      <w:r>
        <w:rPr>
          <w:bCs/>
          <w:sz w:val="24"/>
        </w:rPr>
        <w:t>（四）各方必须严格遵守现场纪律，确保随机抽取活动有序进行；</w:t>
      </w:r>
    </w:p>
    <w:p>
      <w:pPr>
        <w:adjustRightInd w:val="0"/>
        <w:spacing w:line="360" w:lineRule="auto"/>
        <w:ind w:firstLine="480" w:firstLineChars="200"/>
        <w:jc w:val="left"/>
        <w:rPr>
          <w:bCs/>
          <w:sz w:val="24"/>
        </w:rPr>
      </w:pPr>
      <w:r>
        <w:rPr>
          <w:bCs/>
          <w:sz w:val="24"/>
        </w:rPr>
        <w:t>（五）投标人对随机抽取过程有异议的，在惠招标电子招投标交易平台的开标大厅点异议按钮在线提出异议，招标人当场作出答复，并作好记录。</w:t>
      </w:r>
    </w:p>
    <w:p>
      <w:pPr>
        <w:snapToGrid w:val="0"/>
        <w:spacing w:line="360" w:lineRule="auto"/>
        <w:rPr>
          <w:b/>
          <w:sz w:val="24"/>
        </w:rPr>
      </w:pPr>
      <w:r>
        <w:rPr>
          <w:b/>
          <w:sz w:val="24"/>
        </w:rPr>
        <w:t>二、随机抽取确定评标基准价计算方法的程序</w:t>
      </w:r>
    </w:p>
    <w:p>
      <w:pPr>
        <w:adjustRightInd w:val="0"/>
        <w:spacing w:line="360" w:lineRule="auto"/>
        <w:ind w:firstLine="480" w:firstLineChars="200"/>
        <w:jc w:val="left"/>
        <w:rPr>
          <w:bCs/>
          <w:sz w:val="24"/>
        </w:rPr>
      </w:pPr>
      <w:r>
        <w:rPr>
          <w:bCs/>
          <w:sz w:val="24"/>
        </w:rPr>
        <w:t>（一）确定随机抽取代码球</w:t>
      </w:r>
    </w:p>
    <w:p>
      <w:pPr>
        <w:adjustRightInd w:val="0"/>
        <w:spacing w:line="360" w:lineRule="auto"/>
        <w:ind w:firstLine="480" w:firstLineChars="200"/>
        <w:jc w:val="left"/>
        <w:rPr>
          <w:bCs/>
          <w:sz w:val="24"/>
        </w:rPr>
      </w:pPr>
      <w:r>
        <w:rPr>
          <w:bCs/>
          <w:sz w:val="24"/>
        </w:rPr>
        <w:t>用抽取器具随机确定抽取代码球一套，作为本次随机抽取确定评标基准价计算方法的代码球。</w:t>
      </w:r>
    </w:p>
    <w:p>
      <w:pPr>
        <w:adjustRightInd w:val="0"/>
        <w:spacing w:line="360" w:lineRule="auto"/>
        <w:ind w:firstLine="480" w:firstLineChars="200"/>
        <w:jc w:val="left"/>
        <w:rPr>
          <w:bCs/>
          <w:sz w:val="24"/>
        </w:rPr>
      </w:pPr>
      <w:r>
        <w:rPr>
          <w:bCs/>
          <w:sz w:val="24"/>
        </w:rPr>
        <w:t>（二）本次招标共设置三种评标基准价计算方法（详见评标办法）。</w:t>
      </w:r>
    </w:p>
    <w:p>
      <w:pPr>
        <w:adjustRightInd w:val="0"/>
        <w:spacing w:line="360" w:lineRule="auto"/>
        <w:ind w:firstLine="480" w:firstLineChars="200"/>
        <w:jc w:val="left"/>
        <w:rPr>
          <w:bCs/>
          <w:sz w:val="24"/>
        </w:rPr>
      </w:pPr>
      <w:r>
        <w:rPr>
          <w:bCs/>
          <w:sz w:val="24"/>
        </w:rPr>
        <w:t>确定评标基准价计算方法的编号及代码球，1号球代表评标基准价计算方法1；2号球代表评标基准价计算方法2；3号球代表评标基准价计算方法3。</w:t>
      </w:r>
    </w:p>
    <w:p>
      <w:pPr>
        <w:adjustRightInd w:val="0"/>
        <w:spacing w:line="360" w:lineRule="auto"/>
        <w:ind w:firstLine="480" w:firstLineChars="200"/>
        <w:jc w:val="left"/>
        <w:rPr>
          <w:bCs/>
          <w:sz w:val="24"/>
        </w:rPr>
      </w:pPr>
      <w:r>
        <w:rPr>
          <w:bCs/>
          <w:sz w:val="24"/>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jc w:val="left"/>
        <w:rPr>
          <w:bCs/>
          <w:sz w:val="24"/>
        </w:rPr>
      </w:pPr>
      <w:r>
        <w:rPr>
          <w:bCs/>
          <w:sz w:val="24"/>
        </w:rPr>
        <w:t>（四）确定评标基准价计算方法需要的系数（如有）。</w:t>
      </w:r>
    </w:p>
    <w:p>
      <w:pPr>
        <w:adjustRightInd w:val="0"/>
        <w:spacing w:line="360" w:lineRule="auto"/>
        <w:ind w:firstLine="480" w:firstLineChars="200"/>
        <w:jc w:val="left"/>
        <w:rPr>
          <w:bCs/>
          <w:sz w:val="24"/>
        </w:rPr>
      </w:pPr>
      <w:r>
        <w:rPr>
          <w:bCs/>
          <w:sz w:val="24"/>
        </w:rPr>
        <w:t>如果确定的评标基准价计算方法为方法2，需要再抽取评标基准价系数K。K 值取值范围为</w:t>
      </w:r>
      <w:r>
        <w:rPr>
          <w:b/>
          <w:sz w:val="24"/>
        </w:rPr>
        <w:t>0.975、0.98、0.985、0.99、0.995</w:t>
      </w:r>
      <w:r>
        <w:rPr>
          <w:bCs/>
          <w:sz w:val="24"/>
        </w:rPr>
        <w:t>，共5个数值。1号球代表K值为0.975；2号球代表K值为0.98；3号球代表K值为0.985；4号球代表K值为0.99；5号球代表K值为0.995。在开标现场通过随机抽取方式确定一个评标基准价系数K，并当场公布。</w:t>
      </w:r>
    </w:p>
    <w:p>
      <w:pPr>
        <w:adjustRightInd w:val="0"/>
        <w:spacing w:line="360" w:lineRule="auto"/>
        <w:ind w:firstLine="480" w:firstLineChars="200"/>
        <w:jc w:val="left"/>
        <w:rPr>
          <w:bCs/>
          <w:sz w:val="24"/>
        </w:rPr>
      </w:pPr>
      <w:r>
        <w:rPr>
          <w:bCs/>
          <w:sz w:val="24"/>
        </w:rPr>
        <w:t>三、如果遇到抽取器具发生故障，导致随机确定评标基准价计算方法过程中断时，招标人应及时宣布发生故障之前的随机确定评标基准价计算方法结果有效。宣布前任何人不得随意处理抽取器具，并请招标人、监督人员三方对故障发生情况进行书面确认。故障排除或更换抽取器具后，招标人应宣布继续后续的抽取程序。</w:t>
      </w:r>
    </w:p>
    <w:p>
      <w:pPr>
        <w:pStyle w:val="4"/>
        <w:spacing w:before="0" w:after="120" w:afterLines="50" w:line="312" w:lineRule="auto"/>
        <w:rPr>
          <w:rFonts w:ascii="Times New Roman" w:hAnsi="Times New Roman" w:eastAsia="宋体"/>
          <w:sz w:val="24"/>
          <w:szCs w:val="24"/>
        </w:rPr>
      </w:pPr>
      <w:bookmarkStart w:id="11" w:name="_Toc135068506"/>
      <w:bookmarkStart w:id="12" w:name="_Toc135063155"/>
      <w:bookmarkStart w:id="13" w:name="_Toc115354984"/>
      <w:bookmarkStart w:id="14" w:name="_Toc115360829"/>
      <w:r>
        <w:rPr>
          <w:rFonts w:ascii="Times New Roman" w:hAnsi="Times New Roman" w:eastAsia="宋体"/>
          <w:sz w:val="24"/>
          <w:szCs w:val="24"/>
        </w:rPr>
        <w:br w:type="page"/>
      </w:r>
      <w:r>
        <w:rPr>
          <w:rFonts w:ascii="Times New Roman" w:hAnsi="Times New Roman" w:eastAsia="宋体"/>
          <w:sz w:val="24"/>
          <w:szCs w:val="24"/>
        </w:rPr>
        <w:t>附件3：评标办法</w:t>
      </w:r>
      <w:bookmarkEnd w:id="11"/>
      <w:bookmarkEnd w:id="12"/>
      <w:bookmarkEnd w:id="13"/>
      <w:bookmarkEnd w:id="14"/>
    </w:p>
    <w:p>
      <w:pPr>
        <w:pStyle w:val="2"/>
        <w:spacing w:line="360" w:lineRule="auto"/>
        <w:jc w:val="center"/>
        <w:rPr>
          <w:b/>
          <w:sz w:val="28"/>
          <w:szCs w:val="28"/>
        </w:rPr>
      </w:pPr>
      <w:bookmarkStart w:id="15" w:name="_Hlk88057076"/>
      <w:r>
        <w:rPr>
          <w:b/>
          <w:sz w:val="28"/>
          <w:szCs w:val="28"/>
        </w:rPr>
        <w:t>评标办法（综合评估法）</w:t>
      </w:r>
    </w:p>
    <w:p>
      <w:pPr>
        <w:pStyle w:val="2"/>
        <w:snapToGrid w:val="0"/>
        <w:spacing w:after="0"/>
        <w:rPr>
          <w:b/>
          <w:sz w:val="24"/>
        </w:rPr>
      </w:pPr>
      <w:bookmarkStart w:id="16" w:name="_Hlk135644612"/>
      <w:r>
        <w:rPr>
          <w:b/>
          <w:sz w:val="24"/>
        </w:rPr>
        <w:t>评标办法前附表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snapToGrid w:val="0"/>
              <w:spacing w:line="288" w:lineRule="auto"/>
              <w:jc w:val="center"/>
              <w:rPr>
                <w:b/>
                <w:szCs w:val="21"/>
              </w:rPr>
            </w:pPr>
            <w:r>
              <w:rPr>
                <w:b/>
                <w:szCs w:val="21"/>
              </w:rPr>
              <w:t>条款号</w:t>
            </w:r>
          </w:p>
        </w:tc>
        <w:tc>
          <w:tcPr>
            <w:tcW w:w="1246" w:type="dxa"/>
            <w:vAlign w:val="center"/>
          </w:tcPr>
          <w:p>
            <w:pPr>
              <w:snapToGrid w:val="0"/>
              <w:spacing w:line="288" w:lineRule="auto"/>
              <w:jc w:val="center"/>
              <w:rPr>
                <w:b/>
                <w:szCs w:val="21"/>
              </w:rPr>
            </w:pPr>
            <w:r>
              <w:rPr>
                <w:b/>
                <w:szCs w:val="21"/>
              </w:rPr>
              <w:t>条款名称</w:t>
            </w:r>
          </w:p>
        </w:tc>
        <w:tc>
          <w:tcPr>
            <w:tcW w:w="7106" w:type="dxa"/>
            <w:vAlign w:val="center"/>
          </w:tcPr>
          <w:p>
            <w:pPr>
              <w:snapToGrid w:val="0"/>
              <w:spacing w:line="288" w:lineRule="auto"/>
              <w:jc w:val="center"/>
              <w:rPr>
                <w:b/>
                <w:szCs w:val="21"/>
              </w:rPr>
            </w:pPr>
            <w:r>
              <w:rPr>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snapToGrid w:val="0"/>
              <w:spacing w:line="288" w:lineRule="auto"/>
              <w:jc w:val="center"/>
              <w:rPr>
                <w:szCs w:val="21"/>
              </w:rPr>
            </w:pPr>
            <w:r>
              <w:rPr>
                <w:szCs w:val="21"/>
              </w:rPr>
              <w:t>1</w:t>
            </w:r>
          </w:p>
        </w:tc>
        <w:tc>
          <w:tcPr>
            <w:tcW w:w="1246" w:type="dxa"/>
            <w:vAlign w:val="center"/>
          </w:tcPr>
          <w:p>
            <w:pPr>
              <w:snapToGrid w:val="0"/>
              <w:spacing w:line="288" w:lineRule="auto"/>
              <w:jc w:val="center"/>
              <w:rPr>
                <w:szCs w:val="21"/>
              </w:rPr>
            </w:pPr>
            <w:r>
              <w:rPr>
                <w:szCs w:val="21"/>
              </w:rPr>
              <w:t>评标办法</w:t>
            </w:r>
          </w:p>
        </w:tc>
        <w:tc>
          <w:tcPr>
            <w:tcW w:w="7106" w:type="dxa"/>
            <w:vAlign w:val="center"/>
          </w:tcPr>
          <w:p>
            <w:pPr>
              <w:snapToGrid w:val="0"/>
              <w:spacing w:line="360" w:lineRule="auto"/>
              <w:ind w:firstLine="420" w:firstLineChars="200"/>
              <w:rPr>
                <w:szCs w:val="21"/>
              </w:rPr>
            </w:pPr>
            <w:r>
              <w:rPr>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snapToGrid w:val="0"/>
              <w:spacing w:line="360" w:lineRule="auto"/>
              <w:ind w:firstLine="420" w:firstLineChars="200"/>
              <w:rPr>
                <w:szCs w:val="21"/>
              </w:rPr>
            </w:pPr>
            <w:r>
              <w:rPr>
                <w:szCs w:val="21"/>
              </w:rPr>
              <w:t>（1）评标价低的投标人优先；</w:t>
            </w:r>
          </w:p>
          <w:p>
            <w:pPr>
              <w:snapToGrid w:val="0"/>
              <w:spacing w:line="360" w:lineRule="auto"/>
              <w:ind w:firstLine="420" w:firstLineChars="200"/>
              <w:rPr>
                <w:szCs w:val="21"/>
              </w:rPr>
            </w:pPr>
            <w:r>
              <w:rPr>
                <w:szCs w:val="21"/>
              </w:rPr>
              <w:t>（2）承包人建议书部分评分较高的投标人优先；</w:t>
            </w:r>
          </w:p>
          <w:p>
            <w:pPr>
              <w:snapToGrid w:val="0"/>
              <w:spacing w:line="360" w:lineRule="auto"/>
              <w:ind w:firstLine="420" w:firstLineChars="200"/>
              <w:rPr>
                <w:szCs w:val="21"/>
              </w:rPr>
            </w:pPr>
            <w:r>
              <w:rPr>
                <w:szCs w:val="21"/>
              </w:rPr>
              <w:t>（3）满足资格审查条件(业绩最低要求)要求的施工业绩累计合同金额高的优先。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pPr>
              <w:snapToGrid w:val="0"/>
              <w:spacing w:line="288" w:lineRule="auto"/>
              <w:jc w:val="center"/>
              <w:rPr>
                <w:szCs w:val="21"/>
              </w:rPr>
            </w:pPr>
            <w:r>
              <w:rPr>
                <w:szCs w:val="21"/>
              </w:rPr>
              <w:t>2.1.1</w:t>
            </w:r>
          </w:p>
          <w:p>
            <w:pPr>
              <w:snapToGrid w:val="0"/>
              <w:spacing w:line="288" w:lineRule="auto"/>
              <w:jc w:val="center"/>
              <w:rPr>
                <w:szCs w:val="21"/>
              </w:rPr>
            </w:pPr>
            <w:r>
              <w:rPr>
                <w:szCs w:val="21"/>
              </w:rPr>
              <w:t>2.1.3</w:t>
            </w:r>
          </w:p>
        </w:tc>
        <w:tc>
          <w:tcPr>
            <w:tcW w:w="1246" w:type="dxa"/>
            <w:vAlign w:val="center"/>
          </w:tcPr>
          <w:p>
            <w:pPr>
              <w:snapToGrid w:val="0"/>
              <w:spacing w:line="288" w:lineRule="auto"/>
              <w:jc w:val="center"/>
              <w:rPr>
                <w:szCs w:val="21"/>
              </w:rPr>
            </w:pPr>
            <w:r>
              <w:rPr>
                <w:szCs w:val="21"/>
              </w:rPr>
              <w:t>形式评审与响应性评审标准</w:t>
            </w:r>
          </w:p>
        </w:tc>
        <w:tc>
          <w:tcPr>
            <w:tcW w:w="7106" w:type="dxa"/>
          </w:tcPr>
          <w:p>
            <w:pPr>
              <w:tabs>
                <w:tab w:val="left" w:pos="3060"/>
              </w:tabs>
              <w:snapToGrid w:val="0"/>
              <w:spacing w:line="288" w:lineRule="auto"/>
              <w:rPr>
                <w:b/>
                <w:szCs w:val="21"/>
              </w:rPr>
            </w:pPr>
            <w:r>
              <w:rPr>
                <w:b/>
                <w:szCs w:val="21"/>
              </w:rPr>
              <w:t>第一个信封（商务及技术文件）评审标准：</w:t>
            </w:r>
          </w:p>
          <w:p>
            <w:pPr>
              <w:snapToGrid w:val="0"/>
              <w:spacing w:line="288" w:lineRule="auto"/>
              <w:ind w:firstLine="384" w:firstLineChars="183"/>
              <w:jc w:val="left"/>
              <w:rPr>
                <w:szCs w:val="21"/>
              </w:rPr>
            </w:pPr>
            <w:r>
              <w:rPr>
                <w:szCs w:val="21"/>
              </w:rPr>
              <w:t>（1）投标文件按照招标文件规定的格式、内容填写，字迹清晰可辨：</w:t>
            </w:r>
          </w:p>
          <w:p>
            <w:pPr>
              <w:snapToGrid w:val="0"/>
              <w:spacing w:line="288" w:lineRule="auto"/>
              <w:ind w:firstLine="384" w:firstLineChars="183"/>
              <w:rPr>
                <w:szCs w:val="21"/>
              </w:rPr>
            </w:pPr>
            <w:r>
              <w:rPr>
                <w:szCs w:val="21"/>
              </w:rPr>
              <w:t>a.投标函按招标文件规定填报了项目名称、补遗书编号（如有）、工程质量、安全目标、工期、项目经理、设计负责人和</w:t>
            </w:r>
            <w:r>
              <w:rPr>
                <w:rFonts w:hint="eastAsia"/>
                <w:szCs w:val="21"/>
              </w:rPr>
              <w:t>项目总工</w:t>
            </w:r>
            <w:r>
              <w:rPr>
                <w:szCs w:val="21"/>
              </w:rPr>
              <w:t>信息；</w:t>
            </w:r>
          </w:p>
          <w:p>
            <w:pPr>
              <w:snapToGrid w:val="0"/>
              <w:spacing w:line="288" w:lineRule="auto"/>
              <w:ind w:firstLine="384" w:firstLineChars="183"/>
              <w:jc w:val="left"/>
              <w:rPr>
                <w:szCs w:val="21"/>
              </w:rPr>
            </w:pPr>
            <w:r>
              <w:rPr>
                <w:szCs w:val="21"/>
              </w:rPr>
              <w:t>b.投标函附录的所有数据均符合招标文件规定；</w:t>
            </w:r>
          </w:p>
          <w:p>
            <w:pPr>
              <w:snapToGrid w:val="0"/>
              <w:spacing w:line="288" w:lineRule="auto"/>
              <w:ind w:firstLine="384" w:firstLineChars="183"/>
              <w:jc w:val="left"/>
              <w:rPr>
                <w:szCs w:val="21"/>
              </w:rPr>
            </w:pPr>
            <w:r>
              <w:rPr>
                <w:szCs w:val="21"/>
              </w:rPr>
              <w:t>c.投标文件组成齐全完整，内容均按规定填写。</w:t>
            </w:r>
          </w:p>
          <w:p>
            <w:pPr>
              <w:snapToGrid w:val="0"/>
              <w:spacing w:line="288" w:lineRule="auto"/>
              <w:ind w:firstLine="384" w:firstLineChars="183"/>
              <w:jc w:val="left"/>
              <w:rPr>
                <w:szCs w:val="21"/>
              </w:rPr>
            </w:pPr>
            <w:r>
              <w:rPr>
                <w:szCs w:val="21"/>
              </w:rPr>
              <w:t>（2）投标文件上法定代表人或其授权代理人的签字、投标人的单位章盖章齐全，符合招标文件规定。</w:t>
            </w:r>
          </w:p>
          <w:p>
            <w:pPr>
              <w:snapToGrid w:val="0"/>
              <w:spacing w:line="288" w:lineRule="auto"/>
              <w:ind w:firstLine="384" w:firstLineChars="183"/>
              <w:textAlignment w:val="baseline"/>
              <w:rPr>
                <w:szCs w:val="21"/>
              </w:rPr>
            </w:pPr>
            <w:r>
              <w:rPr>
                <w:szCs w:val="21"/>
              </w:rPr>
              <w:t>（3）</w:t>
            </w:r>
            <w:r>
              <w:rPr>
                <w:kern w:val="0"/>
                <w:szCs w:val="21"/>
              </w:rPr>
              <w:t>投标人按照招标文件规定的金额、形式、时效和内容提供了投标保证金</w:t>
            </w:r>
            <w:r>
              <w:rPr>
                <w:rFonts w:hint="eastAsia"/>
                <w:kern w:val="0"/>
                <w:szCs w:val="21"/>
              </w:rPr>
              <w:t>，并符合投标人须知前附表</w:t>
            </w:r>
            <w:r>
              <w:rPr>
                <w:szCs w:val="21"/>
              </w:rPr>
              <w:t>3.4.1</w:t>
            </w:r>
            <w:r>
              <w:rPr>
                <w:rFonts w:hint="eastAsia"/>
                <w:szCs w:val="21"/>
              </w:rPr>
              <w:t>项的相关规定。</w:t>
            </w:r>
          </w:p>
          <w:p>
            <w:pPr>
              <w:snapToGrid w:val="0"/>
              <w:spacing w:line="288" w:lineRule="auto"/>
              <w:ind w:firstLine="384" w:firstLineChars="183"/>
              <w:jc w:val="left"/>
              <w:rPr>
                <w:szCs w:val="21"/>
              </w:rPr>
            </w:pPr>
            <w:r>
              <w:rPr>
                <w:szCs w:val="21"/>
              </w:rPr>
              <w:t>（4）投标人法定代表人授权委托代理人签署投标文件的，须提交授权委托书，授权委托书符合招标文件规定。</w:t>
            </w:r>
          </w:p>
          <w:p>
            <w:pPr>
              <w:snapToGrid w:val="0"/>
              <w:spacing w:line="288" w:lineRule="auto"/>
              <w:ind w:firstLine="384" w:firstLineChars="183"/>
              <w:jc w:val="left"/>
              <w:rPr>
                <w:szCs w:val="21"/>
              </w:rPr>
            </w:pPr>
            <w:r>
              <w:rPr>
                <w:szCs w:val="21"/>
              </w:rPr>
              <w:t>（5）投标人法定代表人亲自签署投标文件的，须提供法定代表人身份证明，法定代表人身份证明符合招标文件规定。</w:t>
            </w:r>
          </w:p>
          <w:p>
            <w:pPr>
              <w:snapToGrid w:val="0"/>
              <w:spacing w:line="288" w:lineRule="auto"/>
              <w:ind w:firstLine="384" w:firstLineChars="183"/>
              <w:rPr>
                <w:szCs w:val="21"/>
              </w:rPr>
            </w:pPr>
            <w:r>
              <w:rPr>
                <w:szCs w:val="21"/>
              </w:rPr>
              <w:t>（6）投标人以联合体形式投标时，联合体满足招标文件的要求：</w:t>
            </w:r>
          </w:p>
          <w:p>
            <w:pPr>
              <w:snapToGrid w:val="0"/>
              <w:spacing w:line="288" w:lineRule="auto"/>
              <w:ind w:firstLine="384" w:firstLineChars="183"/>
              <w:rPr>
                <w:szCs w:val="21"/>
              </w:rPr>
            </w:pPr>
            <w:r>
              <w:rPr>
                <w:szCs w:val="21"/>
              </w:rPr>
              <w:t>投标人按照招标文件提供的格式和要求签订了联合体协议书，明确各方承担连带责任，并明确了联合体牵头人。</w:t>
            </w:r>
          </w:p>
          <w:p>
            <w:pPr>
              <w:snapToGrid w:val="0"/>
              <w:spacing w:line="288" w:lineRule="auto"/>
              <w:ind w:right="113" w:firstLine="384" w:firstLineChars="183"/>
              <w:rPr>
                <w:szCs w:val="21"/>
                <w:lang w:val="zh-CN" w:bidi="zh-CN"/>
              </w:rPr>
            </w:pPr>
            <w:r>
              <w:rPr>
                <w:szCs w:val="21"/>
              </w:rPr>
              <w:t>（7）</w:t>
            </w:r>
            <w:r>
              <w:rPr>
                <w:rFonts w:hint="eastAsia"/>
                <w:szCs w:val="21"/>
                <w:lang w:val="zh-CN" w:bidi="zh-CN"/>
              </w:rPr>
              <w:t>投标人未将项目进行分包。</w:t>
            </w:r>
          </w:p>
          <w:p>
            <w:pPr>
              <w:snapToGrid w:val="0"/>
              <w:spacing w:line="288" w:lineRule="auto"/>
              <w:ind w:right="113" w:firstLine="384" w:firstLineChars="183"/>
              <w:rPr>
                <w:szCs w:val="21"/>
              </w:rPr>
            </w:pPr>
            <w:r>
              <w:rPr>
                <w:rFonts w:hint="eastAsia"/>
                <w:szCs w:val="21"/>
                <w:lang w:val="zh-CN" w:bidi="zh-CN"/>
              </w:rPr>
              <w:t>（8）投标人未提交备选方案</w:t>
            </w:r>
            <w:r>
              <w:rPr>
                <w:szCs w:val="21"/>
                <w:lang w:val="zh-CN" w:bidi="zh-CN"/>
              </w:rPr>
              <w:t>。</w:t>
            </w:r>
          </w:p>
          <w:p>
            <w:pPr>
              <w:snapToGrid w:val="0"/>
              <w:spacing w:line="288" w:lineRule="auto"/>
              <w:ind w:firstLine="384" w:firstLineChars="183"/>
              <w:jc w:val="left"/>
              <w:rPr>
                <w:szCs w:val="21"/>
              </w:rPr>
            </w:pPr>
            <w:r>
              <w:rPr>
                <w:szCs w:val="21"/>
              </w:rPr>
              <w:t>（9）同一投标人未提交两个以上不同的投标文件。</w:t>
            </w:r>
          </w:p>
          <w:p>
            <w:pPr>
              <w:snapToGrid w:val="0"/>
              <w:spacing w:line="288" w:lineRule="auto"/>
              <w:ind w:firstLine="384" w:firstLineChars="183"/>
              <w:jc w:val="left"/>
              <w:rPr>
                <w:szCs w:val="21"/>
              </w:rPr>
            </w:pPr>
            <w:r>
              <w:rPr>
                <w:szCs w:val="21"/>
              </w:rPr>
              <w:t>（10）投标文件第一个信封（商务及技术文件）中未出现有关投标报价的内容。</w:t>
            </w:r>
          </w:p>
          <w:p>
            <w:pPr>
              <w:snapToGrid w:val="0"/>
              <w:spacing w:line="288" w:lineRule="auto"/>
              <w:ind w:firstLine="384" w:firstLineChars="183"/>
              <w:jc w:val="left"/>
              <w:rPr>
                <w:szCs w:val="21"/>
              </w:rPr>
            </w:pPr>
            <w:r>
              <w:rPr>
                <w:szCs w:val="21"/>
              </w:rPr>
              <w:t>（11）投标文件载明的招标项目完成期限，符合招标文件规定。</w:t>
            </w:r>
          </w:p>
          <w:p>
            <w:pPr>
              <w:snapToGrid w:val="0"/>
              <w:spacing w:line="288" w:lineRule="auto"/>
              <w:ind w:firstLine="384" w:firstLineChars="183"/>
              <w:jc w:val="left"/>
              <w:rPr>
                <w:szCs w:val="21"/>
              </w:rPr>
            </w:pPr>
            <w:r>
              <w:rPr>
                <w:szCs w:val="21"/>
              </w:rPr>
              <w:t>（12）投标文件对招标文件的实质性要求和条件作出响应。</w:t>
            </w:r>
          </w:p>
          <w:p>
            <w:pPr>
              <w:snapToGrid w:val="0"/>
              <w:spacing w:line="288" w:lineRule="auto"/>
              <w:ind w:firstLine="384" w:firstLineChars="183"/>
              <w:jc w:val="left"/>
              <w:rPr>
                <w:szCs w:val="21"/>
              </w:rPr>
            </w:pPr>
            <w:r>
              <w:rPr>
                <w:szCs w:val="21"/>
              </w:rPr>
              <w:t>（13）权利义务符合招标文件规定：</w:t>
            </w:r>
          </w:p>
          <w:p>
            <w:pPr>
              <w:snapToGrid w:val="0"/>
              <w:spacing w:line="288" w:lineRule="auto"/>
              <w:ind w:firstLine="384" w:firstLineChars="183"/>
              <w:jc w:val="left"/>
              <w:rPr>
                <w:szCs w:val="21"/>
              </w:rPr>
            </w:pPr>
            <w:r>
              <w:rPr>
                <w:szCs w:val="21"/>
              </w:rPr>
              <w:t>a.投标人应接受招标文件规定的风险划分原则，未提出新的风险划分办法；</w:t>
            </w:r>
          </w:p>
          <w:p>
            <w:pPr>
              <w:snapToGrid w:val="0"/>
              <w:spacing w:line="288" w:lineRule="auto"/>
              <w:ind w:firstLine="384" w:firstLineChars="183"/>
              <w:jc w:val="left"/>
              <w:rPr>
                <w:szCs w:val="21"/>
              </w:rPr>
            </w:pPr>
            <w:r>
              <w:rPr>
                <w:szCs w:val="21"/>
              </w:rPr>
              <w:t>b.投标人未增加发包人的责任范围，或减少投标人义务；</w:t>
            </w:r>
          </w:p>
          <w:p>
            <w:pPr>
              <w:snapToGrid w:val="0"/>
              <w:spacing w:line="288" w:lineRule="auto"/>
              <w:ind w:firstLine="384" w:firstLineChars="183"/>
              <w:jc w:val="left"/>
              <w:rPr>
                <w:szCs w:val="21"/>
              </w:rPr>
            </w:pPr>
            <w:r>
              <w:rPr>
                <w:szCs w:val="21"/>
              </w:rPr>
              <w:t>c.投标人未提出不同的支付办法；</w:t>
            </w:r>
          </w:p>
          <w:p>
            <w:pPr>
              <w:snapToGrid w:val="0"/>
              <w:spacing w:line="288" w:lineRule="auto"/>
              <w:ind w:firstLine="384" w:firstLineChars="183"/>
              <w:jc w:val="left"/>
              <w:rPr>
                <w:szCs w:val="21"/>
              </w:rPr>
            </w:pPr>
            <w:r>
              <w:rPr>
                <w:szCs w:val="21"/>
              </w:rPr>
              <w:t>d.投标人对合同纠纷、事故处理办法未提出异议；</w:t>
            </w:r>
          </w:p>
          <w:p>
            <w:pPr>
              <w:snapToGrid w:val="0"/>
              <w:spacing w:line="288" w:lineRule="auto"/>
              <w:ind w:firstLine="384" w:firstLineChars="183"/>
              <w:jc w:val="left"/>
              <w:rPr>
                <w:szCs w:val="21"/>
              </w:rPr>
            </w:pPr>
            <w:r>
              <w:rPr>
                <w:szCs w:val="21"/>
              </w:rPr>
              <w:t>e.投标人在投标活动中无欺诈行为；</w:t>
            </w:r>
          </w:p>
          <w:p>
            <w:pPr>
              <w:snapToGrid w:val="0"/>
              <w:spacing w:line="288" w:lineRule="auto"/>
              <w:ind w:firstLine="384" w:firstLineChars="183"/>
              <w:jc w:val="left"/>
              <w:rPr>
                <w:szCs w:val="21"/>
              </w:rPr>
            </w:pPr>
            <w:r>
              <w:rPr>
                <w:szCs w:val="21"/>
              </w:rPr>
              <w:t>f.投标人未对合同条款有重要保留。</w:t>
            </w:r>
          </w:p>
          <w:p>
            <w:pPr>
              <w:tabs>
                <w:tab w:val="left" w:pos="3060"/>
              </w:tabs>
              <w:snapToGrid w:val="0"/>
              <w:spacing w:line="288" w:lineRule="auto"/>
              <w:ind w:firstLine="386" w:firstLineChars="183"/>
              <w:rPr>
                <w:b/>
                <w:szCs w:val="21"/>
              </w:rPr>
            </w:pPr>
            <w:r>
              <w:rPr>
                <w:b/>
                <w:szCs w:val="21"/>
              </w:rPr>
              <w:t>第二个信封（报价文件）评审标准：</w:t>
            </w:r>
          </w:p>
          <w:p>
            <w:pPr>
              <w:snapToGrid w:val="0"/>
              <w:spacing w:line="288" w:lineRule="auto"/>
              <w:ind w:firstLine="384" w:firstLineChars="183"/>
              <w:jc w:val="left"/>
              <w:rPr>
                <w:bCs/>
                <w:szCs w:val="21"/>
              </w:rPr>
            </w:pPr>
            <w:r>
              <w:rPr>
                <w:szCs w:val="21"/>
              </w:rPr>
              <w:t>（1）投标文件按照招标文件规定的格式、内容填写，字迹清晰可辨：</w:t>
            </w:r>
          </w:p>
          <w:p>
            <w:pPr>
              <w:snapToGrid w:val="0"/>
              <w:spacing w:line="288" w:lineRule="auto"/>
              <w:ind w:firstLine="384" w:firstLineChars="183"/>
              <w:jc w:val="left"/>
              <w:rPr>
                <w:bCs/>
                <w:szCs w:val="21"/>
              </w:rPr>
            </w:pPr>
            <w:r>
              <w:rPr>
                <w:bCs/>
                <w:szCs w:val="21"/>
              </w:rPr>
              <w:t>a.投标函按招标文件规定填报了项目名称、补遗书编号（如有）、投标价（包括大写金额和小写金额）；</w:t>
            </w:r>
          </w:p>
          <w:p>
            <w:pPr>
              <w:snapToGrid w:val="0"/>
              <w:spacing w:line="288" w:lineRule="auto"/>
              <w:ind w:firstLine="384" w:firstLineChars="183"/>
              <w:jc w:val="left"/>
              <w:rPr>
                <w:bCs/>
                <w:szCs w:val="21"/>
              </w:rPr>
            </w:pPr>
            <w:r>
              <w:rPr>
                <w:rFonts w:hint="eastAsia"/>
                <w:bCs/>
                <w:szCs w:val="21"/>
              </w:rPr>
              <w:t>b.清单说明文字与招标文件规定一致，未进行实质性修改和删减；</w:t>
            </w:r>
          </w:p>
          <w:p>
            <w:pPr>
              <w:snapToGrid w:val="0"/>
              <w:spacing w:line="288" w:lineRule="auto"/>
              <w:ind w:firstLine="384" w:firstLineChars="183"/>
              <w:jc w:val="left"/>
              <w:rPr>
                <w:bCs/>
                <w:szCs w:val="21"/>
              </w:rPr>
            </w:pPr>
            <w:r>
              <w:rPr>
                <w:bCs/>
                <w:szCs w:val="21"/>
              </w:rPr>
              <w:t>c.投标</w:t>
            </w:r>
            <w:r>
              <w:rPr>
                <w:szCs w:val="21"/>
              </w:rPr>
              <w:t>文件</w:t>
            </w:r>
            <w:r>
              <w:rPr>
                <w:bCs/>
                <w:szCs w:val="21"/>
              </w:rPr>
              <w:t>组成齐全完整，内容均按规定填写。</w:t>
            </w:r>
          </w:p>
          <w:p>
            <w:pPr>
              <w:snapToGrid w:val="0"/>
              <w:spacing w:line="288" w:lineRule="auto"/>
              <w:ind w:firstLine="384" w:firstLineChars="183"/>
              <w:jc w:val="left"/>
              <w:rPr>
                <w:bCs/>
                <w:szCs w:val="21"/>
              </w:rPr>
            </w:pPr>
            <w:r>
              <w:rPr>
                <w:bCs/>
                <w:szCs w:val="21"/>
              </w:rPr>
              <w:t>（2）</w:t>
            </w:r>
            <w:r>
              <w:rPr>
                <w:szCs w:val="21"/>
              </w:rPr>
              <w:t>投标文件上法定代表人或其授权代理人的签字、投标人的单位章盖章齐全，符合招标文件规定</w:t>
            </w:r>
            <w:r>
              <w:rPr>
                <w:bCs/>
                <w:szCs w:val="21"/>
              </w:rPr>
              <w:t>。</w:t>
            </w:r>
          </w:p>
          <w:p>
            <w:pPr>
              <w:snapToGrid w:val="0"/>
              <w:spacing w:line="288" w:lineRule="auto"/>
              <w:ind w:firstLine="384" w:firstLineChars="183"/>
              <w:jc w:val="left"/>
              <w:rPr>
                <w:bCs/>
                <w:szCs w:val="21"/>
              </w:rPr>
            </w:pPr>
            <w:r>
              <w:rPr>
                <w:bCs/>
                <w:szCs w:val="21"/>
              </w:rPr>
              <w:t>（3）投标报价未超过招标文件设定的最高投标限价。</w:t>
            </w:r>
          </w:p>
          <w:p>
            <w:pPr>
              <w:snapToGrid w:val="0"/>
              <w:spacing w:line="288" w:lineRule="auto"/>
              <w:ind w:firstLine="384" w:firstLineChars="183"/>
              <w:jc w:val="left"/>
              <w:rPr>
                <w:bCs/>
                <w:szCs w:val="21"/>
              </w:rPr>
            </w:pPr>
            <w:r>
              <w:rPr>
                <w:bCs/>
                <w:szCs w:val="21"/>
              </w:rPr>
              <w:t>（4）投标</w:t>
            </w:r>
            <w:r>
              <w:rPr>
                <w:szCs w:val="21"/>
              </w:rPr>
              <w:t>报价</w:t>
            </w:r>
            <w:r>
              <w:rPr>
                <w:bCs/>
                <w:szCs w:val="21"/>
              </w:rPr>
              <w:t>的大写金额能够确定具体数值。</w:t>
            </w:r>
          </w:p>
          <w:p>
            <w:pPr>
              <w:snapToGrid w:val="0"/>
              <w:spacing w:line="288" w:lineRule="auto"/>
              <w:ind w:firstLine="384" w:firstLineChars="183"/>
              <w:jc w:val="left"/>
              <w:rPr>
                <w:bCs/>
                <w:szCs w:val="21"/>
              </w:rPr>
            </w:pPr>
            <w:r>
              <w:rPr>
                <w:bCs/>
                <w:szCs w:val="21"/>
              </w:rPr>
              <w:t>（5）同一</w:t>
            </w:r>
            <w:r>
              <w:rPr>
                <w:szCs w:val="21"/>
              </w:rPr>
              <w:t>投标人</w:t>
            </w:r>
            <w:r>
              <w:rPr>
                <w:bCs/>
                <w:szCs w:val="21"/>
              </w:rPr>
              <w:t>未提交两个以上不同的投标报价</w:t>
            </w:r>
            <w:r>
              <w:rPr>
                <w:rFonts w:hint="eastAsia"/>
                <w:bCs/>
                <w:szCs w:val="21"/>
              </w:rPr>
              <w:t>。</w:t>
            </w:r>
          </w:p>
          <w:p>
            <w:pPr>
              <w:snapToGrid w:val="0"/>
              <w:spacing w:line="288" w:lineRule="auto"/>
              <w:ind w:firstLine="384" w:firstLineChars="183"/>
              <w:jc w:val="left"/>
              <w:rPr>
                <w:bCs/>
                <w:szCs w:val="21"/>
              </w:rPr>
            </w:pPr>
            <w:r>
              <w:rPr>
                <w:rFonts w:hint="eastAsia"/>
                <w:bCs/>
                <w:szCs w:val="21"/>
              </w:rPr>
              <w:t>（6）投标人未提交调价函</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48" w:type="dxa"/>
            <w:vAlign w:val="center"/>
          </w:tcPr>
          <w:p>
            <w:pPr>
              <w:snapToGrid w:val="0"/>
              <w:spacing w:line="288" w:lineRule="auto"/>
              <w:jc w:val="center"/>
              <w:rPr>
                <w:szCs w:val="21"/>
              </w:rPr>
            </w:pPr>
            <w:r>
              <w:rPr>
                <w:szCs w:val="21"/>
              </w:rPr>
              <w:t>2.1.2</w:t>
            </w:r>
          </w:p>
        </w:tc>
        <w:tc>
          <w:tcPr>
            <w:tcW w:w="1246" w:type="dxa"/>
            <w:vAlign w:val="center"/>
          </w:tcPr>
          <w:p>
            <w:pPr>
              <w:snapToGrid w:val="0"/>
              <w:spacing w:line="288" w:lineRule="auto"/>
              <w:jc w:val="center"/>
              <w:rPr>
                <w:szCs w:val="21"/>
              </w:rPr>
            </w:pPr>
            <w:r>
              <w:rPr>
                <w:szCs w:val="21"/>
              </w:rPr>
              <w:t>资格评审标准</w:t>
            </w:r>
          </w:p>
        </w:tc>
        <w:tc>
          <w:tcPr>
            <w:tcW w:w="7106" w:type="dxa"/>
            <w:vAlign w:val="center"/>
          </w:tcPr>
          <w:p>
            <w:pPr>
              <w:snapToGrid w:val="0"/>
              <w:spacing w:line="288" w:lineRule="auto"/>
              <w:ind w:firstLine="386" w:firstLineChars="184"/>
              <w:jc w:val="left"/>
              <w:rPr>
                <w:bCs/>
                <w:szCs w:val="21"/>
              </w:rPr>
            </w:pPr>
            <w:r>
              <w:rPr>
                <w:szCs w:val="21"/>
              </w:rPr>
              <w:t>（1）投标</w:t>
            </w:r>
            <w:r>
              <w:rPr>
                <w:bCs/>
                <w:szCs w:val="21"/>
              </w:rPr>
              <w:t>人具备有效的营业执照、资质证书、安全生产许可证和基本账户开户许可证（或基本存款账户信息）。</w:t>
            </w:r>
          </w:p>
          <w:p>
            <w:pPr>
              <w:snapToGrid w:val="0"/>
              <w:spacing w:line="288" w:lineRule="auto"/>
              <w:ind w:firstLine="386" w:firstLineChars="184"/>
              <w:jc w:val="left"/>
              <w:rPr>
                <w:bCs/>
                <w:szCs w:val="21"/>
              </w:rPr>
            </w:pPr>
            <w:r>
              <w:rPr>
                <w:bCs/>
                <w:szCs w:val="21"/>
              </w:rPr>
              <w:t>（2）投标人的资质等级符合招标文件规定。</w:t>
            </w:r>
          </w:p>
          <w:p>
            <w:pPr>
              <w:snapToGrid w:val="0"/>
              <w:spacing w:line="288" w:lineRule="auto"/>
              <w:ind w:firstLine="386" w:firstLineChars="184"/>
              <w:jc w:val="left"/>
              <w:rPr>
                <w:bCs/>
                <w:szCs w:val="21"/>
              </w:rPr>
            </w:pPr>
            <w:r>
              <w:rPr>
                <w:bCs/>
                <w:szCs w:val="21"/>
              </w:rPr>
              <w:t>（3）投标人的财务状况符合招标文件规定。</w:t>
            </w:r>
          </w:p>
          <w:p>
            <w:pPr>
              <w:snapToGrid w:val="0"/>
              <w:spacing w:line="288" w:lineRule="auto"/>
              <w:ind w:firstLine="386" w:firstLineChars="184"/>
              <w:jc w:val="left"/>
              <w:rPr>
                <w:bCs/>
                <w:szCs w:val="21"/>
              </w:rPr>
            </w:pPr>
            <w:r>
              <w:rPr>
                <w:bCs/>
                <w:szCs w:val="21"/>
              </w:rPr>
              <w:t>（4）投标人的类似项目业绩符合招标文件规定。</w:t>
            </w:r>
          </w:p>
          <w:p>
            <w:pPr>
              <w:snapToGrid w:val="0"/>
              <w:spacing w:line="288" w:lineRule="auto"/>
              <w:ind w:firstLine="386" w:firstLineChars="184"/>
              <w:jc w:val="left"/>
              <w:rPr>
                <w:bCs/>
                <w:szCs w:val="21"/>
              </w:rPr>
            </w:pPr>
            <w:r>
              <w:rPr>
                <w:bCs/>
                <w:szCs w:val="21"/>
              </w:rPr>
              <w:t>（5）投标人的信誉符合招标文件规定。</w:t>
            </w:r>
          </w:p>
          <w:p>
            <w:pPr>
              <w:snapToGrid w:val="0"/>
              <w:spacing w:line="288" w:lineRule="auto"/>
              <w:ind w:right="-63" w:rightChars="-30" w:firstLine="386" w:firstLineChars="184"/>
              <w:jc w:val="left"/>
              <w:rPr>
                <w:bCs/>
                <w:szCs w:val="21"/>
              </w:rPr>
            </w:pPr>
            <w:r>
              <w:rPr>
                <w:bCs/>
                <w:szCs w:val="21"/>
              </w:rPr>
              <w:t>（6）投标人的项目经理、设计负责人和</w:t>
            </w:r>
            <w:r>
              <w:rPr>
                <w:rFonts w:hint="eastAsia"/>
                <w:bCs/>
                <w:szCs w:val="21"/>
              </w:rPr>
              <w:t>项目总工</w:t>
            </w:r>
            <w:r>
              <w:rPr>
                <w:bCs/>
                <w:szCs w:val="21"/>
              </w:rPr>
              <w:t>资格符合招标文件规定。</w:t>
            </w:r>
          </w:p>
          <w:p>
            <w:pPr>
              <w:snapToGrid w:val="0"/>
              <w:spacing w:line="288" w:lineRule="auto"/>
              <w:ind w:right="-59" w:rightChars="-28" w:firstLine="386" w:firstLineChars="184"/>
              <w:jc w:val="left"/>
              <w:rPr>
                <w:bCs/>
                <w:szCs w:val="21"/>
              </w:rPr>
            </w:pPr>
            <w:r>
              <w:rPr>
                <w:bCs/>
                <w:szCs w:val="21"/>
              </w:rPr>
              <w:t>（7）投标人不存在第二章“投标人须知”第1.4.3项、第1.4.4项、第1.4.5项规定的任何一种情形。</w:t>
            </w:r>
          </w:p>
          <w:p>
            <w:pPr>
              <w:snapToGrid w:val="0"/>
              <w:spacing w:line="288" w:lineRule="auto"/>
              <w:ind w:firstLine="386" w:firstLineChars="184"/>
              <w:jc w:val="left"/>
              <w:rPr>
                <w:bCs/>
                <w:szCs w:val="21"/>
              </w:rPr>
            </w:pPr>
            <w:r>
              <w:rPr>
                <w:bCs/>
                <w:szCs w:val="21"/>
              </w:rPr>
              <w:t>（8）投标人符合第二章“投标人须知”第1.4.6项规定。</w:t>
            </w:r>
          </w:p>
          <w:p>
            <w:pPr>
              <w:snapToGrid w:val="0"/>
              <w:spacing w:line="288" w:lineRule="auto"/>
              <w:ind w:firstLine="386" w:firstLineChars="184"/>
              <w:jc w:val="left"/>
              <w:rPr>
                <w:szCs w:val="21"/>
              </w:rPr>
            </w:pPr>
            <w:r>
              <w:rPr>
                <w:bCs/>
                <w:szCs w:val="21"/>
              </w:rPr>
              <w:t>（9）以联合体形式参与投标的，联合体各方均未再以自己名义单独或参加其他联合体在本项目的投标</w:t>
            </w:r>
            <w:r>
              <w:rPr>
                <w:szCs w:val="21"/>
              </w:rPr>
              <w:t>；独立参与投标的，投标人未同时参加联合体在本项目的投标。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snapToGrid w:val="0"/>
              <w:spacing w:line="288" w:lineRule="auto"/>
              <w:jc w:val="center"/>
              <w:rPr>
                <w:szCs w:val="21"/>
              </w:rPr>
            </w:pPr>
            <w:r>
              <w:rPr>
                <w:szCs w:val="21"/>
              </w:rPr>
              <w:t>2.2.1</w:t>
            </w:r>
          </w:p>
        </w:tc>
        <w:tc>
          <w:tcPr>
            <w:tcW w:w="1246" w:type="dxa"/>
            <w:vAlign w:val="center"/>
          </w:tcPr>
          <w:p>
            <w:pPr>
              <w:snapToGrid w:val="0"/>
              <w:spacing w:line="288" w:lineRule="auto"/>
              <w:jc w:val="center"/>
              <w:rPr>
                <w:szCs w:val="21"/>
              </w:rPr>
            </w:pPr>
            <w:r>
              <w:rPr>
                <w:szCs w:val="21"/>
              </w:rPr>
              <w:t>分值构成（总分值100分）</w:t>
            </w:r>
          </w:p>
        </w:tc>
        <w:tc>
          <w:tcPr>
            <w:tcW w:w="7106" w:type="dxa"/>
            <w:vAlign w:val="center"/>
          </w:tcPr>
          <w:p>
            <w:pPr>
              <w:snapToGrid w:val="0"/>
              <w:spacing w:line="288" w:lineRule="auto"/>
              <w:rPr>
                <w:b/>
                <w:szCs w:val="21"/>
              </w:rPr>
            </w:pPr>
            <w:r>
              <w:rPr>
                <w:b/>
                <w:szCs w:val="21"/>
              </w:rPr>
              <w:t>本款修改为：</w:t>
            </w:r>
          </w:p>
          <w:p>
            <w:pPr>
              <w:snapToGrid w:val="0"/>
              <w:spacing w:line="288" w:lineRule="auto"/>
              <w:rPr>
                <w:b/>
                <w:szCs w:val="21"/>
              </w:rPr>
            </w:pPr>
            <w:r>
              <w:rPr>
                <w:b/>
                <w:szCs w:val="21"/>
              </w:rPr>
              <w:t>第一个信封（商务及技术文件）评分分值构成：</w:t>
            </w:r>
          </w:p>
          <w:p>
            <w:pPr>
              <w:snapToGrid w:val="0"/>
              <w:spacing w:line="288" w:lineRule="auto"/>
              <w:ind w:firstLine="386" w:firstLineChars="184"/>
              <w:jc w:val="left"/>
              <w:rPr>
                <w:szCs w:val="21"/>
              </w:rPr>
            </w:pPr>
            <w:r>
              <w:rPr>
                <w:szCs w:val="21"/>
              </w:rPr>
              <w:t>（1）承包人建议书：</w:t>
            </w:r>
            <w:r>
              <w:rPr>
                <w:szCs w:val="21"/>
                <w:u w:val="single"/>
              </w:rPr>
              <w:t>12</w:t>
            </w:r>
            <w:r>
              <w:rPr>
                <w:szCs w:val="21"/>
              </w:rPr>
              <w:t>分</w:t>
            </w:r>
          </w:p>
          <w:p>
            <w:pPr>
              <w:snapToGrid w:val="0"/>
              <w:spacing w:line="288" w:lineRule="auto"/>
              <w:ind w:firstLine="386" w:firstLineChars="184"/>
              <w:jc w:val="left"/>
              <w:rPr>
                <w:szCs w:val="21"/>
              </w:rPr>
            </w:pPr>
            <w:r>
              <w:rPr>
                <w:szCs w:val="21"/>
              </w:rPr>
              <w:t>（2）资信业绩部分：</w:t>
            </w:r>
            <w:r>
              <w:rPr>
                <w:szCs w:val="21"/>
                <w:u w:val="single"/>
              </w:rPr>
              <w:t>18</w:t>
            </w:r>
            <w:r>
              <w:rPr>
                <w:szCs w:val="21"/>
              </w:rPr>
              <w:t>分</w:t>
            </w:r>
          </w:p>
          <w:p>
            <w:pPr>
              <w:snapToGrid w:val="0"/>
              <w:spacing w:line="288" w:lineRule="auto"/>
              <w:ind w:firstLine="386" w:firstLineChars="184"/>
              <w:jc w:val="left"/>
              <w:rPr>
                <w:szCs w:val="21"/>
              </w:rPr>
            </w:pPr>
            <w:r>
              <w:rPr>
                <w:szCs w:val="21"/>
              </w:rPr>
              <w:t>（3）承包人实施方案：</w:t>
            </w:r>
            <w:r>
              <w:rPr>
                <w:szCs w:val="21"/>
                <w:u w:val="single"/>
              </w:rPr>
              <w:t>20</w:t>
            </w:r>
            <w:r>
              <w:rPr>
                <w:szCs w:val="21"/>
              </w:rPr>
              <w:t>分</w:t>
            </w:r>
          </w:p>
          <w:p>
            <w:pPr>
              <w:snapToGrid w:val="0"/>
              <w:spacing w:line="288" w:lineRule="auto"/>
              <w:ind w:firstLine="386" w:firstLineChars="184"/>
              <w:jc w:val="left"/>
            </w:pPr>
            <w:r>
              <w:t>（4）其他评分因素：</w:t>
            </w:r>
            <w:r>
              <w:rPr>
                <w:szCs w:val="21"/>
                <w:u w:val="single"/>
              </w:rPr>
              <w:t xml:space="preserve"> 0 </w:t>
            </w:r>
            <w:r>
              <w:rPr>
                <w:szCs w:val="21"/>
              </w:rPr>
              <w:t>分</w:t>
            </w:r>
          </w:p>
          <w:p>
            <w:pPr>
              <w:snapToGrid w:val="0"/>
              <w:spacing w:line="288" w:lineRule="auto"/>
              <w:rPr>
                <w:b/>
                <w:szCs w:val="21"/>
              </w:rPr>
            </w:pPr>
            <w:r>
              <w:rPr>
                <w:b/>
                <w:szCs w:val="21"/>
              </w:rPr>
              <w:t>第二个信封（报价文件）评分分值构成：</w:t>
            </w:r>
          </w:p>
          <w:p>
            <w:pPr>
              <w:snapToGrid w:val="0"/>
              <w:spacing w:line="288" w:lineRule="auto"/>
              <w:ind w:firstLine="386" w:firstLineChars="184"/>
              <w:jc w:val="left"/>
              <w:rPr>
                <w:szCs w:val="21"/>
              </w:rPr>
            </w:pPr>
            <w:r>
              <w:rPr>
                <w:szCs w:val="21"/>
              </w:rPr>
              <w:t>（5）评标价：</w:t>
            </w:r>
            <w:r>
              <w:rPr>
                <w:szCs w:val="21"/>
                <w:u w:val="single"/>
              </w:rPr>
              <w:t xml:space="preserve"> 50 </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8" w:type="dxa"/>
            <w:vAlign w:val="center"/>
          </w:tcPr>
          <w:p>
            <w:pPr>
              <w:snapToGrid w:val="0"/>
              <w:spacing w:line="288" w:lineRule="auto"/>
              <w:jc w:val="center"/>
              <w:rPr>
                <w:szCs w:val="21"/>
              </w:rPr>
            </w:pPr>
            <w:r>
              <w:rPr>
                <w:szCs w:val="21"/>
              </w:rPr>
              <w:t>2.2.2</w:t>
            </w:r>
          </w:p>
        </w:tc>
        <w:tc>
          <w:tcPr>
            <w:tcW w:w="1246" w:type="dxa"/>
            <w:vAlign w:val="center"/>
          </w:tcPr>
          <w:p>
            <w:pPr>
              <w:adjustRightInd w:val="0"/>
              <w:snapToGrid w:val="0"/>
              <w:spacing w:line="288" w:lineRule="auto"/>
              <w:jc w:val="center"/>
              <w:rPr>
                <w:szCs w:val="21"/>
              </w:rPr>
            </w:pPr>
            <w:r>
              <w:rPr>
                <w:szCs w:val="21"/>
              </w:rPr>
              <w:t>评标基准价计算方法</w:t>
            </w:r>
          </w:p>
        </w:tc>
        <w:tc>
          <w:tcPr>
            <w:tcW w:w="7106" w:type="dxa"/>
            <w:vAlign w:val="center"/>
          </w:tcPr>
          <w:p>
            <w:pPr>
              <w:adjustRightInd w:val="0"/>
              <w:snapToGrid w:val="0"/>
              <w:spacing w:line="320" w:lineRule="exact"/>
            </w:pPr>
            <w:r>
              <w:t>评标基准价的计算：</w:t>
            </w:r>
          </w:p>
          <w:p>
            <w:pPr>
              <w:snapToGrid w:val="0"/>
              <w:spacing w:line="320" w:lineRule="exact"/>
              <w:ind w:firstLine="420" w:firstLineChars="200"/>
            </w:pPr>
            <w:r>
              <w:rPr>
                <w:szCs w:val="21"/>
              </w:rPr>
              <w:t>在第二个信封开标现场，招标人将按照第一信封开标现场</w:t>
            </w:r>
            <w:r>
              <w:t>抽取的评标基准价计算方法计算并宣布评标基准价。</w:t>
            </w:r>
          </w:p>
          <w:p>
            <w:pPr>
              <w:snapToGrid w:val="0"/>
              <w:spacing w:line="320" w:lineRule="exact"/>
              <w:ind w:firstLine="420" w:firstLineChars="200"/>
            </w:pPr>
            <w:r>
              <w:t>（1）评标价的确定：</w:t>
            </w:r>
          </w:p>
          <w:p>
            <w:pPr>
              <w:snapToGrid w:val="0"/>
              <w:spacing w:line="320" w:lineRule="exact"/>
              <w:ind w:firstLine="420" w:firstLineChars="200"/>
            </w:pPr>
            <w:r>
              <w:t>评标价=投标函文字报价</w:t>
            </w:r>
          </w:p>
          <w:p>
            <w:pPr>
              <w:snapToGrid w:val="0"/>
              <w:spacing w:line="320" w:lineRule="exact"/>
              <w:ind w:firstLine="420" w:firstLineChars="200"/>
            </w:pPr>
            <w:r>
              <w:t>（2）评标价</w:t>
            </w:r>
            <w:r>
              <w:rPr>
                <w:szCs w:val="21"/>
              </w:rPr>
              <w:t>平均值</w:t>
            </w:r>
            <w:r>
              <w:t>的计算：</w:t>
            </w:r>
          </w:p>
          <w:p>
            <w:pPr>
              <w:snapToGrid w:val="0"/>
              <w:spacing w:line="320" w:lineRule="exact"/>
              <w:ind w:firstLine="420" w:firstLineChars="200"/>
              <w:rPr>
                <w:rStyle w:val="9"/>
              </w:rPr>
            </w:pPr>
            <w:r>
              <w:rPr>
                <w:rStyle w:val="9"/>
              </w:rPr>
              <w:t>除按</w:t>
            </w:r>
            <w:r>
              <w:rPr>
                <w:rStyle w:val="9"/>
                <w:szCs w:val="21"/>
              </w:rPr>
              <w:t>第二章“投标人须知”第5.2.4项规定开标现场被宣布为</w:t>
            </w:r>
            <w:r>
              <w:rPr>
                <w:rStyle w:val="9"/>
              </w:rPr>
              <w:t>不参与评标价平均值计算的评标价之外，所有投标人的评标价去掉规定个数的最高值和最低值后的算术平均值即为评标价平均值。</w:t>
            </w:r>
          </w:p>
          <w:p>
            <w:pPr>
              <w:snapToGrid w:val="0"/>
              <w:spacing w:line="320" w:lineRule="exact"/>
              <w:ind w:firstLine="420" w:firstLineChars="200"/>
              <w:rPr>
                <w:rStyle w:val="9"/>
              </w:rPr>
            </w:pPr>
            <w:r>
              <w:rPr>
                <w:rStyle w:val="9"/>
              </w:rPr>
              <w:t xml:space="preserve">a、如果参与评标价平均值计算的投标人数量＜6家时，计算评标价平均值时不去最高值和最低值。 </w:t>
            </w:r>
          </w:p>
          <w:p>
            <w:pPr>
              <w:snapToGrid w:val="0"/>
              <w:spacing w:line="320" w:lineRule="exact"/>
              <w:ind w:firstLine="420" w:firstLineChars="200"/>
              <w:rPr>
                <w:rStyle w:val="9"/>
              </w:rPr>
            </w:pPr>
            <w:r>
              <w:rPr>
                <w:rStyle w:val="9"/>
              </w:rPr>
              <w:t xml:space="preserve">b、如果6家≤参与评标价平均值计算的投标人数量＜10家时，计算评标价平均值时去掉1个最高值和1个最低值。 </w:t>
            </w:r>
          </w:p>
          <w:p>
            <w:pPr>
              <w:snapToGrid w:val="0"/>
              <w:spacing w:line="320" w:lineRule="exact"/>
              <w:ind w:firstLine="420" w:firstLineChars="200"/>
              <w:rPr>
                <w:rStyle w:val="9"/>
              </w:rPr>
            </w:pPr>
            <w:r>
              <w:rPr>
                <w:rStyle w:val="9"/>
              </w:rPr>
              <w:t xml:space="preserve">c、如果10家≤参与评标价平均值计算的投标人数量＜20家时，计算评标价平均值时去掉2个最高值和2个最低值； </w:t>
            </w:r>
          </w:p>
          <w:p>
            <w:pPr>
              <w:snapToGrid w:val="0"/>
              <w:spacing w:line="320" w:lineRule="exact"/>
              <w:ind w:firstLine="420" w:firstLineChars="200"/>
              <w:rPr>
                <w:rStyle w:val="9"/>
              </w:rPr>
            </w:pPr>
            <w:r>
              <w:rPr>
                <w:rStyle w:val="9"/>
              </w:rPr>
              <w:t xml:space="preserve">d、如果20家≤参与评标价平均值计算的投标人数量＜30家时，计算评标价平均值时去掉3个最高值和3个最低值； </w:t>
            </w:r>
          </w:p>
          <w:p>
            <w:pPr>
              <w:snapToGrid w:val="0"/>
              <w:spacing w:line="320" w:lineRule="exact"/>
              <w:ind w:firstLine="420" w:firstLineChars="200"/>
              <w:rPr>
                <w:rStyle w:val="9"/>
              </w:rPr>
            </w:pPr>
            <w:r>
              <w:rPr>
                <w:rStyle w:val="9"/>
              </w:rPr>
              <w:t xml:space="preserve">e、如果30家≤参与评标价平均值计算的投标人数量时，计算评标价平均值时去掉5个最高值和5个最低值； </w:t>
            </w:r>
          </w:p>
          <w:p>
            <w:pPr>
              <w:snapToGrid w:val="0"/>
              <w:spacing w:line="320" w:lineRule="exact"/>
              <w:ind w:firstLine="420" w:firstLineChars="200"/>
              <w:rPr>
                <w:rStyle w:val="9"/>
              </w:rPr>
            </w:pPr>
            <w:r>
              <w:rPr>
                <w:rStyle w:val="9"/>
              </w:rPr>
              <w:t>（3）评标基准价的确定</w:t>
            </w:r>
            <w:r>
              <w:rPr>
                <w:rStyle w:val="9"/>
                <w:rFonts w:hint="eastAsia"/>
              </w:rPr>
              <w:t>，采用随机抽取评标办法的方式以下列三种方法计算评标基准价</w:t>
            </w:r>
            <w:r>
              <w:rPr>
                <w:rStyle w:val="9"/>
              </w:rPr>
              <w:t>：</w:t>
            </w:r>
          </w:p>
          <w:p>
            <w:pPr>
              <w:snapToGrid w:val="0"/>
              <w:spacing w:line="320" w:lineRule="exact"/>
              <w:ind w:firstLine="422" w:firstLineChars="200"/>
              <w:rPr>
                <w:rStyle w:val="9"/>
                <w:b/>
                <w:bCs/>
              </w:rPr>
            </w:pPr>
            <w:r>
              <w:rPr>
                <w:rStyle w:val="9"/>
                <w:b/>
                <w:bCs/>
              </w:rPr>
              <w:t>方法一：将评标价（去掉规定个数）平均值作为评标基准价：</w:t>
            </w:r>
          </w:p>
          <w:p>
            <w:pPr>
              <w:snapToGrid w:val="0"/>
              <w:spacing w:line="320" w:lineRule="exact"/>
              <w:ind w:firstLine="420" w:firstLineChars="200"/>
              <w:rPr>
                <w:rStyle w:val="9"/>
              </w:rPr>
            </w:pPr>
            <w:r>
              <w:rPr>
                <w:rStyle w:val="9"/>
              </w:rPr>
              <w:t>将评标价平均值直接作为评标基准价。</w:t>
            </w:r>
          </w:p>
          <w:p>
            <w:pPr>
              <w:snapToGrid w:val="0"/>
              <w:spacing w:line="320" w:lineRule="exact"/>
              <w:ind w:firstLine="422" w:firstLineChars="200"/>
              <w:rPr>
                <w:rStyle w:val="9"/>
                <w:b/>
                <w:bCs/>
              </w:rPr>
            </w:pPr>
            <w:r>
              <w:rPr>
                <w:rStyle w:val="9"/>
                <w:b/>
                <w:bCs/>
              </w:rPr>
              <w:t>方法二：将评标价（去掉规定个数）平均值乘以随机系数作为评标基准价：</w:t>
            </w:r>
          </w:p>
          <w:p>
            <w:pPr>
              <w:snapToGrid w:val="0"/>
              <w:spacing w:line="320" w:lineRule="exact"/>
              <w:ind w:firstLine="420" w:firstLineChars="200"/>
              <w:rPr>
                <w:rStyle w:val="9"/>
              </w:rPr>
            </w:pPr>
            <w:r>
              <w:rPr>
                <w:rStyle w:val="9"/>
              </w:rPr>
              <w:t>招标人设置评标基准价系数K（0.975、0.98、0.985、0.99、0.995），由招标人在第一信封开标现场抽取，评标价平均值乘以现场抽取的评标基准价系数K作为评标基准价。</w:t>
            </w:r>
          </w:p>
          <w:p>
            <w:pPr>
              <w:snapToGrid w:val="0"/>
              <w:spacing w:line="320" w:lineRule="exact"/>
              <w:ind w:firstLine="422" w:firstLineChars="200"/>
              <w:rPr>
                <w:rStyle w:val="9"/>
                <w:b/>
                <w:bCs/>
              </w:rPr>
            </w:pPr>
            <w:r>
              <w:rPr>
                <w:rStyle w:val="9"/>
                <w:b/>
                <w:bCs/>
              </w:rPr>
              <w:t>方法三：将评标价中间价作为评标基准价：</w:t>
            </w:r>
          </w:p>
          <w:p>
            <w:pPr>
              <w:snapToGrid w:val="0"/>
              <w:spacing w:line="320" w:lineRule="exact"/>
              <w:ind w:firstLine="420" w:firstLineChars="200"/>
              <w:rPr>
                <w:rStyle w:val="9"/>
              </w:rPr>
            </w:pPr>
            <w:r>
              <w:rPr>
                <w:rStyle w:val="9"/>
              </w:rPr>
              <w:t>中间价：把所有投标报价按高低排序后找出正中间的一个作为中间价。如果投标报价为偶数个，取最中间的两个数值的平均值作为中间价。</w:t>
            </w:r>
          </w:p>
          <w:p>
            <w:pPr>
              <w:snapToGrid w:val="0"/>
              <w:spacing w:line="320" w:lineRule="exact"/>
              <w:ind w:firstLine="420" w:firstLineChars="200"/>
              <w:rPr>
                <w:rStyle w:val="9"/>
              </w:rPr>
            </w:pPr>
            <w:r>
              <w:rPr>
                <w:rStyle w:val="9"/>
              </w:rPr>
              <w:t>将评标价中间价直接作为评标基准价。</w:t>
            </w:r>
          </w:p>
          <w:p>
            <w:pPr>
              <w:snapToGrid w:val="0"/>
              <w:spacing w:line="320" w:lineRule="exact"/>
              <w:ind w:firstLine="420" w:firstLineChars="200"/>
              <w:rPr>
                <w:rStyle w:val="9"/>
              </w:rPr>
            </w:pPr>
            <w:r>
              <w:rPr>
                <w:rStyle w:val="9"/>
                <w:rFonts w:hint="eastAsia"/>
              </w:rPr>
              <w:t>（</w:t>
            </w:r>
            <w:r>
              <w:rPr>
                <w:rStyle w:val="9"/>
              </w:rPr>
              <w:t>4</w:t>
            </w:r>
            <w:r>
              <w:rPr>
                <w:rStyle w:val="9"/>
                <w:rFonts w:hint="eastAsia"/>
              </w:rPr>
              <w:t>）</w:t>
            </w:r>
            <w:r>
              <w:rPr>
                <w:rStyle w:val="9"/>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2"/>
              <w:snapToGrid w:val="0"/>
              <w:spacing w:after="0" w:line="288" w:lineRule="auto"/>
              <w:ind w:firstLine="420" w:firstLineChars="200"/>
            </w:pPr>
            <w:r>
              <w:rPr>
                <w:rStyle w:val="9"/>
              </w:rPr>
              <w:t>注：评标基准价保留小数点后两位，小数点后第三位四舍五入。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snapToGrid w:val="0"/>
              <w:spacing w:line="288" w:lineRule="auto"/>
              <w:jc w:val="center"/>
              <w:rPr>
                <w:szCs w:val="21"/>
              </w:rPr>
            </w:pPr>
            <w:r>
              <w:rPr>
                <w:szCs w:val="21"/>
              </w:rPr>
              <w:t>2.2.3</w:t>
            </w:r>
          </w:p>
        </w:tc>
        <w:tc>
          <w:tcPr>
            <w:tcW w:w="1246" w:type="dxa"/>
            <w:vAlign w:val="center"/>
          </w:tcPr>
          <w:p>
            <w:pPr>
              <w:snapToGrid w:val="0"/>
              <w:spacing w:line="288" w:lineRule="auto"/>
              <w:jc w:val="center"/>
              <w:rPr>
                <w:szCs w:val="21"/>
              </w:rPr>
            </w:pPr>
            <w:r>
              <w:rPr>
                <w:szCs w:val="21"/>
              </w:rPr>
              <w:t>评标价的偏差率计算公式</w:t>
            </w:r>
          </w:p>
        </w:tc>
        <w:tc>
          <w:tcPr>
            <w:tcW w:w="7106" w:type="dxa"/>
            <w:vAlign w:val="center"/>
          </w:tcPr>
          <w:p>
            <w:pPr>
              <w:snapToGrid w:val="0"/>
              <w:spacing w:line="288" w:lineRule="auto"/>
              <w:ind w:firstLine="210" w:firstLineChars="100"/>
              <w:rPr>
                <w:szCs w:val="21"/>
              </w:rPr>
            </w:pPr>
            <w:r>
              <w:rPr>
                <w:szCs w:val="21"/>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pPr>
              <w:snapToGrid w:val="0"/>
              <w:spacing w:line="288" w:lineRule="auto"/>
              <w:jc w:val="center"/>
              <w:rPr>
                <w:szCs w:val="21"/>
              </w:rPr>
            </w:pPr>
            <w:r>
              <w:rPr>
                <w:szCs w:val="21"/>
              </w:rPr>
              <w:t>2.2.4</w:t>
            </w:r>
          </w:p>
        </w:tc>
        <w:tc>
          <w:tcPr>
            <w:tcW w:w="1246" w:type="dxa"/>
            <w:vAlign w:val="center"/>
          </w:tcPr>
          <w:p>
            <w:pPr>
              <w:snapToGrid w:val="0"/>
              <w:spacing w:line="288" w:lineRule="auto"/>
              <w:rPr>
                <w:szCs w:val="21"/>
              </w:rPr>
            </w:pPr>
            <w:r>
              <w:rPr>
                <w:szCs w:val="21"/>
              </w:rPr>
              <w:t>评分标准</w:t>
            </w:r>
          </w:p>
        </w:tc>
        <w:tc>
          <w:tcPr>
            <w:tcW w:w="7106" w:type="dxa"/>
            <w:vAlign w:val="center"/>
          </w:tcPr>
          <w:p>
            <w:pPr>
              <w:snapToGrid w:val="0"/>
              <w:spacing w:line="288" w:lineRule="auto"/>
              <w:ind w:firstLine="310" w:firstLineChars="148"/>
              <w:rPr>
                <w:szCs w:val="21"/>
              </w:rPr>
            </w:pPr>
            <w:r>
              <w:rPr>
                <w:szCs w:val="21"/>
              </w:rPr>
              <w:t>（1）承包人建议书标准：见本表后具体评分标准；</w:t>
            </w:r>
          </w:p>
          <w:p>
            <w:pPr>
              <w:snapToGrid w:val="0"/>
              <w:spacing w:line="288" w:lineRule="auto"/>
              <w:ind w:firstLine="310" w:firstLineChars="148"/>
              <w:rPr>
                <w:szCs w:val="21"/>
              </w:rPr>
            </w:pPr>
            <w:r>
              <w:rPr>
                <w:szCs w:val="21"/>
              </w:rPr>
              <w:t>（2）资信业绩部分标准：见本表后具体评分标准；</w:t>
            </w:r>
          </w:p>
          <w:p>
            <w:pPr>
              <w:snapToGrid w:val="0"/>
              <w:spacing w:line="288" w:lineRule="auto"/>
              <w:ind w:firstLine="310" w:firstLineChars="148"/>
              <w:rPr>
                <w:szCs w:val="21"/>
              </w:rPr>
            </w:pPr>
            <w:r>
              <w:rPr>
                <w:szCs w:val="21"/>
              </w:rPr>
              <w:t>（3）承包人实施方案标准：见本表后具体评分标准；</w:t>
            </w:r>
          </w:p>
          <w:p>
            <w:pPr>
              <w:snapToGrid w:val="0"/>
              <w:spacing w:line="288" w:lineRule="auto"/>
              <w:ind w:firstLine="310" w:firstLineChars="148"/>
              <w:rPr>
                <w:szCs w:val="21"/>
              </w:rPr>
            </w:pPr>
            <w:r>
              <w:rPr>
                <w:szCs w:val="21"/>
              </w:rPr>
              <w:t>（4）评标价评分标准：见本表后具体评分标准；</w:t>
            </w:r>
          </w:p>
          <w:p>
            <w:pPr>
              <w:snapToGrid w:val="0"/>
              <w:spacing w:line="288" w:lineRule="auto"/>
              <w:ind w:firstLine="310" w:firstLineChars="148"/>
            </w:pPr>
            <w:r>
              <w:t>（5）其他评分因素</w:t>
            </w:r>
            <w:r>
              <w:rPr>
                <w:szCs w:val="21"/>
              </w:rPr>
              <w:t>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48" w:type="dxa"/>
            <w:vAlign w:val="center"/>
          </w:tcPr>
          <w:p>
            <w:pPr>
              <w:snapToGrid w:val="0"/>
              <w:spacing w:line="288" w:lineRule="auto"/>
              <w:jc w:val="center"/>
              <w:rPr>
                <w:szCs w:val="21"/>
              </w:rPr>
            </w:pPr>
            <w:r>
              <w:rPr>
                <w:szCs w:val="21"/>
              </w:rPr>
              <w:t>3</w:t>
            </w:r>
          </w:p>
        </w:tc>
        <w:tc>
          <w:tcPr>
            <w:tcW w:w="1246" w:type="dxa"/>
            <w:vAlign w:val="center"/>
          </w:tcPr>
          <w:p>
            <w:pPr>
              <w:snapToGrid w:val="0"/>
              <w:spacing w:line="288" w:lineRule="auto"/>
              <w:jc w:val="center"/>
              <w:rPr>
                <w:szCs w:val="21"/>
              </w:rPr>
            </w:pPr>
            <w:r>
              <w:rPr>
                <w:szCs w:val="21"/>
              </w:rPr>
              <w:t>评标程序</w:t>
            </w:r>
          </w:p>
        </w:tc>
        <w:tc>
          <w:tcPr>
            <w:tcW w:w="7106" w:type="dxa"/>
            <w:vAlign w:val="center"/>
          </w:tcPr>
          <w:p>
            <w:pPr>
              <w:tabs>
                <w:tab w:val="left" w:pos="3060"/>
              </w:tabs>
              <w:snapToGrid w:val="0"/>
              <w:spacing w:line="288" w:lineRule="auto"/>
              <w:rPr>
                <w:szCs w:val="21"/>
              </w:rPr>
            </w:pPr>
            <w:r>
              <w:rPr>
                <w:szCs w:val="21"/>
              </w:rPr>
              <w:t>本款修改为：</w:t>
            </w:r>
          </w:p>
          <w:p>
            <w:pPr>
              <w:snapToGrid w:val="0"/>
              <w:spacing w:line="288" w:lineRule="auto"/>
              <w:rPr>
                <w:b/>
                <w:szCs w:val="21"/>
              </w:rPr>
            </w:pPr>
            <w:r>
              <w:rPr>
                <w:b/>
                <w:szCs w:val="21"/>
              </w:rPr>
              <w:t>3. 评标程序</w:t>
            </w:r>
          </w:p>
          <w:p>
            <w:pPr>
              <w:snapToGrid w:val="0"/>
              <w:spacing w:line="288" w:lineRule="auto"/>
              <w:ind w:firstLine="422" w:firstLineChars="200"/>
              <w:rPr>
                <w:b/>
                <w:szCs w:val="21"/>
              </w:rPr>
            </w:pPr>
            <w:r>
              <w:rPr>
                <w:b/>
                <w:szCs w:val="21"/>
              </w:rPr>
              <w:t xml:space="preserve">3.1 第一个信封初步评审 </w:t>
            </w:r>
          </w:p>
          <w:p>
            <w:pPr>
              <w:snapToGrid w:val="0"/>
              <w:spacing w:line="288" w:lineRule="auto"/>
              <w:ind w:firstLine="420" w:firstLineChars="200"/>
              <w:rPr>
                <w:szCs w:val="21"/>
              </w:rPr>
            </w:pPr>
            <w:r>
              <w:rPr>
                <w:szCs w:val="21"/>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0" w:firstLineChars="200"/>
              <w:rPr>
                <w:szCs w:val="21"/>
              </w:rPr>
            </w:pPr>
            <w:r>
              <w:rPr>
                <w:szCs w:val="21"/>
              </w:rPr>
              <w:t>3.1.2 投标人有以下情形之一的，评标委员会应当否决其投标：</w:t>
            </w:r>
          </w:p>
          <w:p>
            <w:pPr>
              <w:snapToGrid w:val="0"/>
              <w:spacing w:line="288" w:lineRule="auto"/>
              <w:ind w:firstLine="420" w:firstLineChars="200"/>
              <w:rPr>
                <w:szCs w:val="21"/>
              </w:rPr>
            </w:pPr>
            <w:r>
              <w:rPr>
                <w:szCs w:val="21"/>
              </w:rPr>
              <w:t>（1）第二章“投标人须知”第1.4.3项、第1.4.4项</w:t>
            </w:r>
            <w:r>
              <w:rPr>
                <w:rFonts w:hint="eastAsia"/>
                <w:szCs w:val="21"/>
              </w:rPr>
              <w:t>、第1</w:t>
            </w:r>
            <w:r>
              <w:rPr>
                <w:szCs w:val="21"/>
              </w:rPr>
              <w:t>.4.5</w:t>
            </w:r>
            <w:r>
              <w:rPr>
                <w:rFonts w:hint="eastAsia"/>
                <w:szCs w:val="21"/>
              </w:rPr>
              <w:t>项、第1</w:t>
            </w:r>
            <w:r>
              <w:rPr>
                <w:szCs w:val="21"/>
              </w:rPr>
              <w:t>.4.6</w:t>
            </w:r>
            <w:r>
              <w:rPr>
                <w:rFonts w:hint="eastAsia"/>
                <w:szCs w:val="21"/>
              </w:rPr>
              <w:t>项</w:t>
            </w:r>
            <w:r>
              <w:rPr>
                <w:szCs w:val="21"/>
              </w:rPr>
              <w:t>规定的任何一种情形的；</w:t>
            </w:r>
          </w:p>
          <w:p>
            <w:pPr>
              <w:snapToGrid w:val="0"/>
              <w:spacing w:line="288" w:lineRule="auto"/>
              <w:ind w:firstLine="420" w:firstLineChars="200"/>
              <w:rPr>
                <w:szCs w:val="21"/>
              </w:rPr>
            </w:pPr>
            <w:r>
              <w:rPr>
                <w:szCs w:val="21"/>
              </w:rPr>
              <w:t>（2）串通投标或弄虚作假或有其他违法行为的；</w:t>
            </w:r>
          </w:p>
          <w:p>
            <w:pPr>
              <w:snapToGrid w:val="0"/>
              <w:spacing w:line="288" w:lineRule="auto"/>
              <w:ind w:firstLine="420" w:firstLineChars="200"/>
              <w:rPr>
                <w:szCs w:val="21"/>
              </w:rPr>
            </w:pPr>
            <w:r>
              <w:rPr>
                <w:szCs w:val="21"/>
              </w:rPr>
              <w:t>（3）不按评标委员会要求澄清、说明或补正的。</w:t>
            </w:r>
          </w:p>
          <w:p>
            <w:pPr>
              <w:snapToGrid w:val="0"/>
              <w:spacing w:line="288" w:lineRule="auto"/>
              <w:ind w:firstLine="422" w:firstLineChars="200"/>
              <w:rPr>
                <w:b/>
                <w:szCs w:val="21"/>
              </w:rPr>
            </w:pPr>
            <w:r>
              <w:rPr>
                <w:b/>
                <w:szCs w:val="21"/>
              </w:rPr>
              <w:t>3.2 第一个信封详细评审</w:t>
            </w:r>
          </w:p>
          <w:p>
            <w:pPr>
              <w:snapToGrid w:val="0"/>
              <w:spacing w:line="288" w:lineRule="auto"/>
              <w:ind w:firstLine="420" w:firstLineChars="200"/>
              <w:rPr>
                <w:szCs w:val="21"/>
              </w:rPr>
            </w:pPr>
            <w:r>
              <w:rPr>
                <w:szCs w:val="21"/>
              </w:rPr>
              <w:t>3.2.1 评标委员会按本章第2.2款规定的量化因素和分值进行打分，并计算出各投标人的商务和技术得分。</w:t>
            </w:r>
          </w:p>
          <w:p>
            <w:pPr>
              <w:snapToGrid w:val="0"/>
              <w:spacing w:line="288" w:lineRule="auto"/>
              <w:ind w:firstLine="420" w:firstLineChars="200"/>
              <w:rPr>
                <w:szCs w:val="21"/>
              </w:rPr>
            </w:pPr>
            <w:r>
              <w:rPr>
                <w:szCs w:val="21"/>
              </w:rPr>
              <w:t xml:space="preserve">（1）按本章第2.2.4（1）目规定的评审因素和分值对承包人建议书计算出得分A； </w:t>
            </w:r>
          </w:p>
          <w:p>
            <w:pPr>
              <w:snapToGrid w:val="0"/>
              <w:spacing w:line="288" w:lineRule="auto"/>
              <w:ind w:firstLine="420" w:firstLineChars="200"/>
              <w:rPr>
                <w:szCs w:val="21"/>
              </w:rPr>
            </w:pPr>
            <w:r>
              <w:rPr>
                <w:szCs w:val="21"/>
              </w:rPr>
              <w:t>（2）按本章第2.2.4（2）目规定的评审因素和分值对资信业绩部分计算出得分B；</w:t>
            </w:r>
          </w:p>
          <w:p>
            <w:pPr>
              <w:snapToGrid w:val="0"/>
              <w:spacing w:line="288" w:lineRule="auto"/>
              <w:ind w:firstLine="420" w:firstLineChars="200"/>
              <w:rPr>
                <w:szCs w:val="21"/>
              </w:rPr>
            </w:pPr>
            <w:r>
              <w:rPr>
                <w:szCs w:val="21"/>
              </w:rPr>
              <w:t>（3）按本章第2.2.4（3）目规定的评审因素和分值对承包人实施方案计算出得分C；</w:t>
            </w:r>
          </w:p>
          <w:p>
            <w:pPr>
              <w:snapToGrid w:val="0"/>
              <w:spacing w:line="288" w:lineRule="auto"/>
              <w:ind w:firstLine="420" w:firstLineChars="200"/>
              <w:rPr>
                <w:szCs w:val="21"/>
              </w:rPr>
            </w:pPr>
            <w:r>
              <w:rPr>
                <w:szCs w:val="21"/>
              </w:rPr>
              <w:t>3.2.2 投标人的商务和技术得分分值计算保留小数点后两位，小数点后第三位 “四舍五入”。</w:t>
            </w:r>
          </w:p>
          <w:p>
            <w:pPr>
              <w:snapToGrid w:val="0"/>
              <w:spacing w:line="288" w:lineRule="auto"/>
              <w:ind w:firstLine="420" w:firstLineChars="200"/>
              <w:rPr>
                <w:szCs w:val="21"/>
              </w:rPr>
            </w:pPr>
            <w:r>
              <w:rPr>
                <w:szCs w:val="21"/>
              </w:rPr>
              <w:t>3.2.3 投标人的商务和技术得分=A+B+C。</w:t>
            </w:r>
          </w:p>
          <w:p>
            <w:pPr>
              <w:snapToGrid w:val="0"/>
              <w:spacing w:line="288" w:lineRule="auto"/>
              <w:ind w:firstLine="422" w:firstLineChars="200"/>
              <w:rPr>
                <w:b/>
                <w:szCs w:val="21"/>
              </w:rPr>
            </w:pPr>
            <w:r>
              <w:rPr>
                <w:b/>
                <w:szCs w:val="21"/>
              </w:rPr>
              <w:t>3.3 第二个信封开标</w:t>
            </w:r>
          </w:p>
          <w:p>
            <w:pPr>
              <w:snapToGrid w:val="0"/>
              <w:spacing w:line="288" w:lineRule="auto"/>
              <w:ind w:firstLine="420" w:firstLineChars="200"/>
              <w:rPr>
                <w:szCs w:val="21"/>
              </w:rPr>
            </w:pPr>
            <w:r>
              <w:rPr>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snapToGrid w:val="0"/>
              <w:spacing w:line="288" w:lineRule="auto"/>
              <w:ind w:firstLine="422" w:firstLineChars="200"/>
              <w:rPr>
                <w:b/>
                <w:szCs w:val="21"/>
              </w:rPr>
            </w:pPr>
            <w:r>
              <w:rPr>
                <w:b/>
                <w:szCs w:val="21"/>
              </w:rPr>
              <w:t>3.4 第二个信封初步评审</w:t>
            </w:r>
          </w:p>
          <w:p>
            <w:pPr>
              <w:snapToGrid w:val="0"/>
              <w:spacing w:line="288" w:lineRule="auto"/>
              <w:ind w:firstLine="420" w:firstLineChars="200"/>
              <w:rPr>
                <w:szCs w:val="21"/>
              </w:rPr>
            </w:pPr>
            <w:r>
              <w:rPr>
                <w:szCs w:val="21"/>
              </w:rPr>
              <w:t>3.4.1 评标委员会依据本章第 2.1.1 项、第 2.1.3 项规定的评审标准对投标文件第二个信封（报价文件）进行初步评审。有一项不符合评审标准的，评标委员会应否决其投标。</w:t>
            </w:r>
          </w:p>
          <w:p>
            <w:pPr>
              <w:snapToGrid w:val="0"/>
              <w:spacing w:line="288" w:lineRule="auto"/>
              <w:ind w:firstLine="420" w:firstLineChars="200"/>
              <w:rPr>
                <w:szCs w:val="21"/>
              </w:rPr>
            </w:pPr>
            <w:r>
              <w:rPr>
                <w:szCs w:val="21"/>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szCs w:val="21"/>
              </w:rPr>
            </w:pPr>
            <w:r>
              <w:rPr>
                <w:szCs w:val="21"/>
              </w:rPr>
              <w:t>（1）投标文件中的大写金额与小写金额不一致的，以大写金额为准。</w:t>
            </w:r>
          </w:p>
          <w:p>
            <w:pPr>
              <w:snapToGrid w:val="0"/>
              <w:spacing w:line="288" w:lineRule="auto"/>
              <w:ind w:firstLine="420" w:firstLineChars="200"/>
              <w:rPr>
                <w:szCs w:val="21"/>
              </w:rPr>
            </w:pPr>
            <w:r>
              <w:rPr>
                <w:szCs w:val="21"/>
              </w:rPr>
              <w:t>（2）总价金额与依据单价计算出的结果不一致的，以单价金额为准修正总价，但单价金额小数点有明显错误的除外。</w:t>
            </w:r>
          </w:p>
          <w:p>
            <w:pPr>
              <w:snapToGrid w:val="0"/>
              <w:spacing w:line="288" w:lineRule="auto"/>
              <w:ind w:firstLine="420" w:firstLineChars="200"/>
              <w:rPr>
                <w:szCs w:val="21"/>
              </w:rPr>
            </w:pPr>
            <w:r>
              <w:rPr>
                <w:szCs w:val="21"/>
              </w:rPr>
              <w:t>3.4.3修正后的最终投标报价若超过最高投标限价，评标委员会应否决其投标。</w:t>
            </w:r>
          </w:p>
          <w:p>
            <w:pPr>
              <w:snapToGrid w:val="0"/>
              <w:spacing w:line="288" w:lineRule="auto"/>
              <w:ind w:firstLine="420" w:firstLineChars="200"/>
              <w:rPr>
                <w:szCs w:val="21"/>
              </w:rPr>
            </w:pPr>
            <w:r>
              <w:rPr>
                <w:szCs w:val="21"/>
              </w:rPr>
              <w:t>3.4.4修正后的最终投标报价仅作为签订合同的一个依据，不参与评标价得分的计算。</w:t>
            </w:r>
          </w:p>
          <w:p>
            <w:pPr>
              <w:snapToGrid w:val="0"/>
              <w:spacing w:line="288" w:lineRule="auto"/>
              <w:ind w:firstLine="422" w:firstLineChars="200"/>
              <w:rPr>
                <w:b/>
                <w:szCs w:val="21"/>
              </w:rPr>
            </w:pPr>
            <w:r>
              <w:rPr>
                <w:b/>
                <w:szCs w:val="21"/>
              </w:rPr>
              <w:t>3.5 第二个信封详细评审</w:t>
            </w:r>
          </w:p>
          <w:p>
            <w:pPr>
              <w:snapToGrid w:val="0"/>
              <w:spacing w:line="288" w:lineRule="auto"/>
              <w:ind w:firstLine="420" w:firstLineChars="200"/>
              <w:rPr>
                <w:szCs w:val="21"/>
              </w:rPr>
            </w:pPr>
            <w:r>
              <w:rPr>
                <w:szCs w:val="21"/>
              </w:rPr>
              <w:t>3.5.1 评标委员会按本章第 2.2.4（4）目规定的评审因素和分值对评标价计算出得分D。评标价得分分值计算保留小数点后两位，小数点后第三位“四舍五入”。</w:t>
            </w:r>
          </w:p>
          <w:p>
            <w:pPr>
              <w:snapToGrid w:val="0"/>
              <w:spacing w:line="288" w:lineRule="auto"/>
              <w:ind w:firstLine="420" w:firstLineChars="200"/>
              <w:rPr>
                <w:szCs w:val="21"/>
              </w:rPr>
            </w:pPr>
            <w:r>
              <w:rPr>
                <w:szCs w:val="21"/>
              </w:rPr>
              <w:t>3.5.2 投标人综合得分=投标人的商务和技术得分+D。</w:t>
            </w:r>
          </w:p>
          <w:p>
            <w:pPr>
              <w:snapToGrid w:val="0"/>
              <w:spacing w:line="288" w:lineRule="auto"/>
              <w:ind w:firstLine="420" w:firstLineChars="200"/>
              <w:rPr>
                <w:szCs w:val="21"/>
              </w:rPr>
            </w:pPr>
            <w:r>
              <w:rPr>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b/>
                <w:szCs w:val="21"/>
              </w:rPr>
            </w:pPr>
            <w:r>
              <w:rPr>
                <w:b/>
                <w:szCs w:val="21"/>
              </w:rPr>
              <w:t>3.6 投标文件相关信息的核查</w:t>
            </w:r>
          </w:p>
          <w:p>
            <w:pPr>
              <w:autoSpaceDE w:val="0"/>
              <w:autoSpaceDN w:val="0"/>
              <w:snapToGrid w:val="0"/>
              <w:spacing w:line="288" w:lineRule="auto"/>
              <w:ind w:firstLine="420" w:firstLineChars="200"/>
              <w:rPr>
                <w:szCs w:val="21"/>
              </w:rPr>
            </w:pPr>
            <w:r>
              <w:rPr>
                <w:szCs w:val="21"/>
              </w:rPr>
              <w:t>3.6.1</w:t>
            </w:r>
            <w:r>
              <w:rPr>
                <w:b/>
                <w:szCs w:val="21"/>
              </w:rPr>
              <w:t>在评标过程中，评标委员会应对投标人以下信息进行查询：</w:t>
            </w:r>
          </w:p>
          <w:p>
            <w:pPr>
              <w:autoSpaceDE w:val="0"/>
              <w:autoSpaceDN w:val="0"/>
              <w:snapToGrid w:val="0"/>
              <w:spacing w:line="288" w:lineRule="auto"/>
              <w:ind w:firstLine="420" w:firstLineChars="200"/>
              <w:rPr>
                <w:szCs w:val="21"/>
              </w:rPr>
            </w:pPr>
            <w:r>
              <w:rPr>
                <w:szCs w:val="21"/>
              </w:rPr>
              <w:t>（1）投标人名称和资质与“全国公路建设市场信用信息管理系统（http://glxy.mot.gov.cn/）”的复核结果一致；</w:t>
            </w:r>
          </w:p>
          <w:p>
            <w:pPr>
              <w:autoSpaceDE w:val="0"/>
              <w:autoSpaceDN w:val="0"/>
              <w:snapToGrid w:val="0"/>
              <w:spacing w:line="288" w:lineRule="auto"/>
              <w:ind w:firstLine="420" w:firstLineChars="200"/>
              <w:rPr>
                <w:szCs w:val="21"/>
              </w:rPr>
            </w:pPr>
            <w:r>
              <w:rPr>
                <w:szCs w:val="21"/>
              </w:rPr>
              <w:t>如投标人未提供相关网页截图或相关网页截图中的信息无法证实投标人满足招标文件规定的资格审查条件（资质最低要求）或网页截图与“全国公路建设市场信用信息管理系统（http://glxy.mot.gov.cn）”的核查结果不一致，则相关资质不予认定。</w:t>
            </w:r>
            <w:r>
              <w:rPr>
                <w:rFonts w:hint="eastAsia"/>
                <w:szCs w:val="21"/>
              </w:rPr>
              <w:t>（工程设计综合甲级资质及建筑工程施工总承包资质不适用）</w:t>
            </w:r>
          </w:p>
          <w:p>
            <w:pPr>
              <w:autoSpaceDE w:val="0"/>
              <w:autoSpaceDN w:val="0"/>
              <w:snapToGrid w:val="0"/>
              <w:spacing w:line="288" w:lineRule="auto"/>
              <w:ind w:firstLine="420" w:firstLineChars="200"/>
              <w:rPr>
                <w:szCs w:val="21"/>
              </w:rPr>
            </w:pPr>
            <w:r>
              <w:rPr>
                <w:szCs w:val="21"/>
              </w:rPr>
              <w:t>（2）投标人的类似项目业绩详细信息网页截图的内容与“全国公路建设市场信用信息管理系统（http://glxy.mot.gov.cn/）”的复核结果一致；</w:t>
            </w:r>
          </w:p>
          <w:p>
            <w:pPr>
              <w:autoSpaceDE w:val="0"/>
              <w:autoSpaceDN w:val="0"/>
              <w:snapToGrid w:val="0"/>
              <w:spacing w:line="288" w:lineRule="auto"/>
              <w:ind w:firstLine="420" w:firstLineChars="200"/>
              <w:rPr>
                <w:szCs w:val="21"/>
              </w:rPr>
            </w:pPr>
            <w:r>
              <w:rPr>
                <w:szCs w:val="21"/>
              </w:rPr>
              <w:t>如投标人未提供相关网页截图或相关网页截图中的信息无法证实投标人满足招标文件规定的资格审查条件（业绩最低要求）或网页截图与“全国公路建设市场信用信息管理系统（http://glxy.mot.gov.cn）”的核查结果不一致，则相关业绩不予认定。</w:t>
            </w:r>
            <w:r>
              <w:rPr>
                <w:rFonts w:hint="eastAsia"/>
                <w:szCs w:val="21"/>
              </w:rPr>
              <w:t>（房建工程施工业绩不适用）</w:t>
            </w:r>
          </w:p>
          <w:p>
            <w:pPr>
              <w:numPr>
                <w:ilvl w:val="0"/>
                <w:numId w:val="1"/>
              </w:numPr>
              <w:autoSpaceDE w:val="0"/>
              <w:autoSpaceDN w:val="0"/>
              <w:snapToGrid w:val="0"/>
              <w:spacing w:line="288" w:lineRule="auto"/>
              <w:ind w:firstLine="420" w:firstLineChars="200"/>
              <w:rPr>
                <w:szCs w:val="21"/>
              </w:rPr>
            </w:pPr>
            <w:r>
              <w:rPr>
                <w:szCs w:val="21"/>
              </w:rPr>
              <w:t>所附项目经理、设计负责人和</w:t>
            </w:r>
            <w:r>
              <w:rPr>
                <w:rFonts w:hint="eastAsia"/>
                <w:szCs w:val="21"/>
              </w:rPr>
              <w:t>项目总工</w:t>
            </w:r>
            <w:r>
              <w:rPr>
                <w:szCs w:val="21"/>
              </w:rPr>
              <w:t>业绩的网页截图的内容与“全国公路建设市场信用信息管理系统（http://glxy.mot.gov.cn/）”的复核结果一致</w:t>
            </w:r>
            <w:r>
              <w:rPr>
                <w:rFonts w:hint="eastAsia"/>
                <w:szCs w:val="21"/>
              </w:rPr>
              <w:t>；</w:t>
            </w:r>
          </w:p>
          <w:p>
            <w:pPr>
              <w:autoSpaceDE w:val="0"/>
              <w:autoSpaceDN w:val="0"/>
              <w:snapToGrid w:val="0"/>
              <w:spacing w:line="288" w:lineRule="auto"/>
              <w:ind w:firstLine="420" w:firstLineChars="200"/>
              <w:rPr>
                <w:szCs w:val="21"/>
              </w:rPr>
            </w:pPr>
            <w:r>
              <w:rPr>
                <w:szCs w:val="21"/>
              </w:rPr>
              <w:t>所附项目经理一级注册建造师信息的网页截图复印件与“全国建筑市场监管公共服务平台（http://jzsc.mohurd.gov.cn/）”核查的结果一致，并满足招标文件资格审查条件要求。项目经理的一级建造师电子注册证书的注册单位名称必须与投标人名称一致；</w:t>
            </w:r>
          </w:p>
          <w:p>
            <w:pPr>
              <w:autoSpaceDE w:val="0"/>
              <w:autoSpaceDN w:val="0"/>
              <w:snapToGrid w:val="0"/>
              <w:spacing w:line="288" w:lineRule="auto"/>
              <w:ind w:firstLine="420" w:firstLineChars="200"/>
              <w:rPr>
                <w:szCs w:val="21"/>
              </w:rPr>
            </w:pPr>
            <w:r>
              <w:rPr>
                <w:szCs w:val="21"/>
              </w:rPr>
              <w:t>所附项目经理</w:t>
            </w:r>
            <w:r>
              <w:rPr>
                <w:rFonts w:hint="eastAsia"/>
                <w:szCs w:val="21"/>
              </w:rPr>
              <w:t>、项目总工</w:t>
            </w:r>
            <w:r>
              <w:rPr>
                <w:szCs w:val="21"/>
              </w:rPr>
              <w:t>的安全生产考核合格证的网页截图复印件与“交通运输部公路水运工程企业负责人和安全生产管理人员信息公共平台查询网站（http://219.143.235.78:8080/khglui/）”核查的结果一致，并满足招标文件资格审查条件要求。项目经理</w:t>
            </w:r>
            <w:r>
              <w:rPr>
                <w:rFonts w:hint="eastAsia"/>
                <w:szCs w:val="21"/>
              </w:rPr>
              <w:t>、项目总工</w:t>
            </w:r>
            <w:r>
              <w:rPr>
                <w:szCs w:val="21"/>
              </w:rPr>
              <w:t>的安全生产考核合格证的登记单位名称必须与投标人名称一致；</w:t>
            </w:r>
          </w:p>
          <w:p>
            <w:pPr>
              <w:autoSpaceDE w:val="0"/>
              <w:autoSpaceDN w:val="0"/>
              <w:snapToGrid w:val="0"/>
              <w:spacing w:line="288" w:lineRule="auto"/>
              <w:ind w:firstLine="420" w:firstLineChars="200"/>
              <w:rPr>
                <w:szCs w:val="21"/>
              </w:rPr>
            </w:pPr>
            <w:r>
              <w:rPr>
                <w:rFonts w:hint="eastAsia"/>
                <w:szCs w:val="21"/>
              </w:rPr>
              <w:t>如投标人未提供相关网页截图复印件或相关网页截图复印件中的信息无法证实投标人满足招标文件规定的资格审查条件（项目经理、设计负责人、项目总工最低要求），则该证书或业绩不予认定。</w:t>
            </w:r>
          </w:p>
          <w:p>
            <w:pPr>
              <w:autoSpaceDE w:val="0"/>
              <w:autoSpaceDN w:val="0"/>
              <w:snapToGrid w:val="0"/>
              <w:spacing w:line="288" w:lineRule="auto"/>
              <w:ind w:firstLine="420" w:firstLineChars="200"/>
              <w:rPr>
                <w:szCs w:val="21"/>
              </w:rPr>
            </w:pPr>
            <w:r>
              <w:rPr>
                <w:szCs w:val="21"/>
              </w:rPr>
              <w:t>（4）</w:t>
            </w:r>
            <w:r>
              <w:rPr>
                <w:rFonts w:hint="eastAsia"/>
                <w:szCs w:val="21"/>
              </w:rPr>
              <w:t>评标委员会评标时应对投标人的信用情况在“国家企业信用信息公示系统”和“信用中国”网站对投标人（联合体所有成员）的信用情况进行查询，若投标人（或联合体成员）存在“国家企业信用信息公示系统” 被列入严重违法失信企业名单（不含分公司）或在“信用中国”网站“被列入失信被执行人名单、企业经营异常情况名录、税收违法黑名单、政府采购严重违法失信名单”情形的（均不含分公司），评标委员会应否决其投标</w:t>
            </w:r>
            <w:r>
              <w:rPr>
                <w:szCs w:val="21"/>
              </w:rPr>
              <w:t>。</w:t>
            </w:r>
          </w:p>
          <w:p>
            <w:pPr>
              <w:autoSpaceDE w:val="0"/>
              <w:autoSpaceDN w:val="0"/>
              <w:snapToGrid w:val="0"/>
              <w:spacing w:line="288" w:lineRule="auto"/>
              <w:ind w:firstLine="420" w:firstLineChars="200"/>
              <w:rPr>
                <w:szCs w:val="21"/>
              </w:rPr>
            </w:pPr>
            <w:r>
              <w:rPr>
                <w:rFonts w:hint="eastAsia"/>
                <w:szCs w:val="21"/>
              </w:rPr>
              <w:t>如投标人未提供相关网页截图或所附截图与核查结果不一致使得其资格不符合招标文件资格审查条件要求的，评标委员会应否决其投标。</w:t>
            </w:r>
          </w:p>
          <w:p>
            <w:pPr>
              <w:autoSpaceDE w:val="0"/>
              <w:autoSpaceDN w:val="0"/>
              <w:snapToGrid w:val="0"/>
              <w:spacing w:line="288" w:lineRule="auto"/>
              <w:ind w:firstLine="420" w:firstLineChars="200"/>
              <w:rPr>
                <w:szCs w:val="21"/>
              </w:rPr>
            </w:pPr>
            <w:r>
              <w:rPr>
                <w:rFonts w:hint="eastAsia"/>
                <w:szCs w:val="21"/>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snapToGrid w:val="0"/>
              <w:spacing w:line="288" w:lineRule="auto"/>
              <w:ind w:firstLine="420" w:firstLineChars="200"/>
              <w:rPr>
                <w:szCs w:val="21"/>
              </w:rPr>
            </w:pPr>
            <w:r>
              <w:rPr>
                <w:szCs w:val="21"/>
              </w:rPr>
              <w:t>（5）评标委员会在评标时按照投标人提供的验证方式对电子保函或电子保证保险进行验证。如投标人未提供电子保函或电子保证保险的验证方式，或根据提供的验证方式无法核实的，评标委员会应否决其投标。</w:t>
            </w:r>
          </w:p>
          <w:p>
            <w:pPr>
              <w:snapToGrid w:val="0"/>
              <w:spacing w:line="288" w:lineRule="auto"/>
              <w:ind w:firstLine="420" w:firstLineChars="200"/>
              <w:rPr>
                <w:szCs w:val="21"/>
              </w:rPr>
            </w:pPr>
            <w:r>
              <w:rPr>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szCs w:val="21"/>
              </w:rPr>
            </w:pPr>
            <w:r>
              <w:rPr>
                <w:szCs w:val="21"/>
              </w:rPr>
              <w:t>（1）有下列情形之一的，属于投标人相互串通投标：</w:t>
            </w:r>
          </w:p>
          <w:p>
            <w:pPr>
              <w:snapToGrid w:val="0"/>
              <w:spacing w:line="288" w:lineRule="auto"/>
              <w:ind w:firstLine="420" w:firstLineChars="200"/>
              <w:rPr>
                <w:szCs w:val="21"/>
              </w:rPr>
            </w:pPr>
            <w:r>
              <w:rPr>
                <w:szCs w:val="21"/>
              </w:rPr>
              <w:t>a.投标人之间协商投标报价等投标文件的实质性内容；</w:t>
            </w:r>
          </w:p>
          <w:p>
            <w:pPr>
              <w:snapToGrid w:val="0"/>
              <w:spacing w:line="288" w:lineRule="auto"/>
              <w:ind w:firstLine="420" w:firstLineChars="200"/>
              <w:rPr>
                <w:szCs w:val="21"/>
              </w:rPr>
            </w:pPr>
            <w:r>
              <w:rPr>
                <w:szCs w:val="21"/>
              </w:rPr>
              <w:t>b.投标人之间约定中标人；</w:t>
            </w:r>
          </w:p>
          <w:p>
            <w:pPr>
              <w:snapToGrid w:val="0"/>
              <w:spacing w:line="288" w:lineRule="auto"/>
              <w:ind w:firstLine="420" w:firstLineChars="200"/>
              <w:rPr>
                <w:szCs w:val="21"/>
              </w:rPr>
            </w:pPr>
            <w:r>
              <w:rPr>
                <w:szCs w:val="21"/>
              </w:rPr>
              <w:t>c.投标人之间约定部分投标人放弃投标或中标；</w:t>
            </w:r>
          </w:p>
          <w:p>
            <w:pPr>
              <w:snapToGrid w:val="0"/>
              <w:spacing w:line="288" w:lineRule="auto"/>
              <w:ind w:firstLine="420" w:firstLineChars="200"/>
              <w:rPr>
                <w:szCs w:val="21"/>
              </w:rPr>
            </w:pPr>
            <w:r>
              <w:rPr>
                <w:szCs w:val="21"/>
              </w:rPr>
              <w:t>d.属于同一集团、协会、商会等组织成员的投标人按照该组织要求协同投标；</w:t>
            </w:r>
          </w:p>
          <w:p>
            <w:pPr>
              <w:snapToGrid w:val="0"/>
              <w:spacing w:line="288" w:lineRule="auto"/>
              <w:ind w:firstLine="420" w:firstLineChars="200"/>
              <w:rPr>
                <w:szCs w:val="21"/>
              </w:rPr>
            </w:pPr>
            <w:r>
              <w:rPr>
                <w:szCs w:val="21"/>
              </w:rPr>
              <w:t>e.投标人之间为谋取中标或排斥特定投标人而采取的其他联合行动。</w:t>
            </w:r>
          </w:p>
          <w:p>
            <w:pPr>
              <w:snapToGrid w:val="0"/>
              <w:spacing w:line="288" w:lineRule="auto"/>
              <w:ind w:firstLine="420" w:firstLineChars="200"/>
              <w:rPr>
                <w:szCs w:val="21"/>
              </w:rPr>
            </w:pPr>
            <w:r>
              <w:rPr>
                <w:szCs w:val="21"/>
              </w:rPr>
              <w:t>（2）有下列情形之一的，视为投标人相互串通投标：</w:t>
            </w:r>
          </w:p>
          <w:p>
            <w:pPr>
              <w:snapToGrid w:val="0"/>
              <w:spacing w:line="288" w:lineRule="auto"/>
              <w:ind w:firstLine="420" w:firstLineChars="200"/>
              <w:rPr>
                <w:szCs w:val="21"/>
              </w:rPr>
            </w:pPr>
            <w:r>
              <w:rPr>
                <w:szCs w:val="21"/>
              </w:rPr>
              <w:t>a.不同投标人的投标文件由同一单位或个人编制；</w:t>
            </w:r>
          </w:p>
          <w:p>
            <w:pPr>
              <w:snapToGrid w:val="0"/>
              <w:spacing w:line="288" w:lineRule="auto"/>
              <w:ind w:firstLine="420" w:firstLineChars="200"/>
              <w:rPr>
                <w:szCs w:val="21"/>
              </w:rPr>
            </w:pPr>
            <w:r>
              <w:rPr>
                <w:szCs w:val="21"/>
              </w:rPr>
              <w:t>b.不同投标人委托同一单位或个人办理投标事宜；</w:t>
            </w:r>
          </w:p>
          <w:p>
            <w:pPr>
              <w:snapToGrid w:val="0"/>
              <w:spacing w:line="288" w:lineRule="auto"/>
              <w:ind w:firstLine="420" w:firstLineChars="200"/>
              <w:rPr>
                <w:szCs w:val="21"/>
              </w:rPr>
            </w:pPr>
            <w:r>
              <w:rPr>
                <w:szCs w:val="21"/>
              </w:rPr>
              <w:t>c.不同投标人的投标文件载明的项目管理成员为同一人；</w:t>
            </w:r>
          </w:p>
          <w:p>
            <w:pPr>
              <w:snapToGrid w:val="0"/>
              <w:spacing w:line="288" w:lineRule="auto"/>
              <w:ind w:firstLine="420" w:firstLineChars="200"/>
              <w:rPr>
                <w:szCs w:val="21"/>
              </w:rPr>
            </w:pPr>
            <w:r>
              <w:rPr>
                <w:szCs w:val="21"/>
              </w:rPr>
              <w:t>d.不同投标人的投标文件异常一致或投标报价呈规律性差异；</w:t>
            </w:r>
          </w:p>
          <w:p>
            <w:pPr>
              <w:snapToGrid w:val="0"/>
              <w:spacing w:line="288" w:lineRule="auto"/>
              <w:ind w:firstLine="420" w:firstLineChars="200"/>
              <w:rPr>
                <w:szCs w:val="21"/>
              </w:rPr>
            </w:pPr>
            <w:r>
              <w:rPr>
                <w:szCs w:val="21"/>
              </w:rPr>
              <w:t>e.不同投标人的投标文件相互混装；</w:t>
            </w:r>
          </w:p>
          <w:p>
            <w:pPr>
              <w:snapToGrid w:val="0"/>
              <w:spacing w:line="288" w:lineRule="auto"/>
              <w:ind w:firstLine="420" w:firstLineChars="200"/>
              <w:rPr>
                <w:szCs w:val="21"/>
              </w:rPr>
            </w:pPr>
            <w:r>
              <w:rPr>
                <w:szCs w:val="21"/>
              </w:rPr>
              <w:t>f.不同投标人的投标保证金从同一单位或个人的账户转出；</w:t>
            </w:r>
          </w:p>
          <w:p>
            <w:pPr>
              <w:snapToGrid w:val="0"/>
              <w:spacing w:line="288" w:lineRule="auto"/>
              <w:ind w:firstLine="420" w:firstLineChars="200"/>
              <w:rPr>
                <w:szCs w:val="21"/>
              </w:rPr>
            </w:pPr>
            <w:r>
              <w:rPr>
                <w:szCs w:val="21"/>
              </w:rPr>
              <w:t>（3）有下列情形之一的，属于招标人与投标人串通投标：</w:t>
            </w:r>
          </w:p>
          <w:p>
            <w:pPr>
              <w:snapToGrid w:val="0"/>
              <w:spacing w:line="288" w:lineRule="auto"/>
              <w:ind w:firstLine="420" w:firstLineChars="200"/>
              <w:rPr>
                <w:szCs w:val="21"/>
              </w:rPr>
            </w:pPr>
            <w:r>
              <w:rPr>
                <w:szCs w:val="21"/>
              </w:rPr>
              <w:t>a.招标人在开标前开启投标文件并将有关信息泄露给其他投标人</w:t>
            </w:r>
            <w:r>
              <w:rPr>
                <w:rFonts w:hint="eastAsia"/>
                <w:szCs w:val="21"/>
              </w:rPr>
              <w:t>；</w:t>
            </w:r>
          </w:p>
          <w:p>
            <w:pPr>
              <w:snapToGrid w:val="0"/>
              <w:spacing w:line="288" w:lineRule="auto"/>
              <w:ind w:firstLine="420" w:firstLineChars="200"/>
              <w:rPr>
                <w:szCs w:val="21"/>
              </w:rPr>
            </w:pPr>
            <w:r>
              <w:rPr>
                <w:szCs w:val="21"/>
              </w:rPr>
              <w:t>b.招标人直接或间接向投标人泄露标底、评标委员会成员等信息；</w:t>
            </w:r>
          </w:p>
          <w:p>
            <w:pPr>
              <w:snapToGrid w:val="0"/>
              <w:spacing w:line="288" w:lineRule="auto"/>
              <w:ind w:firstLine="420" w:firstLineChars="200"/>
              <w:rPr>
                <w:szCs w:val="21"/>
              </w:rPr>
            </w:pPr>
            <w:r>
              <w:rPr>
                <w:szCs w:val="21"/>
              </w:rPr>
              <w:t>c.招标人明示或暗示投标人压低或抬高投标报价；</w:t>
            </w:r>
          </w:p>
          <w:p>
            <w:pPr>
              <w:snapToGrid w:val="0"/>
              <w:spacing w:line="288" w:lineRule="auto"/>
              <w:ind w:firstLine="420" w:firstLineChars="200"/>
              <w:rPr>
                <w:szCs w:val="21"/>
              </w:rPr>
            </w:pPr>
            <w:r>
              <w:rPr>
                <w:szCs w:val="21"/>
              </w:rPr>
              <w:t>d.招标人授意投标人撤换、修改投标文件；</w:t>
            </w:r>
          </w:p>
          <w:p>
            <w:pPr>
              <w:snapToGrid w:val="0"/>
              <w:spacing w:line="288" w:lineRule="auto"/>
              <w:ind w:firstLine="420" w:firstLineChars="200"/>
              <w:rPr>
                <w:szCs w:val="21"/>
              </w:rPr>
            </w:pPr>
            <w:r>
              <w:rPr>
                <w:szCs w:val="21"/>
              </w:rPr>
              <w:t>e.招标人明示或暗示投标人为特定投标人中标提供方便；</w:t>
            </w:r>
          </w:p>
          <w:p>
            <w:pPr>
              <w:snapToGrid w:val="0"/>
              <w:spacing w:line="288" w:lineRule="auto"/>
              <w:ind w:firstLine="420" w:firstLineChars="200"/>
              <w:rPr>
                <w:szCs w:val="21"/>
              </w:rPr>
            </w:pPr>
            <w:r>
              <w:rPr>
                <w:szCs w:val="21"/>
              </w:rPr>
              <w:t>f.招标人与投标人为谋求特定投标人中标而采取的其他串通行为。</w:t>
            </w:r>
          </w:p>
          <w:p>
            <w:pPr>
              <w:snapToGrid w:val="0"/>
              <w:spacing w:line="288" w:lineRule="auto"/>
              <w:ind w:firstLine="420" w:firstLineChars="200"/>
              <w:rPr>
                <w:szCs w:val="21"/>
              </w:rPr>
            </w:pPr>
            <w:r>
              <w:rPr>
                <w:szCs w:val="21"/>
              </w:rPr>
              <w:t>（4）投标人有下列情形之一的，属于弄虚作假的行为：</w:t>
            </w:r>
          </w:p>
          <w:p>
            <w:pPr>
              <w:snapToGrid w:val="0"/>
              <w:spacing w:line="288" w:lineRule="auto"/>
              <w:ind w:firstLine="420" w:firstLineChars="200"/>
              <w:rPr>
                <w:szCs w:val="21"/>
              </w:rPr>
            </w:pPr>
            <w:r>
              <w:rPr>
                <w:szCs w:val="21"/>
              </w:rPr>
              <w:t>a.使用通过受让或租借等方式获取的资格、资质证书投标；</w:t>
            </w:r>
          </w:p>
          <w:p>
            <w:pPr>
              <w:snapToGrid w:val="0"/>
              <w:spacing w:line="288" w:lineRule="auto"/>
              <w:ind w:firstLine="420" w:firstLineChars="200"/>
              <w:rPr>
                <w:szCs w:val="21"/>
              </w:rPr>
            </w:pPr>
            <w:r>
              <w:rPr>
                <w:szCs w:val="21"/>
              </w:rPr>
              <w:t>b.使用伪造、变造的许可证件；</w:t>
            </w:r>
          </w:p>
          <w:p>
            <w:pPr>
              <w:snapToGrid w:val="0"/>
              <w:spacing w:line="288" w:lineRule="auto"/>
              <w:ind w:firstLine="420" w:firstLineChars="200"/>
              <w:rPr>
                <w:szCs w:val="21"/>
              </w:rPr>
            </w:pPr>
            <w:r>
              <w:rPr>
                <w:szCs w:val="21"/>
              </w:rPr>
              <w:t>c.提供虚假的财务状况或业绩；</w:t>
            </w:r>
          </w:p>
          <w:p>
            <w:pPr>
              <w:snapToGrid w:val="0"/>
              <w:spacing w:line="288" w:lineRule="auto"/>
              <w:ind w:firstLine="420" w:firstLineChars="200"/>
              <w:rPr>
                <w:szCs w:val="21"/>
              </w:rPr>
            </w:pPr>
            <w:r>
              <w:rPr>
                <w:szCs w:val="21"/>
              </w:rPr>
              <w:t>d.提供虚假的项目负责人或主要技术人员简历、劳动关系证明；</w:t>
            </w:r>
          </w:p>
          <w:p>
            <w:pPr>
              <w:snapToGrid w:val="0"/>
              <w:spacing w:line="288" w:lineRule="auto"/>
              <w:ind w:firstLine="420" w:firstLineChars="200"/>
              <w:rPr>
                <w:szCs w:val="21"/>
              </w:rPr>
            </w:pPr>
            <w:r>
              <w:rPr>
                <w:szCs w:val="21"/>
              </w:rPr>
              <w:t>e.提供虚假的信用状况；</w:t>
            </w:r>
          </w:p>
          <w:p>
            <w:pPr>
              <w:snapToGrid w:val="0"/>
              <w:spacing w:line="288" w:lineRule="auto"/>
              <w:ind w:firstLine="420" w:firstLineChars="200"/>
              <w:rPr>
                <w:szCs w:val="21"/>
              </w:rPr>
            </w:pPr>
            <w:r>
              <w:rPr>
                <w:szCs w:val="21"/>
              </w:rPr>
              <w:t>f.其他弄虚作假的行为。</w:t>
            </w:r>
          </w:p>
          <w:p>
            <w:pPr>
              <w:snapToGrid w:val="0"/>
              <w:spacing w:line="288" w:lineRule="auto"/>
              <w:ind w:firstLine="422" w:firstLineChars="200"/>
              <w:rPr>
                <w:b/>
                <w:szCs w:val="21"/>
              </w:rPr>
            </w:pPr>
            <w:r>
              <w:rPr>
                <w:b/>
                <w:szCs w:val="21"/>
              </w:rPr>
              <w:t>3.7 投标文件的澄清和说明</w:t>
            </w:r>
          </w:p>
          <w:p>
            <w:pPr>
              <w:snapToGrid w:val="0"/>
              <w:spacing w:line="288" w:lineRule="auto"/>
              <w:ind w:firstLine="420" w:firstLineChars="200"/>
              <w:rPr>
                <w:szCs w:val="21"/>
              </w:rPr>
            </w:pPr>
            <w:r>
              <w:rPr>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szCs w:val="21"/>
              </w:rPr>
            </w:pPr>
            <w:r>
              <w:rPr>
                <w:szCs w:val="21"/>
              </w:rPr>
              <w:t>3.7.2 澄清和说明不得超出投标文件的范围或改变投标文件的实质性内容。投标人的书面澄清、说明属于投标文件的组成部分。</w:t>
            </w:r>
          </w:p>
          <w:p>
            <w:pPr>
              <w:snapToGrid w:val="0"/>
              <w:spacing w:line="288" w:lineRule="auto"/>
              <w:ind w:firstLine="420" w:firstLineChars="200"/>
              <w:rPr>
                <w:szCs w:val="21"/>
              </w:rPr>
            </w:pPr>
            <w:r>
              <w:rPr>
                <w:szCs w:val="21"/>
              </w:rPr>
              <w:t>3.7.3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szCs w:val="21"/>
              </w:rPr>
            </w:pPr>
            <w:r>
              <w:rPr>
                <w:szCs w:val="21"/>
              </w:rPr>
              <w:t>3.7.4 凡超出招标文件规定的或给发包人带来未曾要求的利益的变化、偏差或其他因素在评标时不予考虑。</w:t>
            </w:r>
          </w:p>
          <w:p>
            <w:pPr>
              <w:snapToGrid w:val="0"/>
              <w:spacing w:line="288" w:lineRule="auto"/>
              <w:ind w:firstLine="422" w:firstLineChars="200"/>
              <w:rPr>
                <w:b/>
                <w:szCs w:val="21"/>
              </w:rPr>
            </w:pPr>
            <w:r>
              <w:rPr>
                <w:b/>
                <w:szCs w:val="21"/>
              </w:rPr>
              <w:t>3.8不得否决投标的情形</w:t>
            </w:r>
          </w:p>
          <w:p>
            <w:pPr>
              <w:snapToGrid w:val="0"/>
              <w:spacing w:line="288" w:lineRule="auto"/>
              <w:ind w:firstLine="420" w:firstLineChars="200"/>
              <w:rPr>
                <w:szCs w:val="21"/>
              </w:rPr>
            </w:pPr>
            <w:r>
              <w:rPr>
                <w:szCs w:val="21"/>
              </w:rPr>
              <w:t>投标文件存在第二章“投标人须知”第1.12.3项所列情形的，均视为细微偏差，评标委员会不得否决投标人的投标，应按照第二章“投标人须知”第 1.12.4 项规定的原则处理。</w:t>
            </w:r>
          </w:p>
          <w:p>
            <w:pPr>
              <w:snapToGrid w:val="0"/>
              <w:spacing w:line="288" w:lineRule="auto"/>
              <w:ind w:firstLine="422" w:firstLineChars="200"/>
              <w:rPr>
                <w:b/>
                <w:szCs w:val="21"/>
              </w:rPr>
            </w:pPr>
            <w:r>
              <w:rPr>
                <w:b/>
                <w:szCs w:val="21"/>
              </w:rPr>
              <w:t>3.9 评标结果</w:t>
            </w:r>
          </w:p>
          <w:p>
            <w:pPr>
              <w:snapToGrid w:val="0"/>
              <w:spacing w:line="288" w:lineRule="auto"/>
              <w:ind w:firstLine="420" w:firstLineChars="200"/>
              <w:rPr>
                <w:szCs w:val="21"/>
              </w:rPr>
            </w:pPr>
            <w:r>
              <w:rPr>
                <w:szCs w:val="21"/>
              </w:rPr>
              <w:t>3.9.1 除第二章“投标人须知”前附表授权直接确定中标人外，评标委员会按照综合得分由高到低的顺序推荐中标候选人，并标明排序。</w:t>
            </w:r>
          </w:p>
          <w:p>
            <w:pPr>
              <w:snapToGrid w:val="0"/>
              <w:spacing w:line="288" w:lineRule="auto"/>
              <w:ind w:firstLine="420" w:firstLineChars="200"/>
              <w:rPr>
                <w:szCs w:val="21"/>
              </w:rPr>
            </w:pPr>
            <w:r>
              <w:rPr>
                <w:szCs w:val="21"/>
              </w:rPr>
              <w:t>3.9.2 评标委员会完成评标后，应向招标人提交书面评标报告。</w:t>
            </w:r>
          </w:p>
        </w:tc>
      </w:tr>
    </w:tbl>
    <w:p>
      <w:pPr>
        <w:spacing w:line="320" w:lineRule="exact"/>
        <w:jc w:val="left"/>
        <w:rPr>
          <w:sz w:val="24"/>
        </w:rPr>
      </w:pPr>
    </w:p>
    <w:p>
      <w:pPr>
        <w:pStyle w:val="2"/>
        <w:rPr>
          <w:szCs w:val="21"/>
        </w:rPr>
      </w:pPr>
      <w:r>
        <w:br w:type="page"/>
      </w:r>
      <w:r>
        <w:rPr>
          <w:szCs w:val="21"/>
        </w:rPr>
        <w:t>具体评分标准如下：</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86"/>
        <w:gridCol w:w="709"/>
        <w:gridCol w:w="1081"/>
        <w:gridCol w:w="709"/>
        <w:gridCol w:w="5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1951" w:type="dxa"/>
            <w:gridSpan w:val="2"/>
            <w:vAlign w:val="center"/>
          </w:tcPr>
          <w:p>
            <w:pPr>
              <w:snapToGrid w:val="0"/>
              <w:spacing w:line="288" w:lineRule="auto"/>
              <w:jc w:val="center"/>
              <w:rPr>
                <w:szCs w:val="21"/>
              </w:rPr>
            </w:pPr>
            <w:r>
              <w:rPr>
                <w:szCs w:val="21"/>
              </w:rPr>
              <w:t>条款号</w:t>
            </w:r>
          </w:p>
        </w:tc>
        <w:tc>
          <w:tcPr>
            <w:tcW w:w="1790" w:type="dxa"/>
            <w:gridSpan w:val="2"/>
            <w:vAlign w:val="center"/>
          </w:tcPr>
          <w:p>
            <w:pPr>
              <w:snapToGrid w:val="0"/>
              <w:spacing w:line="288" w:lineRule="auto"/>
              <w:jc w:val="center"/>
              <w:rPr>
                <w:szCs w:val="21"/>
              </w:rPr>
            </w:pPr>
            <w:r>
              <w:rPr>
                <w:szCs w:val="21"/>
              </w:rPr>
              <w:t>评分因素</w:t>
            </w:r>
          </w:p>
        </w:tc>
        <w:tc>
          <w:tcPr>
            <w:tcW w:w="709" w:type="dxa"/>
            <w:vAlign w:val="center"/>
          </w:tcPr>
          <w:p>
            <w:pPr>
              <w:snapToGrid w:val="0"/>
              <w:spacing w:line="288" w:lineRule="auto"/>
              <w:jc w:val="center"/>
              <w:rPr>
                <w:szCs w:val="21"/>
              </w:rPr>
            </w:pPr>
            <w:r>
              <w:rPr>
                <w:szCs w:val="21"/>
              </w:rPr>
              <w:t>分值</w:t>
            </w:r>
          </w:p>
        </w:tc>
        <w:tc>
          <w:tcPr>
            <w:tcW w:w="5014" w:type="dxa"/>
            <w:vAlign w:val="center"/>
          </w:tcPr>
          <w:p>
            <w:pPr>
              <w:snapToGrid w:val="0"/>
              <w:spacing w:line="288" w:lineRule="auto"/>
              <w:jc w:val="center"/>
              <w:rPr>
                <w:szCs w:val="21"/>
              </w:rPr>
            </w:pPr>
            <w:r>
              <w:rPr>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napToGrid w:val="0"/>
              <w:spacing w:line="288" w:lineRule="auto"/>
              <w:jc w:val="center"/>
              <w:rPr>
                <w:szCs w:val="21"/>
              </w:rPr>
            </w:pPr>
            <w:r>
              <w:rPr>
                <w:szCs w:val="21"/>
              </w:rPr>
              <w:t>2.2.4（1）</w:t>
            </w:r>
          </w:p>
        </w:tc>
        <w:tc>
          <w:tcPr>
            <w:tcW w:w="1186" w:type="dxa"/>
            <w:vMerge w:val="restart"/>
            <w:vAlign w:val="center"/>
          </w:tcPr>
          <w:p>
            <w:pPr>
              <w:snapToGrid w:val="0"/>
              <w:spacing w:line="288" w:lineRule="auto"/>
              <w:jc w:val="center"/>
              <w:rPr>
                <w:szCs w:val="21"/>
              </w:rPr>
            </w:pPr>
            <w:r>
              <w:rPr>
                <w:szCs w:val="21"/>
              </w:rPr>
              <w:t>承包人建议书</w:t>
            </w:r>
          </w:p>
          <w:p>
            <w:pPr>
              <w:pStyle w:val="2"/>
              <w:rPr>
                <w:szCs w:val="21"/>
              </w:rPr>
            </w:pPr>
            <w:r>
              <w:rPr>
                <w:szCs w:val="21"/>
              </w:rPr>
              <w:t>（12分）</w:t>
            </w:r>
          </w:p>
        </w:tc>
        <w:tc>
          <w:tcPr>
            <w:tcW w:w="1790" w:type="dxa"/>
            <w:gridSpan w:val="2"/>
            <w:vAlign w:val="center"/>
          </w:tcPr>
          <w:p>
            <w:pPr>
              <w:snapToGrid w:val="0"/>
              <w:spacing w:line="288" w:lineRule="auto"/>
              <w:ind w:left="-109" w:leftChars="-52" w:right="-105" w:rightChars="-50" w:firstLine="31" w:firstLineChars="15"/>
              <w:jc w:val="center"/>
              <w:rPr>
                <w:szCs w:val="21"/>
              </w:rPr>
            </w:pPr>
            <w:r>
              <w:rPr>
                <w:szCs w:val="21"/>
              </w:rPr>
              <w:t>对项目的理解和总体设计思路</w:t>
            </w:r>
          </w:p>
        </w:tc>
        <w:tc>
          <w:tcPr>
            <w:tcW w:w="709" w:type="dxa"/>
            <w:vAlign w:val="center"/>
          </w:tcPr>
          <w:p>
            <w:pPr>
              <w:snapToGrid w:val="0"/>
              <w:spacing w:line="288" w:lineRule="auto"/>
              <w:jc w:val="center"/>
              <w:rPr>
                <w:szCs w:val="21"/>
              </w:rPr>
            </w:pPr>
            <w:r>
              <w:rPr>
                <w:szCs w:val="21"/>
              </w:rPr>
              <w:t>3分</w:t>
            </w:r>
          </w:p>
        </w:tc>
        <w:tc>
          <w:tcPr>
            <w:tcW w:w="5014" w:type="dxa"/>
            <w:vAlign w:val="center"/>
          </w:tcPr>
          <w:p>
            <w:pPr>
              <w:snapToGrid w:val="0"/>
              <w:spacing w:line="288" w:lineRule="auto"/>
              <w:ind w:right="-105" w:rightChars="-50"/>
              <w:rPr>
                <w:szCs w:val="21"/>
              </w:rPr>
            </w:pPr>
            <w:r>
              <w:rPr>
                <w:szCs w:val="21"/>
              </w:rPr>
              <w:t>对本项目名称、所在地区、建设规模、主要工作内容、工期承诺等阐述基本全面，得1.8分；</w:t>
            </w:r>
          </w:p>
          <w:p>
            <w:pPr>
              <w:snapToGrid w:val="0"/>
              <w:spacing w:line="288" w:lineRule="auto"/>
              <w:ind w:right="-105" w:rightChars="-50"/>
              <w:rPr>
                <w:szCs w:val="21"/>
              </w:rPr>
            </w:pPr>
            <w:r>
              <w:rPr>
                <w:szCs w:val="21"/>
              </w:rPr>
              <w:t>对本项目名称、所在地区、建设规模、主要工作内容、工期承诺等阐述全面，无漏项，得1.8-2.4分；</w:t>
            </w:r>
          </w:p>
          <w:p>
            <w:pPr>
              <w:snapToGrid w:val="0"/>
              <w:spacing w:line="288" w:lineRule="auto"/>
              <w:ind w:right="-105" w:rightChars="-50"/>
              <w:rPr>
                <w:szCs w:val="21"/>
              </w:rPr>
            </w:pPr>
            <w:r>
              <w:rPr>
                <w:szCs w:val="21"/>
              </w:rPr>
              <w:t>对本项目名称、所在地区、建设规模、主要工作内容、工期承诺等阐述全面、合理，符合项目要求，得2.4-3分。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jc w:val="center"/>
              <w:rPr>
                <w:szCs w:val="21"/>
              </w:rPr>
            </w:pPr>
          </w:p>
        </w:tc>
        <w:tc>
          <w:tcPr>
            <w:tcW w:w="1790" w:type="dxa"/>
            <w:gridSpan w:val="2"/>
            <w:vAlign w:val="center"/>
          </w:tcPr>
          <w:p>
            <w:pPr>
              <w:snapToGrid w:val="0"/>
              <w:spacing w:line="288" w:lineRule="auto"/>
              <w:ind w:left="-109" w:leftChars="-52" w:right="-105" w:rightChars="-50" w:firstLine="31" w:firstLineChars="15"/>
              <w:jc w:val="center"/>
              <w:rPr>
                <w:szCs w:val="21"/>
              </w:rPr>
            </w:pPr>
            <w:r>
              <w:rPr>
                <w:rFonts w:hint="eastAsia"/>
                <w:szCs w:val="21"/>
              </w:rPr>
              <w:t>施工图设计方案</w:t>
            </w:r>
          </w:p>
        </w:tc>
        <w:tc>
          <w:tcPr>
            <w:tcW w:w="709" w:type="dxa"/>
            <w:vAlign w:val="center"/>
          </w:tcPr>
          <w:p>
            <w:pPr>
              <w:jc w:val="center"/>
              <w:rPr>
                <w:szCs w:val="21"/>
              </w:rPr>
            </w:pPr>
            <w:r>
              <w:rPr>
                <w:szCs w:val="21"/>
              </w:rPr>
              <w:t>3分</w:t>
            </w:r>
          </w:p>
        </w:tc>
        <w:tc>
          <w:tcPr>
            <w:tcW w:w="5014" w:type="dxa"/>
            <w:vAlign w:val="center"/>
          </w:tcPr>
          <w:p>
            <w:pPr>
              <w:pStyle w:val="5"/>
              <w:spacing w:line="300" w:lineRule="exact"/>
              <w:rPr>
                <w:rFonts w:ascii="Times New Roman" w:hAnsi="Times New Roman" w:cs="Times New Roman"/>
              </w:rPr>
            </w:pPr>
            <w:r>
              <w:rPr>
                <w:rFonts w:hint="eastAsia" w:ascii="Times New Roman" w:hAnsi="Times New Roman" w:cs="Times New Roman"/>
              </w:rPr>
              <w:t>方案</w:t>
            </w:r>
            <w:r>
              <w:rPr>
                <w:rFonts w:ascii="Times New Roman" w:hAnsi="Times New Roman" w:cs="Times New Roman"/>
              </w:rPr>
              <w:t>基本合理、可行，得1.8分；</w:t>
            </w:r>
          </w:p>
          <w:p>
            <w:pPr>
              <w:pStyle w:val="5"/>
              <w:spacing w:line="300" w:lineRule="exact"/>
              <w:rPr>
                <w:rFonts w:ascii="Times New Roman" w:hAnsi="Times New Roman" w:cs="Times New Roman"/>
              </w:rPr>
            </w:pPr>
            <w:r>
              <w:rPr>
                <w:rFonts w:hint="eastAsia" w:ascii="Times New Roman" w:hAnsi="Times New Roman" w:cs="Times New Roman"/>
              </w:rPr>
              <w:t>方案</w:t>
            </w:r>
            <w:r>
              <w:rPr>
                <w:rFonts w:ascii="Times New Roman" w:hAnsi="Times New Roman" w:cs="Times New Roman"/>
              </w:rPr>
              <w:t>较合理、可行，得1.8-2.4分；</w:t>
            </w:r>
          </w:p>
          <w:p>
            <w:pPr>
              <w:snapToGrid w:val="0"/>
              <w:spacing w:line="288" w:lineRule="auto"/>
              <w:ind w:right="-105" w:rightChars="-50"/>
              <w:rPr>
                <w:szCs w:val="21"/>
              </w:rPr>
            </w:pPr>
            <w:r>
              <w:rPr>
                <w:rFonts w:hint="eastAsia"/>
                <w:szCs w:val="21"/>
              </w:rPr>
              <w:t>方案</w:t>
            </w:r>
            <w:r>
              <w:t>合理、</w:t>
            </w:r>
            <w:r>
              <w:rPr>
                <w:szCs w:val="21"/>
              </w:rPr>
              <w:t>可行，具有降低工程造价的合理技术方案及具体措施。具有成熟的新技术、新工艺、新材料的</w:t>
            </w:r>
            <w:r>
              <w:rPr>
                <w:rFonts w:hint="eastAsia"/>
                <w:szCs w:val="21"/>
              </w:rPr>
              <w:t>设计</w:t>
            </w:r>
            <w:r>
              <w:rPr>
                <w:szCs w:val="21"/>
              </w:rPr>
              <w:t>方案，得2.4-3分。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jc w:val="center"/>
              <w:rPr>
                <w:szCs w:val="21"/>
              </w:rPr>
            </w:pPr>
          </w:p>
        </w:tc>
        <w:tc>
          <w:tcPr>
            <w:tcW w:w="1790" w:type="dxa"/>
            <w:gridSpan w:val="2"/>
            <w:vAlign w:val="center"/>
          </w:tcPr>
          <w:p>
            <w:pPr>
              <w:pStyle w:val="5"/>
              <w:spacing w:line="276" w:lineRule="auto"/>
              <w:jc w:val="center"/>
              <w:rPr>
                <w:rFonts w:ascii="Times New Roman" w:hAnsi="Times New Roman" w:cs="Times New Roman"/>
              </w:rPr>
            </w:pPr>
            <w:r>
              <w:rPr>
                <w:rFonts w:ascii="Times New Roman" w:hAnsi="Times New Roman" w:cs="Times New Roman"/>
              </w:rPr>
              <w:t>勘察设计工作量及计划安排</w:t>
            </w:r>
          </w:p>
        </w:tc>
        <w:tc>
          <w:tcPr>
            <w:tcW w:w="709" w:type="dxa"/>
            <w:vAlign w:val="center"/>
          </w:tcPr>
          <w:p>
            <w:pPr>
              <w:jc w:val="center"/>
              <w:rPr>
                <w:szCs w:val="21"/>
              </w:rPr>
            </w:pPr>
            <w:r>
              <w:rPr>
                <w:szCs w:val="21"/>
              </w:rPr>
              <w:t>3分</w:t>
            </w:r>
          </w:p>
        </w:tc>
        <w:tc>
          <w:tcPr>
            <w:tcW w:w="5014" w:type="dxa"/>
            <w:vAlign w:val="center"/>
          </w:tcPr>
          <w:p>
            <w:pPr>
              <w:pStyle w:val="5"/>
              <w:spacing w:line="300" w:lineRule="exact"/>
              <w:rPr>
                <w:rFonts w:ascii="Times New Roman" w:hAnsi="Times New Roman" w:cs="Times New Roman"/>
              </w:rPr>
            </w:pPr>
            <w:r>
              <w:rPr>
                <w:rFonts w:ascii="Times New Roman" w:hAnsi="Times New Roman" w:cs="Times New Roman"/>
              </w:rPr>
              <w:t>工作量及计划安排基本合理，得1.8分；</w:t>
            </w:r>
          </w:p>
          <w:p>
            <w:pPr>
              <w:pStyle w:val="5"/>
              <w:spacing w:line="300" w:lineRule="exact"/>
              <w:rPr>
                <w:rFonts w:ascii="Times New Roman" w:hAnsi="Times New Roman" w:cs="Times New Roman"/>
              </w:rPr>
            </w:pPr>
            <w:r>
              <w:rPr>
                <w:rFonts w:ascii="Times New Roman" w:hAnsi="Times New Roman" w:cs="Times New Roman"/>
              </w:rPr>
              <w:t>工作量及计划安排合理，得1.8-2.4分；</w:t>
            </w:r>
          </w:p>
          <w:p>
            <w:pPr>
              <w:snapToGrid w:val="0"/>
              <w:spacing w:line="288" w:lineRule="auto"/>
              <w:ind w:right="-105" w:rightChars="-50"/>
              <w:rPr>
                <w:szCs w:val="21"/>
              </w:rPr>
            </w:pPr>
            <w:r>
              <w:rPr>
                <w:szCs w:val="21"/>
              </w:rPr>
              <w:t>工作量及计划安排科学，安排周密，得2.4-3分。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jc w:val="center"/>
              <w:rPr>
                <w:szCs w:val="21"/>
              </w:rPr>
            </w:pPr>
          </w:p>
        </w:tc>
        <w:tc>
          <w:tcPr>
            <w:tcW w:w="1790" w:type="dxa"/>
            <w:gridSpan w:val="2"/>
            <w:vAlign w:val="center"/>
          </w:tcPr>
          <w:p>
            <w:pPr>
              <w:pStyle w:val="5"/>
              <w:spacing w:line="276" w:lineRule="auto"/>
              <w:jc w:val="center"/>
              <w:rPr>
                <w:rFonts w:ascii="Times New Roman" w:hAnsi="Times New Roman" w:cs="Times New Roman"/>
              </w:rPr>
            </w:pPr>
            <w:r>
              <w:rPr>
                <w:rFonts w:ascii="Times New Roman" w:hAnsi="Times New Roman" w:cs="Times New Roman"/>
              </w:rPr>
              <w:t>勘察设计的质量保证措施、进度保证措施、安全保证措施</w:t>
            </w:r>
          </w:p>
        </w:tc>
        <w:tc>
          <w:tcPr>
            <w:tcW w:w="709" w:type="dxa"/>
            <w:vAlign w:val="center"/>
          </w:tcPr>
          <w:p>
            <w:pPr>
              <w:jc w:val="center"/>
              <w:rPr>
                <w:szCs w:val="21"/>
              </w:rPr>
            </w:pPr>
            <w:r>
              <w:rPr>
                <w:szCs w:val="21"/>
              </w:rPr>
              <w:t>3分</w:t>
            </w:r>
          </w:p>
        </w:tc>
        <w:tc>
          <w:tcPr>
            <w:tcW w:w="5014" w:type="dxa"/>
            <w:vAlign w:val="center"/>
          </w:tcPr>
          <w:p>
            <w:pPr>
              <w:pStyle w:val="5"/>
              <w:spacing w:line="300" w:lineRule="exact"/>
              <w:rPr>
                <w:rFonts w:ascii="Times New Roman" w:hAnsi="Times New Roman" w:cs="Times New Roman"/>
              </w:rPr>
            </w:pPr>
            <w:r>
              <w:rPr>
                <w:rFonts w:ascii="Times New Roman" w:hAnsi="Times New Roman" w:cs="Times New Roman"/>
              </w:rPr>
              <w:t>质量、进度及安全保证措施不够具体，可实施性一般，得1.8分；</w:t>
            </w:r>
          </w:p>
          <w:p>
            <w:pPr>
              <w:pStyle w:val="5"/>
              <w:rPr>
                <w:rFonts w:ascii="Times New Roman" w:hAnsi="Times New Roman" w:cs="Times New Roman"/>
              </w:rPr>
            </w:pPr>
            <w:r>
              <w:rPr>
                <w:rFonts w:ascii="Times New Roman" w:hAnsi="Times New Roman" w:cs="Times New Roman"/>
              </w:rPr>
              <w:t>质量、进度及安全保证措施较具体，可实施性较强，得1.8-2.4分；</w:t>
            </w:r>
          </w:p>
          <w:p>
            <w:pPr>
              <w:snapToGrid w:val="0"/>
              <w:spacing w:line="288" w:lineRule="auto"/>
              <w:ind w:right="-105" w:rightChars="-50"/>
              <w:rPr>
                <w:szCs w:val="21"/>
              </w:rPr>
            </w:pPr>
            <w:r>
              <w:rPr>
                <w:szCs w:val="21"/>
              </w:rPr>
              <w:t>质量、进度及安全保证措施具体可靠，可实施性强，适合本项目，得2.4-3分。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napToGrid w:val="0"/>
              <w:spacing w:line="288" w:lineRule="auto"/>
              <w:jc w:val="center"/>
              <w:rPr>
                <w:szCs w:val="21"/>
              </w:rPr>
            </w:pPr>
            <w:r>
              <w:rPr>
                <w:szCs w:val="21"/>
              </w:rPr>
              <w:t>2.2.4（2）</w:t>
            </w:r>
          </w:p>
        </w:tc>
        <w:tc>
          <w:tcPr>
            <w:tcW w:w="1186" w:type="dxa"/>
            <w:vMerge w:val="restart"/>
            <w:vAlign w:val="center"/>
          </w:tcPr>
          <w:p>
            <w:pPr>
              <w:snapToGrid w:val="0"/>
              <w:spacing w:line="288" w:lineRule="auto"/>
              <w:jc w:val="center"/>
              <w:rPr>
                <w:szCs w:val="21"/>
              </w:rPr>
            </w:pPr>
            <w:r>
              <w:rPr>
                <w:szCs w:val="21"/>
              </w:rPr>
              <w:t>资信业绩</w:t>
            </w:r>
          </w:p>
          <w:p>
            <w:pPr>
              <w:pStyle w:val="2"/>
              <w:jc w:val="center"/>
              <w:rPr>
                <w:szCs w:val="21"/>
              </w:rPr>
            </w:pPr>
            <w:r>
              <w:rPr>
                <w:szCs w:val="21"/>
              </w:rPr>
              <w:t>（18分）</w:t>
            </w:r>
          </w:p>
        </w:tc>
        <w:tc>
          <w:tcPr>
            <w:tcW w:w="1790" w:type="dxa"/>
            <w:gridSpan w:val="2"/>
            <w:vAlign w:val="center"/>
          </w:tcPr>
          <w:p>
            <w:pPr>
              <w:snapToGrid w:val="0"/>
              <w:spacing w:line="288" w:lineRule="auto"/>
              <w:jc w:val="center"/>
              <w:rPr>
                <w:szCs w:val="21"/>
              </w:rPr>
            </w:pPr>
            <w:r>
              <w:rPr>
                <w:szCs w:val="21"/>
              </w:rPr>
              <w:t>类似项目业绩</w:t>
            </w:r>
          </w:p>
        </w:tc>
        <w:tc>
          <w:tcPr>
            <w:tcW w:w="709" w:type="dxa"/>
            <w:vAlign w:val="center"/>
          </w:tcPr>
          <w:p>
            <w:pPr>
              <w:snapToGrid w:val="0"/>
              <w:spacing w:line="288" w:lineRule="auto"/>
              <w:jc w:val="center"/>
              <w:rPr>
                <w:szCs w:val="21"/>
              </w:rPr>
            </w:pPr>
            <w:r>
              <w:rPr>
                <w:szCs w:val="21"/>
              </w:rPr>
              <w:t>6分</w:t>
            </w:r>
          </w:p>
        </w:tc>
        <w:tc>
          <w:tcPr>
            <w:tcW w:w="5014" w:type="dxa"/>
            <w:vAlign w:val="center"/>
          </w:tcPr>
          <w:p>
            <w:pPr>
              <w:snapToGrid w:val="0"/>
              <w:spacing w:line="280" w:lineRule="exact"/>
              <w:jc w:val="left"/>
              <w:rPr>
                <w:szCs w:val="21"/>
              </w:rPr>
            </w:pPr>
            <w:r>
              <w:rPr>
                <w:szCs w:val="21"/>
              </w:rPr>
              <w:t>满足资格审查条件（业绩最低要求）得3.6分。</w:t>
            </w:r>
          </w:p>
          <w:p>
            <w:pPr>
              <w:snapToGrid w:val="0"/>
              <w:spacing w:line="280" w:lineRule="exact"/>
              <w:jc w:val="left"/>
              <w:rPr>
                <w:szCs w:val="21"/>
              </w:rPr>
            </w:pPr>
            <w:r>
              <w:rPr>
                <w:szCs w:val="21"/>
              </w:rPr>
              <w:t>投标人每增加1项满足资格审查条件（业绩最低要求）的设计业绩加1.2分，最多加1.2分；</w:t>
            </w:r>
          </w:p>
          <w:p>
            <w:pPr>
              <w:widowControl/>
              <w:snapToGrid w:val="0"/>
              <w:spacing w:line="288" w:lineRule="auto"/>
              <w:jc w:val="left"/>
              <w:rPr>
                <w:szCs w:val="21"/>
              </w:rPr>
            </w:pPr>
            <w:r>
              <w:rPr>
                <w:szCs w:val="21"/>
              </w:rPr>
              <w:t>投标人每增加1项满足资格审查条件（业绩最低要求）的施工业绩加1.2分，最多加1.2分。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rPr>
                <w:bCs/>
                <w:szCs w:val="21"/>
              </w:rPr>
            </w:pPr>
          </w:p>
        </w:tc>
        <w:tc>
          <w:tcPr>
            <w:tcW w:w="1790" w:type="dxa"/>
            <w:gridSpan w:val="2"/>
            <w:vAlign w:val="center"/>
          </w:tcPr>
          <w:p>
            <w:pPr>
              <w:snapToGrid w:val="0"/>
              <w:spacing w:line="288" w:lineRule="auto"/>
              <w:jc w:val="center"/>
              <w:rPr>
                <w:szCs w:val="21"/>
              </w:rPr>
            </w:pPr>
            <w:r>
              <w:rPr>
                <w:szCs w:val="21"/>
              </w:rPr>
              <w:t>项目经理业绩</w:t>
            </w:r>
          </w:p>
        </w:tc>
        <w:tc>
          <w:tcPr>
            <w:tcW w:w="709" w:type="dxa"/>
            <w:vAlign w:val="center"/>
          </w:tcPr>
          <w:p>
            <w:pPr>
              <w:snapToGrid w:val="0"/>
              <w:spacing w:line="288" w:lineRule="auto"/>
              <w:jc w:val="center"/>
              <w:rPr>
                <w:szCs w:val="21"/>
              </w:rPr>
            </w:pPr>
            <w:r>
              <w:rPr>
                <w:szCs w:val="21"/>
              </w:rPr>
              <w:t>6分</w:t>
            </w:r>
          </w:p>
        </w:tc>
        <w:tc>
          <w:tcPr>
            <w:tcW w:w="5014" w:type="dxa"/>
            <w:vAlign w:val="center"/>
          </w:tcPr>
          <w:p>
            <w:pPr>
              <w:snapToGrid w:val="0"/>
              <w:spacing w:line="280" w:lineRule="exact"/>
              <w:jc w:val="left"/>
              <w:rPr>
                <w:szCs w:val="21"/>
              </w:rPr>
            </w:pPr>
            <w:r>
              <w:rPr>
                <w:szCs w:val="21"/>
              </w:rPr>
              <w:t>满足资格审查条件（主要人员最低要求）得3.6分。</w:t>
            </w:r>
          </w:p>
          <w:p>
            <w:pPr>
              <w:snapToGrid w:val="0"/>
              <w:spacing w:line="280" w:lineRule="exact"/>
              <w:jc w:val="left"/>
              <w:rPr>
                <w:szCs w:val="21"/>
              </w:rPr>
            </w:pPr>
            <w:r>
              <w:rPr>
                <w:szCs w:val="21"/>
              </w:rPr>
              <w:t>项目经理每增加1项满足资格审查条件（主要人员最低要求）的项目经理业绩加2.4分，最多加2.4分。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rPr>
                <w:bCs/>
                <w:szCs w:val="21"/>
              </w:rPr>
            </w:pPr>
          </w:p>
        </w:tc>
        <w:tc>
          <w:tcPr>
            <w:tcW w:w="1790" w:type="dxa"/>
            <w:gridSpan w:val="2"/>
            <w:vAlign w:val="center"/>
          </w:tcPr>
          <w:p>
            <w:pPr>
              <w:snapToGrid w:val="0"/>
              <w:spacing w:line="288" w:lineRule="auto"/>
              <w:jc w:val="center"/>
              <w:rPr>
                <w:szCs w:val="21"/>
              </w:rPr>
            </w:pPr>
            <w:r>
              <w:rPr>
                <w:szCs w:val="21"/>
              </w:rPr>
              <w:t>设计负责人业绩</w:t>
            </w:r>
          </w:p>
        </w:tc>
        <w:tc>
          <w:tcPr>
            <w:tcW w:w="709" w:type="dxa"/>
            <w:vAlign w:val="center"/>
          </w:tcPr>
          <w:p>
            <w:pPr>
              <w:snapToGrid w:val="0"/>
              <w:spacing w:line="288" w:lineRule="auto"/>
              <w:jc w:val="center"/>
              <w:rPr>
                <w:szCs w:val="21"/>
              </w:rPr>
            </w:pPr>
            <w:r>
              <w:rPr>
                <w:szCs w:val="21"/>
              </w:rPr>
              <w:t>6分</w:t>
            </w:r>
          </w:p>
        </w:tc>
        <w:tc>
          <w:tcPr>
            <w:tcW w:w="5014" w:type="dxa"/>
            <w:vAlign w:val="center"/>
          </w:tcPr>
          <w:p>
            <w:pPr>
              <w:snapToGrid w:val="0"/>
              <w:spacing w:line="280" w:lineRule="exact"/>
              <w:jc w:val="left"/>
              <w:rPr>
                <w:szCs w:val="21"/>
              </w:rPr>
            </w:pPr>
            <w:r>
              <w:rPr>
                <w:szCs w:val="21"/>
              </w:rPr>
              <w:t>满足资格审查条件（主要人员最低要求）得3.6分。</w:t>
            </w:r>
          </w:p>
          <w:p>
            <w:pPr>
              <w:snapToGrid w:val="0"/>
              <w:spacing w:line="280" w:lineRule="exact"/>
              <w:jc w:val="left"/>
              <w:rPr>
                <w:szCs w:val="21"/>
              </w:rPr>
            </w:pPr>
            <w:r>
              <w:rPr>
                <w:szCs w:val="21"/>
              </w:rPr>
              <w:t>设计负责人每增加1项满足资格审查条件（主要人员最低要求）的设计负责人业绩加2.4分，最多加2.4分。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5" w:type="dxa"/>
            <w:vMerge w:val="restart"/>
            <w:vAlign w:val="center"/>
          </w:tcPr>
          <w:p>
            <w:pPr>
              <w:snapToGrid w:val="0"/>
              <w:spacing w:line="288" w:lineRule="auto"/>
              <w:jc w:val="center"/>
              <w:rPr>
                <w:szCs w:val="21"/>
              </w:rPr>
            </w:pPr>
            <w:r>
              <w:rPr>
                <w:szCs w:val="21"/>
              </w:rPr>
              <w:t>2.2.4（3）</w:t>
            </w:r>
          </w:p>
        </w:tc>
        <w:tc>
          <w:tcPr>
            <w:tcW w:w="1186" w:type="dxa"/>
            <w:vMerge w:val="restart"/>
            <w:vAlign w:val="center"/>
          </w:tcPr>
          <w:p>
            <w:pPr>
              <w:snapToGrid w:val="0"/>
              <w:spacing w:line="288" w:lineRule="auto"/>
              <w:ind w:left="-78" w:leftChars="-37" w:right="-120" w:rightChars="-57"/>
              <w:jc w:val="center"/>
              <w:rPr>
                <w:szCs w:val="21"/>
              </w:rPr>
            </w:pPr>
            <w:r>
              <w:rPr>
                <w:szCs w:val="21"/>
              </w:rPr>
              <w:t>承包人实施方案</w:t>
            </w:r>
          </w:p>
          <w:p>
            <w:pPr>
              <w:pStyle w:val="2"/>
              <w:jc w:val="center"/>
              <w:rPr>
                <w:szCs w:val="21"/>
              </w:rPr>
            </w:pPr>
            <w:r>
              <w:rPr>
                <w:szCs w:val="21"/>
              </w:rPr>
              <w:t>（20分）</w:t>
            </w:r>
          </w:p>
        </w:tc>
        <w:tc>
          <w:tcPr>
            <w:tcW w:w="1790" w:type="dxa"/>
            <w:gridSpan w:val="2"/>
            <w:vAlign w:val="center"/>
          </w:tcPr>
          <w:p>
            <w:pPr>
              <w:snapToGrid w:val="0"/>
              <w:spacing w:line="288" w:lineRule="auto"/>
              <w:ind w:leftChars="-52" w:right="-107" w:rightChars="-51" w:hanging="109" w:hangingChars="52"/>
              <w:jc w:val="center"/>
              <w:rPr>
                <w:szCs w:val="21"/>
              </w:rPr>
            </w:pPr>
            <w:r>
              <w:rPr>
                <w:kern w:val="0"/>
                <w:szCs w:val="21"/>
              </w:rPr>
              <w:t>设计施工总承包管理方案</w:t>
            </w:r>
          </w:p>
        </w:tc>
        <w:tc>
          <w:tcPr>
            <w:tcW w:w="709" w:type="dxa"/>
            <w:vAlign w:val="center"/>
          </w:tcPr>
          <w:p>
            <w:pPr>
              <w:snapToGrid w:val="0"/>
              <w:spacing w:line="288" w:lineRule="auto"/>
              <w:jc w:val="center"/>
              <w:rPr>
                <w:szCs w:val="21"/>
              </w:rPr>
            </w:pPr>
            <w:r>
              <w:rPr>
                <w:szCs w:val="21"/>
              </w:rPr>
              <w:t>5分</w:t>
            </w:r>
          </w:p>
        </w:tc>
        <w:tc>
          <w:tcPr>
            <w:tcW w:w="5014" w:type="dxa"/>
            <w:vAlign w:val="center"/>
          </w:tcPr>
          <w:p>
            <w:pPr>
              <w:snapToGrid w:val="0"/>
              <w:spacing w:line="280" w:lineRule="exact"/>
              <w:rPr>
                <w:szCs w:val="21"/>
              </w:rPr>
            </w:pPr>
            <w:r>
              <w:rPr>
                <w:szCs w:val="21"/>
              </w:rPr>
              <w:t>方案基本合理、实施性一般，得3分；</w:t>
            </w:r>
          </w:p>
          <w:p>
            <w:pPr>
              <w:snapToGrid w:val="0"/>
              <w:spacing w:line="280" w:lineRule="exact"/>
              <w:rPr>
                <w:szCs w:val="21"/>
              </w:rPr>
            </w:pPr>
            <w:r>
              <w:rPr>
                <w:szCs w:val="21"/>
              </w:rPr>
              <w:t>方案合理、实施性强，得3-4分；</w:t>
            </w:r>
          </w:p>
          <w:p>
            <w:pPr>
              <w:snapToGrid w:val="0"/>
              <w:spacing w:line="280" w:lineRule="exact"/>
              <w:rPr>
                <w:szCs w:val="21"/>
              </w:rPr>
            </w:pPr>
            <w:r>
              <w:rPr>
                <w:szCs w:val="21"/>
              </w:rPr>
              <w:t>方案非常合理、突出、详细，得4-5分。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1790" w:type="dxa"/>
            <w:gridSpan w:val="2"/>
            <w:vAlign w:val="center"/>
          </w:tcPr>
          <w:p>
            <w:pPr>
              <w:snapToGrid w:val="0"/>
              <w:spacing w:line="288" w:lineRule="auto"/>
              <w:ind w:leftChars="-52" w:right="-107" w:rightChars="-51" w:hanging="109" w:hangingChars="52"/>
              <w:jc w:val="center"/>
              <w:rPr>
                <w:kern w:val="0"/>
                <w:szCs w:val="21"/>
              </w:rPr>
            </w:pPr>
            <w:r>
              <w:rPr>
                <w:kern w:val="0"/>
                <w:szCs w:val="21"/>
              </w:rPr>
              <w:t>项目管理机构</w:t>
            </w:r>
          </w:p>
        </w:tc>
        <w:tc>
          <w:tcPr>
            <w:tcW w:w="709" w:type="dxa"/>
            <w:vAlign w:val="center"/>
          </w:tcPr>
          <w:p>
            <w:pPr>
              <w:snapToGrid w:val="0"/>
              <w:spacing w:line="288" w:lineRule="auto"/>
              <w:jc w:val="center"/>
              <w:rPr>
                <w:szCs w:val="21"/>
              </w:rPr>
            </w:pPr>
            <w:r>
              <w:rPr>
                <w:szCs w:val="21"/>
              </w:rPr>
              <w:t>3分</w:t>
            </w:r>
          </w:p>
        </w:tc>
        <w:tc>
          <w:tcPr>
            <w:tcW w:w="5014" w:type="dxa"/>
          </w:tcPr>
          <w:p>
            <w:pPr>
              <w:snapToGrid w:val="0"/>
              <w:spacing w:line="280" w:lineRule="exact"/>
              <w:rPr>
                <w:szCs w:val="21"/>
              </w:rPr>
            </w:pPr>
            <w:r>
              <w:rPr>
                <w:szCs w:val="21"/>
              </w:rPr>
              <w:t>管理制度基本齐全，管理人员配备满足基本需求，素质、资历一般，得1.8分；</w:t>
            </w:r>
          </w:p>
          <w:p>
            <w:pPr>
              <w:snapToGrid w:val="0"/>
              <w:spacing w:line="280" w:lineRule="exact"/>
              <w:rPr>
                <w:szCs w:val="21"/>
              </w:rPr>
            </w:pPr>
            <w:r>
              <w:rPr>
                <w:szCs w:val="21"/>
              </w:rPr>
              <w:t>管理制度较齐全，管理人员配备能满足项目需求，素质、资历较高1.8-2.4分；</w:t>
            </w:r>
          </w:p>
          <w:p>
            <w:pPr>
              <w:snapToGrid w:val="0"/>
              <w:spacing w:line="280" w:lineRule="exact"/>
              <w:rPr>
                <w:szCs w:val="21"/>
              </w:rPr>
            </w:pPr>
            <w:r>
              <w:rPr>
                <w:szCs w:val="21"/>
              </w:rPr>
              <w:t>管理制度齐全、完善，管理人员配备合理，素质、资历高，得2.4-3分。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709" w:type="dxa"/>
            <w:vMerge w:val="restart"/>
            <w:vAlign w:val="center"/>
          </w:tcPr>
          <w:p>
            <w:pPr>
              <w:snapToGrid w:val="0"/>
              <w:spacing w:line="288" w:lineRule="auto"/>
              <w:jc w:val="center"/>
              <w:rPr>
                <w:szCs w:val="21"/>
              </w:rPr>
            </w:pPr>
            <w:r>
              <w:rPr>
                <w:szCs w:val="21"/>
              </w:rPr>
              <w:t>施工组织设计</w:t>
            </w:r>
          </w:p>
        </w:tc>
        <w:tc>
          <w:tcPr>
            <w:tcW w:w="1081" w:type="dxa"/>
            <w:vAlign w:val="center"/>
          </w:tcPr>
          <w:p>
            <w:pPr>
              <w:snapToGrid w:val="0"/>
              <w:spacing w:line="288" w:lineRule="auto"/>
              <w:ind w:left="-11" w:leftChars="-10" w:right="-61" w:rightChars="-29" w:hanging="10" w:hangingChars="5"/>
              <w:jc w:val="center"/>
              <w:rPr>
                <w:szCs w:val="21"/>
              </w:rPr>
            </w:pPr>
            <w:r>
              <w:rPr>
                <w:szCs w:val="21"/>
              </w:rPr>
              <w:t>关键工程的方案、方法与技术措施</w:t>
            </w:r>
          </w:p>
        </w:tc>
        <w:tc>
          <w:tcPr>
            <w:tcW w:w="709" w:type="dxa"/>
            <w:vAlign w:val="center"/>
          </w:tcPr>
          <w:p>
            <w:pPr>
              <w:snapToGrid w:val="0"/>
              <w:spacing w:line="288" w:lineRule="auto"/>
              <w:jc w:val="center"/>
              <w:rPr>
                <w:szCs w:val="21"/>
              </w:rPr>
            </w:pPr>
            <w:r>
              <w:rPr>
                <w:szCs w:val="21"/>
              </w:rPr>
              <w:t>3分</w:t>
            </w:r>
          </w:p>
        </w:tc>
        <w:tc>
          <w:tcPr>
            <w:tcW w:w="5014" w:type="dxa"/>
            <w:vAlign w:val="center"/>
          </w:tcPr>
          <w:p>
            <w:pPr>
              <w:widowControl/>
              <w:snapToGrid w:val="0"/>
              <w:spacing w:line="288" w:lineRule="auto"/>
              <w:rPr>
                <w:szCs w:val="21"/>
              </w:rPr>
            </w:pPr>
            <w:r>
              <w:rPr>
                <w:szCs w:val="21"/>
              </w:rPr>
              <w:t>关键工程的方案、方法内容基本完整，编制基本合理，技术措施基本可行，得1.8分；</w:t>
            </w:r>
          </w:p>
          <w:p>
            <w:pPr>
              <w:widowControl/>
              <w:snapToGrid w:val="0"/>
              <w:spacing w:line="288" w:lineRule="auto"/>
              <w:rPr>
                <w:szCs w:val="21"/>
              </w:rPr>
            </w:pPr>
            <w:r>
              <w:rPr>
                <w:szCs w:val="21"/>
              </w:rPr>
              <w:t>关键工程的方案、方法内容较完整，编制较科学合理，指导性较强，技术措施较合理可行，得1.8-2.4分；</w:t>
            </w:r>
          </w:p>
          <w:p>
            <w:pPr>
              <w:widowControl/>
              <w:snapToGrid w:val="0"/>
              <w:spacing w:line="288" w:lineRule="auto"/>
              <w:rPr>
                <w:szCs w:val="21"/>
              </w:rPr>
            </w:pPr>
            <w:r>
              <w:rPr>
                <w:szCs w:val="21"/>
              </w:rPr>
              <w:t>关键工程的方案、方法内容完整，编制科学合理，指导性强，技术措施合理可行，得2.4-3分。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709" w:type="dxa"/>
            <w:vMerge w:val="continue"/>
            <w:vAlign w:val="center"/>
          </w:tcPr>
          <w:p>
            <w:pPr>
              <w:autoSpaceDE w:val="0"/>
              <w:autoSpaceDN w:val="0"/>
              <w:snapToGrid w:val="0"/>
              <w:spacing w:line="288" w:lineRule="auto"/>
              <w:ind w:left="-90" w:leftChars="-43"/>
              <w:jc w:val="center"/>
              <w:rPr>
                <w:szCs w:val="21"/>
              </w:rPr>
            </w:pPr>
          </w:p>
        </w:tc>
        <w:tc>
          <w:tcPr>
            <w:tcW w:w="1081" w:type="dxa"/>
            <w:vAlign w:val="center"/>
          </w:tcPr>
          <w:p>
            <w:pPr>
              <w:autoSpaceDE w:val="0"/>
              <w:autoSpaceDN w:val="0"/>
              <w:snapToGrid w:val="0"/>
              <w:spacing w:line="288" w:lineRule="auto"/>
              <w:ind w:left="-90" w:leftChars="-43"/>
              <w:jc w:val="center"/>
              <w:rPr>
                <w:szCs w:val="21"/>
              </w:rPr>
            </w:pPr>
            <w:r>
              <w:rPr>
                <w:szCs w:val="21"/>
              </w:rPr>
              <w:t>工期保证体系及保证措施</w:t>
            </w:r>
          </w:p>
        </w:tc>
        <w:tc>
          <w:tcPr>
            <w:tcW w:w="709" w:type="dxa"/>
            <w:vAlign w:val="center"/>
          </w:tcPr>
          <w:p>
            <w:pPr>
              <w:snapToGrid w:val="0"/>
              <w:spacing w:line="288" w:lineRule="auto"/>
              <w:jc w:val="center"/>
              <w:rPr>
                <w:szCs w:val="21"/>
              </w:rPr>
            </w:pPr>
            <w:r>
              <w:rPr>
                <w:szCs w:val="21"/>
              </w:rPr>
              <w:t>3分</w:t>
            </w:r>
          </w:p>
        </w:tc>
        <w:tc>
          <w:tcPr>
            <w:tcW w:w="5014" w:type="dxa"/>
            <w:vAlign w:val="center"/>
          </w:tcPr>
          <w:p>
            <w:pPr>
              <w:widowControl/>
              <w:snapToGrid w:val="0"/>
              <w:spacing w:line="288" w:lineRule="auto"/>
              <w:rPr>
                <w:szCs w:val="21"/>
              </w:rPr>
            </w:pPr>
            <w:r>
              <w:rPr>
                <w:szCs w:val="21"/>
              </w:rPr>
              <w:t>体系及措施基本完善、合理，实施性一般，得1.8分；</w:t>
            </w:r>
          </w:p>
          <w:p>
            <w:pPr>
              <w:widowControl/>
              <w:snapToGrid w:val="0"/>
              <w:spacing w:line="288" w:lineRule="auto"/>
              <w:rPr>
                <w:szCs w:val="21"/>
              </w:rPr>
            </w:pPr>
            <w:r>
              <w:rPr>
                <w:szCs w:val="21"/>
              </w:rPr>
              <w:t>体系及措施较完善、合理，实施性较强，得1.82.4分；</w:t>
            </w:r>
          </w:p>
          <w:p>
            <w:pPr>
              <w:widowControl/>
              <w:snapToGrid w:val="0"/>
              <w:spacing w:line="288" w:lineRule="auto"/>
              <w:rPr>
                <w:szCs w:val="21"/>
              </w:rPr>
            </w:pPr>
            <w:r>
              <w:rPr>
                <w:szCs w:val="21"/>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709" w:type="dxa"/>
            <w:vMerge w:val="continue"/>
            <w:vAlign w:val="center"/>
          </w:tcPr>
          <w:p>
            <w:pPr>
              <w:autoSpaceDE w:val="0"/>
              <w:autoSpaceDN w:val="0"/>
              <w:snapToGrid w:val="0"/>
              <w:spacing w:line="288" w:lineRule="auto"/>
              <w:ind w:left="-90" w:leftChars="-43"/>
              <w:jc w:val="center"/>
              <w:rPr>
                <w:szCs w:val="21"/>
              </w:rPr>
            </w:pPr>
          </w:p>
        </w:tc>
        <w:tc>
          <w:tcPr>
            <w:tcW w:w="1081" w:type="dxa"/>
            <w:vAlign w:val="center"/>
          </w:tcPr>
          <w:p>
            <w:pPr>
              <w:autoSpaceDE w:val="0"/>
              <w:autoSpaceDN w:val="0"/>
              <w:snapToGrid w:val="0"/>
              <w:spacing w:line="288" w:lineRule="auto"/>
              <w:ind w:left="-90" w:leftChars="-43"/>
              <w:jc w:val="center"/>
              <w:rPr>
                <w:szCs w:val="21"/>
              </w:rPr>
            </w:pPr>
            <w:r>
              <w:rPr>
                <w:szCs w:val="21"/>
              </w:rPr>
              <w:t>工程质量管理体系及保证措施</w:t>
            </w:r>
          </w:p>
        </w:tc>
        <w:tc>
          <w:tcPr>
            <w:tcW w:w="709" w:type="dxa"/>
            <w:vAlign w:val="center"/>
          </w:tcPr>
          <w:p>
            <w:pPr>
              <w:snapToGrid w:val="0"/>
              <w:spacing w:line="288" w:lineRule="auto"/>
              <w:jc w:val="center"/>
              <w:rPr>
                <w:szCs w:val="21"/>
              </w:rPr>
            </w:pPr>
            <w:r>
              <w:rPr>
                <w:szCs w:val="21"/>
              </w:rPr>
              <w:t>3分</w:t>
            </w:r>
          </w:p>
        </w:tc>
        <w:tc>
          <w:tcPr>
            <w:tcW w:w="5014" w:type="dxa"/>
            <w:vAlign w:val="center"/>
          </w:tcPr>
          <w:p>
            <w:pPr>
              <w:widowControl/>
              <w:snapToGrid w:val="0"/>
              <w:spacing w:line="288" w:lineRule="auto"/>
              <w:rPr>
                <w:szCs w:val="21"/>
              </w:rPr>
            </w:pPr>
            <w:r>
              <w:rPr>
                <w:szCs w:val="21"/>
              </w:rPr>
              <w:t>体系及措施基本完善、合理，实施性一般，得1.8分；</w:t>
            </w:r>
          </w:p>
          <w:p>
            <w:pPr>
              <w:widowControl/>
              <w:snapToGrid w:val="0"/>
              <w:spacing w:line="288" w:lineRule="auto"/>
              <w:rPr>
                <w:szCs w:val="21"/>
              </w:rPr>
            </w:pPr>
            <w:r>
              <w:rPr>
                <w:szCs w:val="21"/>
              </w:rPr>
              <w:t>体系及措施较完善、合理，实施性较强，得1.82.4分；</w:t>
            </w:r>
          </w:p>
          <w:p>
            <w:pPr>
              <w:widowControl/>
              <w:snapToGrid w:val="0"/>
              <w:spacing w:line="288" w:lineRule="auto"/>
              <w:rPr>
                <w:szCs w:val="21"/>
              </w:rPr>
            </w:pPr>
            <w:r>
              <w:rPr>
                <w:szCs w:val="21"/>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709" w:type="dxa"/>
            <w:vMerge w:val="continue"/>
            <w:vAlign w:val="center"/>
          </w:tcPr>
          <w:p>
            <w:pPr>
              <w:autoSpaceDE w:val="0"/>
              <w:autoSpaceDN w:val="0"/>
              <w:snapToGrid w:val="0"/>
              <w:spacing w:line="288" w:lineRule="auto"/>
              <w:ind w:left="-90" w:leftChars="-43"/>
              <w:jc w:val="center"/>
              <w:rPr>
                <w:szCs w:val="21"/>
              </w:rPr>
            </w:pPr>
          </w:p>
        </w:tc>
        <w:tc>
          <w:tcPr>
            <w:tcW w:w="1081" w:type="dxa"/>
            <w:vAlign w:val="center"/>
          </w:tcPr>
          <w:p>
            <w:pPr>
              <w:autoSpaceDE w:val="0"/>
              <w:autoSpaceDN w:val="0"/>
              <w:snapToGrid w:val="0"/>
              <w:spacing w:line="288" w:lineRule="auto"/>
              <w:ind w:left="-90" w:leftChars="-43"/>
              <w:jc w:val="center"/>
              <w:rPr>
                <w:szCs w:val="21"/>
              </w:rPr>
            </w:pPr>
            <w:r>
              <w:rPr>
                <w:szCs w:val="21"/>
              </w:rPr>
              <w:t>安全生产管理体系及保证措施</w:t>
            </w:r>
          </w:p>
        </w:tc>
        <w:tc>
          <w:tcPr>
            <w:tcW w:w="709" w:type="dxa"/>
            <w:vAlign w:val="center"/>
          </w:tcPr>
          <w:p>
            <w:pPr>
              <w:snapToGrid w:val="0"/>
              <w:spacing w:line="288" w:lineRule="auto"/>
              <w:jc w:val="center"/>
              <w:rPr>
                <w:szCs w:val="21"/>
              </w:rPr>
            </w:pPr>
            <w:r>
              <w:rPr>
                <w:szCs w:val="21"/>
              </w:rPr>
              <w:t>3分</w:t>
            </w:r>
          </w:p>
        </w:tc>
        <w:tc>
          <w:tcPr>
            <w:tcW w:w="5014" w:type="dxa"/>
            <w:vAlign w:val="center"/>
          </w:tcPr>
          <w:p>
            <w:pPr>
              <w:widowControl/>
              <w:snapToGrid w:val="0"/>
              <w:spacing w:line="288" w:lineRule="auto"/>
              <w:rPr>
                <w:szCs w:val="21"/>
              </w:rPr>
            </w:pPr>
            <w:r>
              <w:rPr>
                <w:szCs w:val="21"/>
              </w:rPr>
              <w:t>体系及措施基本完善、合理，实施性一般，得1.8分；</w:t>
            </w:r>
          </w:p>
          <w:p>
            <w:pPr>
              <w:widowControl/>
              <w:snapToGrid w:val="0"/>
              <w:spacing w:line="288" w:lineRule="auto"/>
              <w:rPr>
                <w:szCs w:val="21"/>
              </w:rPr>
            </w:pPr>
            <w:r>
              <w:rPr>
                <w:szCs w:val="21"/>
              </w:rPr>
              <w:t>体系及措施较完善、合理，实施性较强，得1.82.4分；</w:t>
            </w:r>
          </w:p>
          <w:p>
            <w:pPr>
              <w:widowControl/>
              <w:snapToGrid w:val="0"/>
              <w:spacing w:line="288" w:lineRule="auto"/>
              <w:rPr>
                <w:szCs w:val="21"/>
              </w:rPr>
            </w:pPr>
            <w:r>
              <w:rPr>
                <w:szCs w:val="21"/>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snapToGrid w:val="0"/>
              <w:spacing w:line="288" w:lineRule="auto"/>
              <w:jc w:val="center"/>
              <w:rPr>
                <w:kern w:val="0"/>
                <w:szCs w:val="21"/>
                <w:lang w:val="zh-CN"/>
              </w:rPr>
            </w:pPr>
            <w:r>
              <w:rPr>
                <w:szCs w:val="21"/>
              </w:rPr>
              <w:t>2.2.4（4）</w:t>
            </w:r>
          </w:p>
        </w:tc>
        <w:tc>
          <w:tcPr>
            <w:tcW w:w="1186" w:type="dxa"/>
            <w:vAlign w:val="center"/>
          </w:tcPr>
          <w:p>
            <w:pPr>
              <w:snapToGrid w:val="0"/>
              <w:spacing w:line="288" w:lineRule="auto"/>
              <w:jc w:val="center"/>
              <w:rPr>
                <w:szCs w:val="21"/>
              </w:rPr>
            </w:pPr>
            <w:r>
              <w:rPr>
                <w:szCs w:val="21"/>
              </w:rPr>
              <w:t>评标价</w:t>
            </w:r>
          </w:p>
          <w:p>
            <w:pPr>
              <w:pStyle w:val="2"/>
              <w:jc w:val="center"/>
              <w:rPr>
                <w:szCs w:val="21"/>
              </w:rPr>
            </w:pPr>
            <w:r>
              <w:rPr>
                <w:szCs w:val="21"/>
              </w:rPr>
              <w:t>（50分）</w:t>
            </w:r>
          </w:p>
        </w:tc>
        <w:tc>
          <w:tcPr>
            <w:tcW w:w="7513" w:type="dxa"/>
            <w:gridSpan w:val="4"/>
            <w:vAlign w:val="center"/>
          </w:tcPr>
          <w:p>
            <w:pPr>
              <w:tabs>
                <w:tab w:val="left" w:pos="3060"/>
              </w:tabs>
              <w:spacing w:line="280" w:lineRule="exact"/>
              <w:rPr>
                <w:szCs w:val="21"/>
              </w:rPr>
            </w:pPr>
            <w:r>
              <w:rPr>
                <w:szCs w:val="21"/>
              </w:rPr>
              <w:t>评标价得分计算公式：</w:t>
            </w:r>
          </w:p>
          <w:p>
            <w:pPr>
              <w:tabs>
                <w:tab w:val="left" w:pos="3060"/>
              </w:tabs>
              <w:spacing w:line="280" w:lineRule="exact"/>
              <w:rPr>
                <w:szCs w:val="21"/>
              </w:rPr>
            </w:pPr>
            <w:r>
              <w:rPr>
                <w:szCs w:val="21"/>
              </w:rPr>
              <w:t>（1）如果投标人的评标价＞评标基准价，则评标价得分＝50－偏差率×100×E1；</w:t>
            </w:r>
          </w:p>
          <w:p>
            <w:pPr>
              <w:tabs>
                <w:tab w:val="left" w:pos="3060"/>
              </w:tabs>
              <w:spacing w:line="280" w:lineRule="exact"/>
              <w:rPr>
                <w:szCs w:val="21"/>
              </w:rPr>
            </w:pPr>
            <w:r>
              <w:rPr>
                <w:szCs w:val="21"/>
              </w:rPr>
              <w:t>（2）如果投标人的评标价≤评标基准价，则评标价得分＝50＋偏差率×100×E2；</w:t>
            </w:r>
          </w:p>
          <w:p>
            <w:pPr>
              <w:tabs>
                <w:tab w:val="left" w:pos="3060"/>
              </w:tabs>
              <w:spacing w:line="280" w:lineRule="exact"/>
              <w:rPr>
                <w:szCs w:val="21"/>
              </w:rPr>
            </w:pPr>
            <w:r>
              <w:rPr>
                <w:szCs w:val="21"/>
              </w:rPr>
              <w:t>其中，E1是评标价每高于评标基准价一个百分点的扣分值，E1＝0.6；E2是评标价每低于评标基准价一个百分点的扣分值，E2＝0.3。</w:t>
            </w:r>
          </w:p>
          <w:p>
            <w:pPr>
              <w:snapToGrid w:val="0"/>
              <w:spacing w:line="288" w:lineRule="auto"/>
              <w:rPr>
                <w:szCs w:val="21"/>
              </w:rPr>
            </w:pPr>
            <w:r>
              <w:rPr>
                <w:szCs w:val="21"/>
              </w:rPr>
              <w:t>评标价最低得分为0分，</w:t>
            </w:r>
            <w:r>
              <w:rPr>
                <w:bCs/>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snapToGrid w:val="0"/>
              <w:spacing w:line="288" w:lineRule="auto"/>
              <w:jc w:val="center"/>
              <w:rPr>
                <w:szCs w:val="21"/>
              </w:rPr>
            </w:pPr>
            <w:r>
              <w:rPr>
                <w:szCs w:val="21"/>
              </w:rPr>
              <w:t>2.2.4（5）</w:t>
            </w:r>
          </w:p>
        </w:tc>
        <w:tc>
          <w:tcPr>
            <w:tcW w:w="1186" w:type="dxa"/>
            <w:vAlign w:val="center"/>
          </w:tcPr>
          <w:p>
            <w:pPr>
              <w:snapToGrid w:val="0"/>
              <w:spacing w:line="288" w:lineRule="auto"/>
              <w:jc w:val="center"/>
              <w:rPr>
                <w:szCs w:val="21"/>
              </w:rPr>
            </w:pPr>
            <w:r>
              <w:rPr>
                <w:szCs w:val="21"/>
              </w:rPr>
              <w:t>其他评分因素</w:t>
            </w:r>
          </w:p>
        </w:tc>
        <w:tc>
          <w:tcPr>
            <w:tcW w:w="1790" w:type="dxa"/>
            <w:gridSpan w:val="2"/>
            <w:vAlign w:val="center"/>
          </w:tcPr>
          <w:p>
            <w:pPr>
              <w:tabs>
                <w:tab w:val="left" w:pos="3060"/>
              </w:tabs>
              <w:snapToGrid w:val="0"/>
              <w:spacing w:line="288" w:lineRule="auto"/>
              <w:jc w:val="center"/>
              <w:rPr>
                <w:szCs w:val="21"/>
              </w:rPr>
            </w:pPr>
            <w:r>
              <w:rPr>
                <w:szCs w:val="21"/>
              </w:rPr>
              <w:t>/</w:t>
            </w:r>
          </w:p>
        </w:tc>
        <w:tc>
          <w:tcPr>
            <w:tcW w:w="709" w:type="dxa"/>
            <w:vAlign w:val="center"/>
          </w:tcPr>
          <w:p>
            <w:pPr>
              <w:tabs>
                <w:tab w:val="left" w:pos="3060"/>
              </w:tabs>
              <w:snapToGrid w:val="0"/>
              <w:spacing w:line="288" w:lineRule="auto"/>
              <w:rPr>
                <w:szCs w:val="21"/>
              </w:rPr>
            </w:pPr>
            <w:r>
              <w:rPr>
                <w:szCs w:val="21"/>
                <w:u w:val="single"/>
              </w:rPr>
              <w:t xml:space="preserve"> 0 </w:t>
            </w:r>
            <w:r>
              <w:rPr>
                <w:szCs w:val="21"/>
              </w:rPr>
              <w:t>分</w:t>
            </w:r>
          </w:p>
        </w:tc>
        <w:tc>
          <w:tcPr>
            <w:tcW w:w="5014" w:type="dxa"/>
            <w:vAlign w:val="center"/>
          </w:tcPr>
          <w:p>
            <w:pPr>
              <w:tabs>
                <w:tab w:val="left" w:pos="3060"/>
              </w:tabs>
              <w:snapToGrid w:val="0"/>
              <w:spacing w:line="288" w:lineRule="auto"/>
              <w:rPr>
                <w:szCs w:val="21"/>
              </w:rPr>
            </w:pPr>
            <w:r>
              <w:rPr>
                <w:szCs w:val="21"/>
              </w:rPr>
              <w:t>/</w:t>
            </w:r>
          </w:p>
        </w:tc>
      </w:tr>
    </w:tbl>
    <w:p>
      <w:pPr>
        <w:pStyle w:val="5"/>
        <w:spacing w:before="120" w:beforeLines="50" w:line="312" w:lineRule="auto"/>
        <w:rPr>
          <w:rFonts w:ascii="Times New Roman" w:hAnsi="Times New Roman" w:cs="Times New Roman"/>
        </w:rPr>
      </w:pPr>
      <w:r>
        <w:rPr>
          <w:rFonts w:ascii="Times New Roman" w:hAnsi="Times New Roman" w:cs="Times New Roman"/>
        </w:rPr>
        <w:t>注：</w:t>
      </w:r>
      <w:bookmarkEnd w:id="15"/>
      <w:bookmarkEnd w:id="16"/>
      <w:r>
        <w:rPr>
          <w:rFonts w:hint="eastAsia" w:ascii="Times New Roman" w:hAnsi="Times New Roman" w:cs="Times New Roman"/>
        </w:rPr>
        <w:t>（1）第2.2.4（1）、（3）项评委打分保留1位小数，汇总得分保留小数点后两位。</w:t>
      </w:r>
    </w:p>
    <w:p>
      <w:pPr>
        <w:pStyle w:val="5"/>
        <w:spacing w:before="120" w:beforeLines="50" w:line="312" w:lineRule="auto"/>
        <w:ind w:firstLine="420" w:firstLineChars="200"/>
        <w:rPr>
          <w:rFonts w:ascii="Times New Roman" w:hAnsi="Times New Roman" w:cs="Times New Roman"/>
        </w:rPr>
      </w:pPr>
      <w:r>
        <w:rPr>
          <w:rFonts w:hint="eastAsia" w:ascii="Times New Roman" w:hAnsi="Times New Roman" w:cs="Times New Roman"/>
        </w:rPr>
        <w:t>（2）第2.2.4（1）、（3）项评审因素细分项缺项则该项得0分。</w:t>
      </w:r>
    </w:p>
    <w:p>
      <w:pPr>
        <w:pStyle w:val="5"/>
        <w:spacing w:before="120" w:beforeLines="50" w:line="312" w:lineRule="auto"/>
        <w:ind w:firstLine="420" w:firstLineChars="200"/>
        <w:rPr>
          <w:rFonts w:hint="eastAsia" w:ascii="Times New Roman" w:hAnsi="Times New Roman" w:cs="Times New Roman"/>
        </w:rPr>
      </w:pPr>
      <w:r>
        <w:rPr>
          <w:rFonts w:hint="eastAsia" w:ascii="Times New Roman" w:hAnsi="Times New Roman" w:cs="Times New Roman"/>
        </w:rPr>
        <w:t>（3）各评分因素得分以评标委员会各成员的打分平均值确定，保留2位小数。评标委</w:t>
      </w:r>
    </w:p>
    <w:p>
      <w:pPr>
        <w:pStyle w:val="5"/>
        <w:spacing w:before="120" w:beforeLines="50" w:line="312" w:lineRule="auto"/>
        <w:ind w:firstLine="1050" w:firstLineChars="500"/>
        <w:rPr>
          <w:rFonts w:ascii="Times New Roman" w:hAnsi="Times New Roman" w:cs="Times New Roman"/>
        </w:rPr>
      </w:pPr>
      <w:bookmarkStart w:id="17" w:name="_GoBack"/>
      <w:bookmarkEnd w:id="17"/>
      <w:r>
        <w:rPr>
          <w:rFonts w:hint="eastAsia" w:ascii="Times New Roman" w:hAnsi="Times New Roman" w:cs="Times New Roman"/>
        </w:rPr>
        <w:t>员会成员总数为7人及以上时，该平均值以去掉一个最高分和一个最低分后计算。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25F65"/>
    <w:multiLevelType w:val="multilevel"/>
    <w:tmpl w:val="37C25F65"/>
    <w:lvl w:ilvl="0" w:tentative="0">
      <w:start w:val="3"/>
      <w:numFmt w:val="decimal"/>
      <w:suff w:val="nothing"/>
      <w:lvlText w:val="（%1）"/>
      <w:lvlJc w:val="left"/>
      <w:pPr>
        <w:ind w:left="0" w:firstLine="0"/>
      </w:pPr>
      <w:rPr>
        <w:rFonts w:hint="default"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ED52625"/>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rPr>
      <w:rFonts w:ascii="宋体" w:hAnsi="宋体"/>
      <w:sz w:val="28"/>
    </w:rPr>
  </w:style>
  <w:style w:type="paragraph" w:styleId="5">
    <w:name w:val="Plain Text"/>
    <w:basedOn w:val="1"/>
    <w:qFormat/>
    <w:uiPriority w:val="0"/>
    <w:rPr>
      <w:rFonts w:ascii="宋体" w:hAnsi="Courier New" w:cs="Courier New"/>
      <w:szCs w:val="21"/>
    </w:rPr>
  </w:style>
  <w:style w:type="paragraph" w:styleId="8">
    <w:name w:val="List Paragraph"/>
    <w:basedOn w:val="1"/>
    <w:qFormat/>
    <w:uiPriority w:val="34"/>
    <w:pPr>
      <w:widowControl/>
      <w:ind w:firstLine="420" w:firstLineChars="200"/>
      <w:jc w:val="left"/>
    </w:pPr>
    <w:rPr>
      <w:rFonts w:ascii="Calibri" w:hAnsi="Calibri"/>
      <w:kern w:val="0"/>
      <w:sz w:val="20"/>
      <w:szCs w:val="22"/>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2023-08-09T03:07:36Z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78724F35F4C14ABF86A21046069351B7</vt:lpwstr>
  </property>
</Properties>
</file>