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276" w:lineRule="auto"/>
        <w:rPr>
          <w:b/>
          <w:sz w:val="24"/>
        </w:rPr>
      </w:pPr>
      <w:bookmarkStart w:id="0" w:name="_Toc514238201"/>
      <w:bookmarkStart w:id="1" w:name="_Hlk517255404"/>
      <w:bookmarkStart w:id="32" w:name="_GoBack"/>
      <w:bookmarkEnd w:id="32"/>
      <w:r>
        <w:rPr>
          <w:b/>
          <w:sz w:val="24"/>
        </w:rPr>
        <w:t>附件1：资格审查条件</w:t>
      </w:r>
      <w:bookmarkEnd w:id="0"/>
    </w:p>
    <w:p>
      <w:pPr>
        <w:adjustRightInd w:val="0"/>
        <w:spacing w:line="400" w:lineRule="exact"/>
        <w:jc w:val="center"/>
        <w:rPr>
          <w:b/>
          <w:sz w:val="24"/>
          <w:szCs w:val="24"/>
        </w:rPr>
      </w:pPr>
      <w:r>
        <w:rPr>
          <w:b/>
          <w:sz w:val="24"/>
          <w:szCs w:val="24"/>
        </w:rPr>
        <w:t xml:space="preserve">附录1 </w:t>
      </w:r>
      <w:bookmarkStart w:id="2" w:name="_Hlk515531673"/>
      <w:r>
        <w:rPr>
          <w:b/>
          <w:sz w:val="24"/>
        </w:rPr>
        <w:t>资格</w:t>
      </w:r>
      <w:r>
        <w:rPr>
          <w:b/>
          <w:sz w:val="24"/>
          <w:szCs w:val="24"/>
        </w:rPr>
        <w:t>审查条件（</w:t>
      </w:r>
      <w:bookmarkStart w:id="3" w:name="_Hlk93741047"/>
      <w:r>
        <w:rPr>
          <w:b/>
          <w:sz w:val="24"/>
          <w:szCs w:val="24"/>
        </w:rPr>
        <w:t>资质最低要求</w:t>
      </w:r>
      <w:bookmarkEnd w:id="3"/>
      <w:r>
        <w:rPr>
          <w:b/>
          <w:sz w:val="24"/>
          <w:szCs w:val="24"/>
        </w:rPr>
        <w:t>）</w:t>
      </w:r>
      <w:bookmarkEnd w:id="2"/>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pStyle w:val="6"/>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9286" w:type="dxa"/>
            <w:vAlign w:val="center"/>
          </w:tcPr>
          <w:p>
            <w:pPr>
              <w:ind w:firstLine="420" w:firstLineChars="200"/>
              <w:rPr>
                <w:sz w:val="21"/>
                <w:szCs w:val="21"/>
              </w:rPr>
            </w:pPr>
            <w:bookmarkStart w:id="4" w:name="_Hlk93741073"/>
            <w:r>
              <w:rPr>
                <w:sz w:val="21"/>
                <w:szCs w:val="21"/>
              </w:rPr>
              <w:t>1、具有独立企业法人资格，持有有效的企业营业执照；</w:t>
            </w:r>
          </w:p>
          <w:p>
            <w:pPr>
              <w:ind w:firstLine="420" w:firstLineChars="200"/>
              <w:rPr>
                <w:sz w:val="21"/>
                <w:szCs w:val="21"/>
              </w:rPr>
            </w:pPr>
            <w:r>
              <w:rPr>
                <w:sz w:val="21"/>
                <w:szCs w:val="21"/>
              </w:rPr>
              <w:t>2、具有住房和城乡建设部核发的工程设计综合甲级资质或工程设计建筑行业（建筑工程）甲级资质。</w:t>
            </w:r>
            <w:bookmarkEnd w:id="4"/>
          </w:p>
        </w:tc>
      </w:tr>
    </w:tbl>
    <w:p>
      <w:pPr>
        <w:adjustRightInd w:val="0"/>
        <w:spacing w:line="400" w:lineRule="exact"/>
        <w:jc w:val="center"/>
        <w:rPr>
          <w:b/>
          <w:sz w:val="24"/>
          <w:szCs w:val="24"/>
        </w:rPr>
      </w:pPr>
    </w:p>
    <w:p>
      <w:pPr>
        <w:adjustRightInd w:val="0"/>
        <w:spacing w:line="400" w:lineRule="exact"/>
        <w:jc w:val="center"/>
        <w:rPr>
          <w:b/>
          <w:sz w:val="24"/>
          <w:szCs w:val="24"/>
        </w:rPr>
      </w:pPr>
      <w:r>
        <w:rPr>
          <w:b/>
          <w:sz w:val="24"/>
          <w:szCs w:val="24"/>
        </w:rPr>
        <w:t>附录2 资格审查条件（</w:t>
      </w:r>
      <w:bookmarkStart w:id="5" w:name="_Hlk93740530"/>
      <w:r>
        <w:rPr>
          <w:b/>
          <w:sz w:val="24"/>
          <w:szCs w:val="24"/>
        </w:rPr>
        <w:t>业绩最低要求</w:t>
      </w:r>
      <w:bookmarkEnd w:id="5"/>
      <w:r>
        <w:rPr>
          <w:b/>
          <w:sz w:val="24"/>
          <w:szCs w:val="24"/>
        </w:rPr>
        <w:t>）</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pStyle w:val="6"/>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9286" w:type="dxa"/>
            <w:vAlign w:val="center"/>
          </w:tcPr>
          <w:p>
            <w:pPr>
              <w:ind w:firstLine="315" w:firstLineChars="150"/>
              <w:jc w:val="left"/>
              <w:rPr>
                <w:sz w:val="21"/>
                <w:szCs w:val="21"/>
              </w:rPr>
            </w:pPr>
            <w:bookmarkStart w:id="6" w:name="_Hlk93740540"/>
            <w:r>
              <w:rPr>
                <w:sz w:val="21"/>
                <w:szCs w:val="21"/>
              </w:rPr>
              <w:t>近五年（2018年6月1日至今，以合同签订时间为准），至少具备一项设计总面积不小于30000㎡的公共建筑设计业绩。</w:t>
            </w:r>
            <w:bookmarkEnd w:id="6"/>
          </w:p>
        </w:tc>
      </w:tr>
    </w:tbl>
    <w:p>
      <w:pPr>
        <w:adjustRightInd w:val="0"/>
        <w:spacing w:line="400" w:lineRule="exact"/>
        <w:jc w:val="center"/>
        <w:rPr>
          <w:b/>
          <w:sz w:val="24"/>
          <w:szCs w:val="24"/>
        </w:rPr>
      </w:pPr>
    </w:p>
    <w:p>
      <w:pPr>
        <w:adjustRightInd w:val="0"/>
        <w:spacing w:line="400" w:lineRule="exact"/>
        <w:jc w:val="center"/>
        <w:rPr>
          <w:b/>
          <w:sz w:val="24"/>
          <w:szCs w:val="24"/>
        </w:rPr>
      </w:pPr>
      <w:r>
        <w:rPr>
          <w:b/>
          <w:sz w:val="24"/>
          <w:szCs w:val="24"/>
        </w:rPr>
        <w:t>附录3 资格审查条件（</w:t>
      </w:r>
      <w:bookmarkStart w:id="7" w:name="_Hlk93740552"/>
      <w:r>
        <w:rPr>
          <w:b/>
          <w:sz w:val="24"/>
          <w:szCs w:val="24"/>
        </w:rPr>
        <w:t>信誉最低要求</w:t>
      </w:r>
      <w:bookmarkEnd w:id="7"/>
      <w:r>
        <w:rPr>
          <w:b/>
          <w:sz w:val="24"/>
          <w:szCs w:val="24"/>
        </w:rPr>
        <w:t>）</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pStyle w:val="6"/>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vAlign w:val="center"/>
          </w:tcPr>
          <w:p>
            <w:pPr>
              <w:ind w:firstLine="420" w:firstLineChars="200"/>
              <w:rPr>
                <w:sz w:val="21"/>
                <w:szCs w:val="21"/>
              </w:rPr>
            </w:pPr>
            <w:r>
              <w:rPr>
                <w:sz w:val="21"/>
                <w:szCs w:val="21"/>
              </w:rPr>
              <w:t>投标人在“信用中国”网站(http://www.creditchina.gov.cn/)中被列入失信被执行人名单、异常经营名录（或经营异常名录信息查询）、税收违法黑名单（或重大税收违法失信主体）、政府采购严重违法失信行为记录名单（均不含分公司）及国家企业信用信息公示系统（http：//www.gsxt.gov.cn/）中被列入严重违法失信企业名单（不含分公司）的投标人，不得参加投标。</w:t>
            </w:r>
          </w:p>
        </w:tc>
      </w:tr>
    </w:tbl>
    <w:p>
      <w:pPr>
        <w:adjustRightInd w:val="0"/>
        <w:spacing w:line="400" w:lineRule="exact"/>
        <w:jc w:val="center"/>
        <w:rPr>
          <w:b/>
          <w:sz w:val="24"/>
          <w:szCs w:val="24"/>
        </w:rPr>
      </w:pPr>
    </w:p>
    <w:p>
      <w:pPr>
        <w:adjustRightInd w:val="0"/>
        <w:spacing w:line="400" w:lineRule="exact"/>
        <w:jc w:val="center"/>
        <w:rPr>
          <w:b/>
          <w:sz w:val="24"/>
          <w:szCs w:val="24"/>
        </w:rPr>
      </w:pPr>
      <w:r>
        <w:rPr>
          <w:b/>
          <w:sz w:val="24"/>
          <w:szCs w:val="24"/>
        </w:rPr>
        <w:t xml:space="preserve">附录4 </w:t>
      </w:r>
      <w:bookmarkStart w:id="8" w:name="_Hlk515531639"/>
      <w:r>
        <w:rPr>
          <w:b/>
          <w:sz w:val="24"/>
          <w:szCs w:val="24"/>
        </w:rPr>
        <w:t>资格审查条件（</w:t>
      </w:r>
      <w:bookmarkStart w:id="9" w:name="_Hlk93740569"/>
      <w:r>
        <w:rPr>
          <w:b/>
          <w:sz w:val="24"/>
          <w:szCs w:val="24"/>
        </w:rPr>
        <w:t>项目负责人最低要求</w:t>
      </w:r>
      <w:bookmarkEnd w:id="9"/>
      <w:r>
        <w:rPr>
          <w:b/>
          <w:sz w:val="24"/>
          <w:szCs w:val="24"/>
        </w:rPr>
        <w:t>）</w:t>
      </w:r>
      <w:bookmarkEnd w:id="8"/>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vAlign w:val="center"/>
          </w:tcPr>
          <w:p>
            <w:pPr>
              <w:pStyle w:val="6"/>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人   员</w:t>
            </w:r>
          </w:p>
        </w:tc>
        <w:tc>
          <w:tcPr>
            <w:tcW w:w="999" w:type="dxa"/>
            <w:vAlign w:val="center"/>
          </w:tcPr>
          <w:p>
            <w:pPr>
              <w:pStyle w:val="6"/>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数量</w:t>
            </w:r>
          </w:p>
        </w:tc>
        <w:tc>
          <w:tcPr>
            <w:tcW w:w="6619" w:type="dxa"/>
            <w:vAlign w:val="center"/>
          </w:tcPr>
          <w:p>
            <w:pPr>
              <w:pStyle w:val="6"/>
              <w:spacing w:before="0" w:beforeAutospacing="0" w:after="0" w:afterAutospacing="0" w:line="360" w:lineRule="auto"/>
              <w:ind w:firstLine="0"/>
              <w:contextualSpacing/>
              <w:jc w:val="center"/>
              <w:rPr>
                <w:rFonts w:ascii="Times New Roman" w:hAnsi="Times New Roman"/>
                <w:sz w:val="21"/>
                <w:szCs w:val="21"/>
              </w:rPr>
            </w:pPr>
            <w:r>
              <w:rPr>
                <w:rFonts w:ascii="Times New Roman" w:hAnsi="Times New Roman"/>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668" w:type="dxa"/>
            <w:vAlign w:val="center"/>
          </w:tcPr>
          <w:p>
            <w:pPr>
              <w:jc w:val="center"/>
              <w:rPr>
                <w:sz w:val="21"/>
                <w:szCs w:val="21"/>
              </w:rPr>
            </w:pPr>
            <w:bookmarkStart w:id="10" w:name="_Hlk89162324"/>
            <w:r>
              <w:rPr>
                <w:sz w:val="21"/>
                <w:szCs w:val="21"/>
              </w:rPr>
              <w:t>项目负责人</w:t>
            </w:r>
            <w:bookmarkEnd w:id="10"/>
          </w:p>
        </w:tc>
        <w:tc>
          <w:tcPr>
            <w:tcW w:w="999" w:type="dxa"/>
            <w:vAlign w:val="center"/>
          </w:tcPr>
          <w:p>
            <w:pPr>
              <w:jc w:val="center"/>
              <w:rPr>
                <w:sz w:val="21"/>
                <w:szCs w:val="21"/>
              </w:rPr>
            </w:pPr>
            <w:r>
              <w:rPr>
                <w:sz w:val="21"/>
                <w:szCs w:val="21"/>
              </w:rPr>
              <w:t>1</w:t>
            </w:r>
          </w:p>
        </w:tc>
        <w:tc>
          <w:tcPr>
            <w:tcW w:w="6619" w:type="dxa"/>
            <w:vAlign w:val="center"/>
          </w:tcPr>
          <w:p>
            <w:pPr>
              <w:rPr>
                <w:sz w:val="21"/>
                <w:szCs w:val="21"/>
              </w:rPr>
            </w:pPr>
            <w:bookmarkStart w:id="11" w:name="_Hlk93740577"/>
            <w:r>
              <w:rPr>
                <w:sz w:val="21"/>
                <w:szCs w:val="21"/>
              </w:rPr>
              <w:t>高级工程师，近5年内（2018年6月1日至今，以合同签订时间为准）作为项目负责人或</w:t>
            </w:r>
            <w:r>
              <w:rPr>
                <w:rFonts w:hint="eastAsia"/>
                <w:sz w:val="21"/>
                <w:szCs w:val="21"/>
              </w:rPr>
              <w:t>设计</w:t>
            </w:r>
            <w:r>
              <w:rPr>
                <w:sz w:val="21"/>
                <w:szCs w:val="21"/>
              </w:rPr>
              <w:t>负责人负责过一项</w:t>
            </w:r>
            <w:bookmarkEnd w:id="11"/>
            <w:r>
              <w:rPr>
                <w:sz w:val="21"/>
                <w:szCs w:val="21"/>
              </w:rPr>
              <w:t>设计总面积不小于30000㎡的公共建筑设计业绩。</w:t>
            </w:r>
          </w:p>
        </w:tc>
      </w:tr>
    </w:tbl>
    <w:p>
      <w:pPr>
        <w:ind w:firstLine="420" w:firstLineChars="200"/>
        <w:rPr>
          <w:sz w:val="21"/>
          <w:szCs w:val="21"/>
        </w:rPr>
      </w:pPr>
    </w:p>
    <w:p>
      <w:pPr>
        <w:spacing w:line="360" w:lineRule="auto"/>
        <w:ind w:firstLine="560" w:firstLineChars="200"/>
        <w:rPr>
          <w:b/>
          <w:sz w:val="24"/>
        </w:rPr>
      </w:pPr>
      <w:r>
        <w:br w:type="page"/>
      </w:r>
    </w:p>
    <w:p>
      <w:pPr>
        <w:adjustRightInd w:val="0"/>
        <w:spacing w:line="400" w:lineRule="exact"/>
        <w:jc w:val="left"/>
        <w:rPr>
          <w:b/>
          <w:sz w:val="24"/>
        </w:rPr>
      </w:pPr>
      <w:r>
        <w:rPr>
          <w:b/>
          <w:sz w:val="24"/>
        </w:rPr>
        <w:t>附件2：评标办法</w:t>
      </w:r>
    </w:p>
    <w:p>
      <w:pPr>
        <w:pStyle w:val="20"/>
        <w:spacing w:line="276" w:lineRule="auto"/>
        <w:rPr>
          <w:rFonts w:ascii="Times New Roman" w:hAnsi="Times New Roman" w:eastAsia="宋体"/>
          <w:sz w:val="30"/>
          <w:szCs w:val="30"/>
        </w:rPr>
      </w:pPr>
      <w:bookmarkStart w:id="12" w:name="_Hlk93740604"/>
      <w:bookmarkStart w:id="13" w:name="_Toc509659998"/>
      <w:bookmarkStart w:id="14" w:name="_Toc509660966"/>
      <w:bookmarkStart w:id="15" w:name="_Toc450319202"/>
      <w:bookmarkStart w:id="16" w:name="_Toc514238202"/>
      <w:bookmarkStart w:id="17" w:name="_Toc459307890"/>
      <w:bookmarkStart w:id="18" w:name="_Toc502992691"/>
      <w:bookmarkStart w:id="19" w:name="_Toc445222503"/>
      <w:bookmarkStart w:id="20" w:name="_Toc444271617"/>
      <w:bookmarkStart w:id="21" w:name="_Toc444088432"/>
      <w:bookmarkStart w:id="22" w:name="_Toc445382083"/>
      <w:r>
        <w:rPr>
          <w:rFonts w:ascii="Times New Roman" w:hAnsi="Times New Roman" w:eastAsia="宋体"/>
          <w:sz w:val="30"/>
          <w:szCs w:val="30"/>
        </w:rPr>
        <w:t>评标办法</w:t>
      </w:r>
      <w:bookmarkEnd w:id="12"/>
      <w:r>
        <w:rPr>
          <w:rFonts w:ascii="Times New Roman" w:hAnsi="Times New Roman" w:eastAsia="宋体"/>
          <w:sz w:val="30"/>
          <w:szCs w:val="30"/>
        </w:rPr>
        <w:t>（综合评估法）</w:t>
      </w:r>
      <w:bookmarkEnd w:id="13"/>
      <w:bookmarkEnd w:id="14"/>
      <w:bookmarkEnd w:id="15"/>
      <w:bookmarkEnd w:id="16"/>
      <w:bookmarkEnd w:id="17"/>
      <w:bookmarkEnd w:id="18"/>
    </w:p>
    <w:p>
      <w:pPr>
        <w:pStyle w:val="20"/>
        <w:spacing w:line="276" w:lineRule="auto"/>
        <w:jc w:val="both"/>
        <w:rPr>
          <w:rFonts w:ascii="Times New Roman" w:hAnsi="Times New Roman" w:eastAsia="宋体"/>
          <w:sz w:val="24"/>
          <w:szCs w:val="30"/>
        </w:rPr>
      </w:pPr>
      <w:bookmarkStart w:id="23" w:name="_Toc514238203"/>
      <w:r>
        <w:rPr>
          <w:rFonts w:ascii="Times New Roman" w:hAnsi="Times New Roman" w:eastAsia="宋体"/>
          <w:sz w:val="24"/>
          <w:szCs w:val="30"/>
        </w:rPr>
        <w:t>评标办法前附表</w:t>
      </w:r>
      <w:bookmarkEnd w:id="19"/>
      <w:bookmarkEnd w:id="20"/>
      <w:bookmarkEnd w:id="21"/>
      <w:bookmarkEnd w:id="22"/>
      <w:bookmarkEnd w:id="23"/>
      <w:bookmarkStart w:id="24" w:name="_Toc472700283"/>
      <w:bookmarkStart w:id="25" w:name="_Toc476561971"/>
      <w:bookmarkStart w:id="26" w:name="_Toc456619522"/>
      <w:bookmarkStart w:id="27" w:name="_Toc459307892"/>
      <w:bookmarkStart w:id="28" w:name="_Toc478141167"/>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vAlign w:val="center"/>
          </w:tcPr>
          <w:p>
            <w:pPr>
              <w:jc w:val="center"/>
              <w:rPr>
                <w:sz w:val="21"/>
                <w:szCs w:val="21"/>
              </w:rPr>
            </w:pPr>
            <w:r>
              <w:rPr>
                <w:sz w:val="21"/>
                <w:szCs w:val="21"/>
              </w:rPr>
              <w:t>条款号</w:t>
            </w:r>
          </w:p>
        </w:tc>
        <w:tc>
          <w:tcPr>
            <w:tcW w:w="1052" w:type="dxa"/>
            <w:vAlign w:val="center"/>
          </w:tcPr>
          <w:p>
            <w:pPr>
              <w:jc w:val="center"/>
              <w:rPr>
                <w:sz w:val="21"/>
                <w:szCs w:val="21"/>
              </w:rPr>
            </w:pPr>
            <w:r>
              <w:rPr>
                <w:sz w:val="21"/>
                <w:szCs w:val="21"/>
              </w:rPr>
              <w:t>条款名称</w:t>
            </w:r>
          </w:p>
        </w:tc>
        <w:tc>
          <w:tcPr>
            <w:tcW w:w="7250" w:type="dxa"/>
            <w:vAlign w:val="center"/>
          </w:tcPr>
          <w:p>
            <w:pPr>
              <w:jc w:val="center"/>
              <w:rPr>
                <w:sz w:val="21"/>
                <w:szCs w:val="21"/>
              </w:rPr>
            </w:pPr>
            <w:r>
              <w:rPr>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vAlign w:val="center"/>
          </w:tcPr>
          <w:p>
            <w:pPr>
              <w:jc w:val="center"/>
              <w:rPr>
                <w:sz w:val="21"/>
                <w:szCs w:val="21"/>
              </w:rPr>
            </w:pPr>
            <w:r>
              <w:rPr>
                <w:sz w:val="21"/>
                <w:szCs w:val="21"/>
              </w:rPr>
              <w:t>1</w:t>
            </w:r>
          </w:p>
        </w:tc>
        <w:tc>
          <w:tcPr>
            <w:tcW w:w="1052" w:type="dxa"/>
            <w:vAlign w:val="center"/>
          </w:tcPr>
          <w:p>
            <w:pPr>
              <w:jc w:val="center"/>
              <w:rPr>
                <w:sz w:val="21"/>
                <w:szCs w:val="21"/>
              </w:rPr>
            </w:pPr>
            <w:r>
              <w:rPr>
                <w:sz w:val="21"/>
                <w:szCs w:val="21"/>
              </w:rPr>
              <w:t>评标办法</w:t>
            </w:r>
          </w:p>
        </w:tc>
        <w:tc>
          <w:tcPr>
            <w:tcW w:w="7250" w:type="dxa"/>
            <w:vAlign w:val="center"/>
          </w:tcPr>
          <w:p>
            <w:pPr>
              <w:spacing w:line="288" w:lineRule="auto"/>
              <w:ind w:firstLine="404" w:firstLineChars="200"/>
              <w:jc w:val="left"/>
              <w:rPr>
                <w:spacing w:val="-4"/>
                <w:sz w:val="21"/>
                <w:szCs w:val="21"/>
              </w:rPr>
            </w:pPr>
            <w:r>
              <w:rPr>
                <w:spacing w:val="-4"/>
                <w:sz w:val="21"/>
                <w:szCs w:val="21"/>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spacing w:line="288" w:lineRule="auto"/>
              <w:ind w:left="273" w:leftChars="97" w:hanging="1"/>
              <w:jc w:val="left"/>
              <w:rPr>
                <w:spacing w:val="-4"/>
                <w:sz w:val="21"/>
                <w:szCs w:val="21"/>
              </w:rPr>
            </w:pPr>
            <w:r>
              <w:rPr>
                <w:spacing w:val="-4"/>
                <w:sz w:val="21"/>
                <w:szCs w:val="21"/>
              </w:rPr>
              <w:t>（1）评标价低的投标人优先；</w:t>
            </w:r>
          </w:p>
          <w:p>
            <w:pPr>
              <w:spacing w:line="288" w:lineRule="auto"/>
              <w:ind w:left="273" w:leftChars="97" w:hanging="1"/>
              <w:jc w:val="left"/>
              <w:rPr>
                <w:spacing w:val="-4"/>
                <w:sz w:val="21"/>
                <w:szCs w:val="21"/>
              </w:rPr>
            </w:pPr>
            <w:r>
              <w:rPr>
                <w:spacing w:val="-4"/>
                <w:sz w:val="21"/>
                <w:szCs w:val="21"/>
              </w:rPr>
              <w:t>（2）技术建议书得分较高的投标人优先；</w:t>
            </w:r>
          </w:p>
          <w:p>
            <w:pPr>
              <w:spacing w:line="288" w:lineRule="auto"/>
              <w:ind w:firstLine="272"/>
              <w:jc w:val="left"/>
              <w:rPr>
                <w:spacing w:val="-4"/>
                <w:sz w:val="21"/>
                <w:szCs w:val="21"/>
              </w:rPr>
            </w:pPr>
            <w:r>
              <w:rPr>
                <w:spacing w:val="-4"/>
                <w:sz w:val="21"/>
                <w:szCs w:val="21"/>
              </w:rPr>
              <w:t>（3）投标人近5年内满足资格审查条件（业绩最低条件）要求的业绩金额累计较高的优先。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vAlign w:val="center"/>
          </w:tcPr>
          <w:p>
            <w:pPr>
              <w:jc w:val="center"/>
              <w:rPr>
                <w:sz w:val="21"/>
                <w:szCs w:val="21"/>
              </w:rPr>
            </w:pPr>
            <w:r>
              <w:rPr>
                <w:sz w:val="21"/>
                <w:szCs w:val="21"/>
              </w:rPr>
              <w:t>2.1.1</w:t>
            </w:r>
          </w:p>
          <w:p>
            <w:pPr>
              <w:jc w:val="center"/>
              <w:rPr>
                <w:sz w:val="21"/>
                <w:szCs w:val="21"/>
              </w:rPr>
            </w:pPr>
            <w:r>
              <w:rPr>
                <w:sz w:val="21"/>
                <w:szCs w:val="21"/>
              </w:rPr>
              <w:t>2.1.3</w:t>
            </w:r>
          </w:p>
        </w:tc>
        <w:tc>
          <w:tcPr>
            <w:tcW w:w="1052" w:type="dxa"/>
            <w:vAlign w:val="center"/>
          </w:tcPr>
          <w:p>
            <w:pPr>
              <w:jc w:val="center"/>
              <w:rPr>
                <w:sz w:val="21"/>
                <w:szCs w:val="21"/>
              </w:rPr>
            </w:pPr>
            <w:r>
              <w:rPr>
                <w:sz w:val="21"/>
                <w:szCs w:val="21"/>
              </w:rPr>
              <w:t>形式评审与响应性评审标准</w:t>
            </w:r>
          </w:p>
        </w:tc>
        <w:tc>
          <w:tcPr>
            <w:tcW w:w="7250" w:type="dxa"/>
          </w:tcPr>
          <w:p>
            <w:pPr>
              <w:tabs>
                <w:tab w:val="left" w:pos="3060"/>
              </w:tabs>
              <w:spacing w:line="320" w:lineRule="exact"/>
              <w:rPr>
                <w:b/>
                <w:sz w:val="21"/>
                <w:szCs w:val="21"/>
              </w:rPr>
            </w:pPr>
            <w:r>
              <w:rPr>
                <w:b/>
                <w:sz w:val="21"/>
                <w:szCs w:val="21"/>
              </w:rPr>
              <w:t>第一个信封（商务及技术文件）评审标准：</w:t>
            </w:r>
          </w:p>
          <w:p>
            <w:pPr>
              <w:tabs>
                <w:tab w:val="left" w:pos="3060"/>
              </w:tabs>
              <w:spacing w:line="320" w:lineRule="exact"/>
              <w:ind w:firstLine="210" w:firstLineChars="100"/>
              <w:rPr>
                <w:bCs/>
                <w:sz w:val="21"/>
                <w:szCs w:val="21"/>
              </w:rPr>
            </w:pPr>
            <w:r>
              <w:rPr>
                <w:bCs/>
                <w:sz w:val="21"/>
                <w:szCs w:val="21"/>
              </w:rPr>
              <w:t>（1）投标文件按照招标文件规定的格式、内容填写，字迹清晰可辨：</w:t>
            </w:r>
          </w:p>
          <w:p>
            <w:pPr>
              <w:tabs>
                <w:tab w:val="left" w:pos="3060"/>
              </w:tabs>
              <w:spacing w:line="320" w:lineRule="exact"/>
              <w:ind w:firstLine="210" w:firstLineChars="100"/>
              <w:rPr>
                <w:bCs/>
                <w:sz w:val="21"/>
                <w:szCs w:val="21"/>
              </w:rPr>
            </w:pPr>
            <w:r>
              <w:rPr>
                <w:bCs/>
                <w:sz w:val="21"/>
                <w:szCs w:val="21"/>
              </w:rPr>
              <w:t>a.投标函按招标文件规定填报了补遗书编号（如有）、</w:t>
            </w:r>
            <w:r>
              <w:rPr>
                <w:sz w:val="21"/>
                <w:szCs w:val="21"/>
              </w:rPr>
              <w:t>项目负责人</w:t>
            </w:r>
            <w:r>
              <w:rPr>
                <w:bCs/>
                <w:sz w:val="21"/>
                <w:szCs w:val="21"/>
              </w:rPr>
              <w:t>，未对项目名称、质量要求、安全目标、服务期限进行修改；</w:t>
            </w:r>
          </w:p>
          <w:p>
            <w:pPr>
              <w:tabs>
                <w:tab w:val="left" w:pos="3060"/>
              </w:tabs>
              <w:spacing w:line="320" w:lineRule="exact"/>
              <w:ind w:firstLine="210" w:firstLineChars="100"/>
              <w:rPr>
                <w:bCs/>
                <w:sz w:val="21"/>
                <w:szCs w:val="21"/>
              </w:rPr>
            </w:pPr>
            <w:r>
              <w:rPr>
                <w:bCs/>
                <w:sz w:val="21"/>
                <w:szCs w:val="21"/>
              </w:rPr>
              <w:t>b.投标文件组成齐全完整，内容均按规定填写。</w:t>
            </w:r>
          </w:p>
          <w:p>
            <w:pPr>
              <w:tabs>
                <w:tab w:val="left" w:pos="3060"/>
              </w:tabs>
              <w:spacing w:line="320" w:lineRule="exact"/>
              <w:ind w:firstLine="210" w:firstLineChars="100"/>
              <w:rPr>
                <w:bCs/>
                <w:sz w:val="21"/>
                <w:szCs w:val="21"/>
              </w:rPr>
            </w:pPr>
            <w:r>
              <w:rPr>
                <w:bCs/>
                <w:sz w:val="21"/>
                <w:szCs w:val="21"/>
              </w:rPr>
              <w:t>（2）投标文件上法定代表人或其授权代理人的签字、投标人的单位章盖章齐全，符合招标文件规定。</w:t>
            </w:r>
          </w:p>
          <w:p>
            <w:pPr>
              <w:tabs>
                <w:tab w:val="left" w:pos="3060"/>
              </w:tabs>
              <w:spacing w:line="320" w:lineRule="exact"/>
              <w:ind w:firstLine="210" w:firstLineChars="100"/>
              <w:rPr>
                <w:sz w:val="21"/>
                <w:szCs w:val="21"/>
              </w:rPr>
            </w:pPr>
            <w:r>
              <w:rPr>
                <w:sz w:val="21"/>
                <w:szCs w:val="21"/>
              </w:rPr>
              <w:t>（3）投标人按照招标文件的规定提供了投标保证金：</w:t>
            </w:r>
          </w:p>
          <w:p>
            <w:pPr>
              <w:tabs>
                <w:tab w:val="left" w:pos="3060"/>
              </w:tabs>
              <w:spacing w:line="320" w:lineRule="exact"/>
              <w:ind w:firstLine="210" w:firstLineChars="100"/>
              <w:rPr>
                <w:sz w:val="21"/>
                <w:szCs w:val="21"/>
              </w:rPr>
            </w:pPr>
            <w:r>
              <w:rPr>
                <w:sz w:val="21"/>
                <w:szCs w:val="21"/>
              </w:rPr>
              <w:t>a.投标保证金金额符合招标文件规定的金额，且投标保证金有效期不少于投标有效期；</w:t>
            </w:r>
          </w:p>
          <w:p>
            <w:pPr>
              <w:tabs>
                <w:tab w:val="left" w:pos="3060"/>
              </w:tabs>
              <w:spacing w:line="320" w:lineRule="exact"/>
              <w:ind w:firstLine="210" w:firstLineChars="100"/>
              <w:rPr>
                <w:sz w:val="21"/>
                <w:szCs w:val="21"/>
              </w:rPr>
            </w:pPr>
            <w:r>
              <w:rPr>
                <w:sz w:val="21"/>
                <w:szCs w:val="21"/>
              </w:rPr>
              <w:t>b.若投标保证金采用电汇或转账形式提交，投标人应在递交投标文件截止时间之前，将投标保证金由投标人的基本账户转入招标人指定账户；</w:t>
            </w:r>
          </w:p>
          <w:p>
            <w:pPr>
              <w:tabs>
                <w:tab w:val="left" w:pos="3060"/>
              </w:tabs>
              <w:spacing w:line="320" w:lineRule="exact"/>
              <w:ind w:firstLine="210" w:firstLineChars="100"/>
              <w:rPr>
                <w:sz w:val="21"/>
                <w:szCs w:val="21"/>
              </w:rPr>
            </w:pPr>
            <w:r>
              <w:rPr>
                <w:sz w:val="21"/>
                <w:szCs w:val="21"/>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20" w:lineRule="exact"/>
              <w:ind w:firstLine="210" w:firstLineChars="100"/>
              <w:rPr>
                <w:sz w:val="21"/>
                <w:szCs w:val="21"/>
              </w:rPr>
            </w:pPr>
            <w:r>
              <w:rPr>
                <w:sz w:val="21"/>
                <w:szCs w:val="21"/>
              </w:rPr>
              <w:t>d．若投标保证金采用电子保证保险或电子担保保函形式提交，投标人应满足招标文件要求。</w:t>
            </w:r>
          </w:p>
          <w:p>
            <w:pPr>
              <w:tabs>
                <w:tab w:val="left" w:pos="3060"/>
              </w:tabs>
              <w:spacing w:line="320" w:lineRule="exact"/>
              <w:ind w:firstLine="210" w:firstLineChars="100"/>
              <w:rPr>
                <w:sz w:val="21"/>
                <w:szCs w:val="21"/>
              </w:rPr>
            </w:pPr>
            <w:r>
              <w:rPr>
                <w:sz w:val="21"/>
                <w:szCs w:val="21"/>
              </w:rPr>
              <w:t>（4）投标人法定代表人授权委托代理人签署投标文件的，须提交授权委托书，并符合下列要求：</w:t>
            </w:r>
          </w:p>
          <w:p>
            <w:pPr>
              <w:tabs>
                <w:tab w:val="left" w:pos="3060"/>
              </w:tabs>
              <w:spacing w:line="320" w:lineRule="exact"/>
              <w:ind w:firstLine="210" w:firstLineChars="100"/>
              <w:rPr>
                <w:sz w:val="21"/>
                <w:szCs w:val="21"/>
              </w:rPr>
            </w:pPr>
            <w:r>
              <w:rPr>
                <w:sz w:val="21"/>
                <w:szCs w:val="21"/>
              </w:rPr>
              <w:t>a.法定代表人和委托代理人均在授权书上签名；</w:t>
            </w:r>
          </w:p>
          <w:p>
            <w:pPr>
              <w:tabs>
                <w:tab w:val="left" w:pos="3060"/>
              </w:tabs>
              <w:spacing w:line="320" w:lineRule="exact"/>
              <w:ind w:firstLine="210" w:firstLineChars="100"/>
              <w:rPr>
                <w:sz w:val="21"/>
                <w:szCs w:val="21"/>
              </w:rPr>
            </w:pPr>
            <w:r>
              <w:rPr>
                <w:sz w:val="21"/>
                <w:szCs w:val="21"/>
              </w:rPr>
              <w:t>b.投标函签署的日期与授权委托书出具的日期同日或在其之后，并与投标截止时间同日或在其之前；</w:t>
            </w:r>
          </w:p>
          <w:p>
            <w:pPr>
              <w:tabs>
                <w:tab w:val="left" w:pos="3060"/>
              </w:tabs>
              <w:spacing w:line="320" w:lineRule="exact"/>
              <w:ind w:firstLine="210" w:firstLineChars="100"/>
              <w:rPr>
                <w:sz w:val="21"/>
                <w:szCs w:val="21"/>
              </w:rPr>
            </w:pPr>
            <w:r>
              <w:rPr>
                <w:sz w:val="21"/>
                <w:szCs w:val="21"/>
              </w:rPr>
              <w:t>c.授权委托书只能授权给一名委托代理人。</w:t>
            </w:r>
          </w:p>
          <w:p>
            <w:pPr>
              <w:tabs>
                <w:tab w:val="left" w:pos="3060"/>
              </w:tabs>
              <w:spacing w:line="320" w:lineRule="exact"/>
              <w:ind w:firstLine="210" w:firstLineChars="100"/>
              <w:rPr>
                <w:sz w:val="21"/>
                <w:szCs w:val="21"/>
              </w:rPr>
            </w:pPr>
            <w:r>
              <w:rPr>
                <w:sz w:val="21"/>
                <w:szCs w:val="21"/>
              </w:rPr>
              <w:t>（5）投标人法定代表人亲自签署投标文件的，提供了法定代表人身份证明，并符合招标文件的规定。</w:t>
            </w:r>
          </w:p>
          <w:p>
            <w:pPr>
              <w:tabs>
                <w:tab w:val="left" w:pos="3060"/>
              </w:tabs>
              <w:spacing w:line="320" w:lineRule="exact"/>
              <w:ind w:firstLine="210" w:firstLineChars="100"/>
              <w:rPr>
                <w:sz w:val="21"/>
                <w:szCs w:val="21"/>
              </w:rPr>
            </w:pPr>
            <w:r>
              <w:rPr>
                <w:sz w:val="21"/>
                <w:szCs w:val="21"/>
              </w:rPr>
              <w:t>（6）投标人未以联合体形式投标。</w:t>
            </w:r>
          </w:p>
          <w:p>
            <w:pPr>
              <w:tabs>
                <w:tab w:val="left" w:pos="3060"/>
              </w:tabs>
              <w:spacing w:line="320" w:lineRule="exact"/>
              <w:ind w:firstLine="210" w:firstLineChars="100"/>
              <w:rPr>
                <w:sz w:val="21"/>
                <w:szCs w:val="21"/>
              </w:rPr>
            </w:pPr>
            <w:r>
              <w:rPr>
                <w:sz w:val="21"/>
                <w:szCs w:val="21"/>
              </w:rPr>
              <w:t>（7）投标人如有分包计划，符合招标文件第二章“投标人须知”第1.11款规定，且按招标文件第六章“投标文件格式”的要求填写了“拟分包项目情况表”。</w:t>
            </w:r>
          </w:p>
          <w:p>
            <w:pPr>
              <w:tabs>
                <w:tab w:val="left" w:pos="3060"/>
              </w:tabs>
              <w:spacing w:line="320" w:lineRule="exact"/>
              <w:ind w:firstLine="210" w:firstLineChars="100"/>
              <w:rPr>
                <w:sz w:val="21"/>
                <w:szCs w:val="21"/>
              </w:rPr>
            </w:pPr>
            <w:r>
              <w:rPr>
                <w:sz w:val="21"/>
                <w:szCs w:val="21"/>
              </w:rPr>
              <w:t>（8）同一投标人未提交两个以上不同的投标文件。</w:t>
            </w:r>
          </w:p>
          <w:p>
            <w:pPr>
              <w:tabs>
                <w:tab w:val="left" w:pos="3060"/>
              </w:tabs>
              <w:spacing w:line="320" w:lineRule="exact"/>
              <w:ind w:firstLine="210" w:firstLineChars="100"/>
              <w:rPr>
                <w:sz w:val="21"/>
                <w:szCs w:val="21"/>
              </w:rPr>
            </w:pPr>
            <w:r>
              <w:rPr>
                <w:sz w:val="21"/>
                <w:szCs w:val="21"/>
              </w:rPr>
              <w:t>（9）投标文件第一信封中未出现有关投标报价的内容。</w:t>
            </w:r>
          </w:p>
          <w:p>
            <w:pPr>
              <w:tabs>
                <w:tab w:val="left" w:pos="3060"/>
              </w:tabs>
              <w:spacing w:line="320" w:lineRule="exact"/>
              <w:ind w:firstLine="210" w:firstLineChars="100"/>
              <w:rPr>
                <w:sz w:val="21"/>
                <w:szCs w:val="21"/>
              </w:rPr>
            </w:pPr>
            <w:r>
              <w:rPr>
                <w:sz w:val="21"/>
                <w:szCs w:val="21"/>
              </w:rPr>
              <w:t>（10）投标文件载明的招标项目完成期限未超过招标文件规定。</w:t>
            </w:r>
          </w:p>
          <w:p>
            <w:pPr>
              <w:tabs>
                <w:tab w:val="left" w:pos="3060"/>
              </w:tabs>
              <w:spacing w:line="320" w:lineRule="exact"/>
              <w:ind w:firstLine="210" w:firstLineChars="100"/>
              <w:rPr>
                <w:sz w:val="21"/>
                <w:szCs w:val="21"/>
              </w:rPr>
            </w:pPr>
            <w:r>
              <w:rPr>
                <w:sz w:val="21"/>
                <w:szCs w:val="21"/>
              </w:rPr>
              <w:t>（11）投标文件对招标文件的实质性要求和条件作出响应。</w:t>
            </w:r>
          </w:p>
          <w:p>
            <w:pPr>
              <w:tabs>
                <w:tab w:val="left" w:pos="3060"/>
              </w:tabs>
              <w:spacing w:line="320" w:lineRule="exact"/>
              <w:ind w:firstLine="210" w:firstLineChars="100"/>
              <w:rPr>
                <w:sz w:val="21"/>
                <w:szCs w:val="21"/>
              </w:rPr>
            </w:pPr>
            <w:r>
              <w:rPr>
                <w:sz w:val="21"/>
                <w:szCs w:val="21"/>
              </w:rPr>
              <w:t>（12）权利义务符合招标文件规定：</w:t>
            </w:r>
          </w:p>
          <w:p>
            <w:pPr>
              <w:tabs>
                <w:tab w:val="left" w:pos="3060"/>
              </w:tabs>
              <w:spacing w:line="320" w:lineRule="exact"/>
              <w:ind w:firstLine="210" w:firstLineChars="100"/>
              <w:rPr>
                <w:sz w:val="21"/>
                <w:szCs w:val="21"/>
              </w:rPr>
            </w:pPr>
            <w:r>
              <w:rPr>
                <w:sz w:val="21"/>
                <w:szCs w:val="21"/>
              </w:rPr>
              <w:t>a.投标人应接受招标文件规定的风险划分原则，未提出新的风险划分办法；</w:t>
            </w:r>
          </w:p>
          <w:p>
            <w:pPr>
              <w:tabs>
                <w:tab w:val="left" w:pos="3060"/>
              </w:tabs>
              <w:spacing w:line="320" w:lineRule="exact"/>
              <w:ind w:firstLine="210" w:firstLineChars="100"/>
              <w:rPr>
                <w:sz w:val="21"/>
                <w:szCs w:val="21"/>
              </w:rPr>
            </w:pPr>
            <w:r>
              <w:rPr>
                <w:sz w:val="21"/>
                <w:szCs w:val="21"/>
              </w:rPr>
              <w:t>b.投标人未增加发包人的责任范围，或减少投标人义务；</w:t>
            </w:r>
          </w:p>
          <w:p>
            <w:pPr>
              <w:tabs>
                <w:tab w:val="left" w:pos="3060"/>
              </w:tabs>
              <w:spacing w:line="320" w:lineRule="exact"/>
              <w:ind w:firstLine="210" w:firstLineChars="100"/>
              <w:rPr>
                <w:sz w:val="21"/>
                <w:szCs w:val="21"/>
              </w:rPr>
            </w:pPr>
            <w:r>
              <w:rPr>
                <w:sz w:val="21"/>
                <w:szCs w:val="21"/>
              </w:rPr>
              <w:t>c.投标人未提出不同的支付办法；</w:t>
            </w:r>
          </w:p>
          <w:p>
            <w:pPr>
              <w:tabs>
                <w:tab w:val="left" w:pos="3060"/>
              </w:tabs>
              <w:spacing w:line="320" w:lineRule="exact"/>
              <w:ind w:firstLine="210" w:firstLineChars="100"/>
              <w:rPr>
                <w:sz w:val="21"/>
                <w:szCs w:val="21"/>
              </w:rPr>
            </w:pPr>
            <w:r>
              <w:rPr>
                <w:sz w:val="21"/>
                <w:szCs w:val="21"/>
              </w:rPr>
              <w:t>d.投标人对合同纠纷、事故处理办法未提出异议；</w:t>
            </w:r>
          </w:p>
          <w:p>
            <w:pPr>
              <w:tabs>
                <w:tab w:val="left" w:pos="3060"/>
              </w:tabs>
              <w:spacing w:line="320" w:lineRule="exact"/>
              <w:ind w:firstLine="210" w:firstLineChars="100"/>
              <w:rPr>
                <w:sz w:val="21"/>
                <w:szCs w:val="21"/>
              </w:rPr>
            </w:pPr>
            <w:r>
              <w:rPr>
                <w:sz w:val="21"/>
                <w:szCs w:val="21"/>
              </w:rPr>
              <w:t>e.投标人在投标活动中无欺诈行为；</w:t>
            </w:r>
          </w:p>
          <w:p>
            <w:pPr>
              <w:tabs>
                <w:tab w:val="left" w:pos="3060"/>
              </w:tabs>
              <w:spacing w:line="320" w:lineRule="exact"/>
              <w:ind w:firstLine="210" w:firstLineChars="100"/>
              <w:rPr>
                <w:sz w:val="21"/>
                <w:szCs w:val="21"/>
              </w:rPr>
            </w:pPr>
            <w:r>
              <w:rPr>
                <w:sz w:val="21"/>
                <w:szCs w:val="21"/>
              </w:rPr>
              <w:t>f.投标人未对合同条款有重要保留。</w:t>
            </w:r>
          </w:p>
          <w:p>
            <w:pPr>
              <w:tabs>
                <w:tab w:val="left" w:pos="3060"/>
              </w:tabs>
              <w:spacing w:line="320" w:lineRule="exact"/>
              <w:rPr>
                <w:b/>
                <w:sz w:val="21"/>
                <w:szCs w:val="21"/>
              </w:rPr>
            </w:pPr>
            <w:bookmarkStart w:id="29" w:name="_Hlk93740610"/>
            <w:r>
              <w:rPr>
                <w:b/>
                <w:sz w:val="21"/>
                <w:szCs w:val="21"/>
              </w:rPr>
              <w:t>第二个信封（报价文件）评审标准：</w:t>
            </w:r>
          </w:p>
          <w:bookmarkEnd w:id="29"/>
          <w:p>
            <w:pPr>
              <w:tabs>
                <w:tab w:val="left" w:pos="3060"/>
              </w:tabs>
              <w:spacing w:line="320" w:lineRule="exact"/>
              <w:ind w:firstLine="205" w:firstLineChars="98"/>
              <w:rPr>
                <w:bCs/>
                <w:sz w:val="21"/>
                <w:szCs w:val="21"/>
              </w:rPr>
            </w:pPr>
            <w:r>
              <w:rPr>
                <w:bCs/>
                <w:sz w:val="21"/>
                <w:szCs w:val="21"/>
              </w:rPr>
              <w:t>（1）投标文件按照招标文件规定的格式、内容填写，字迹清晰可辨，内容齐全完整。</w:t>
            </w:r>
          </w:p>
          <w:p>
            <w:pPr>
              <w:tabs>
                <w:tab w:val="left" w:pos="3060"/>
              </w:tabs>
              <w:spacing w:line="320" w:lineRule="exact"/>
              <w:ind w:firstLine="205" w:firstLineChars="98"/>
              <w:rPr>
                <w:bCs/>
                <w:sz w:val="21"/>
                <w:szCs w:val="21"/>
              </w:rPr>
            </w:pPr>
            <w:r>
              <w:rPr>
                <w:bCs/>
                <w:sz w:val="21"/>
                <w:szCs w:val="21"/>
              </w:rPr>
              <w:t>a.投标函按招标文件规定填报了补遗书编号（如有）、投标价（包括大写金额和小写金额），未对项目名称进行修改；</w:t>
            </w:r>
          </w:p>
          <w:p>
            <w:pPr>
              <w:tabs>
                <w:tab w:val="left" w:pos="3060"/>
              </w:tabs>
              <w:spacing w:line="320" w:lineRule="exact"/>
              <w:ind w:firstLine="205" w:firstLineChars="98"/>
              <w:rPr>
                <w:bCs/>
                <w:sz w:val="21"/>
                <w:szCs w:val="21"/>
              </w:rPr>
            </w:pPr>
            <w:r>
              <w:rPr>
                <w:bCs/>
                <w:sz w:val="21"/>
                <w:szCs w:val="21"/>
              </w:rPr>
              <w:t>b．投标文件组成齐全完整，内容均按规定填写。</w:t>
            </w:r>
          </w:p>
          <w:p>
            <w:pPr>
              <w:tabs>
                <w:tab w:val="left" w:pos="3060"/>
              </w:tabs>
              <w:spacing w:line="320" w:lineRule="exact"/>
              <w:ind w:firstLine="205" w:firstLineChars="98"/>
              <w:rPr>
                <w:bCs/>
                <w:sz w:val="21"/>
                <w:szCs w:val="21"/>
              </w:rPr>
            </w:pPr>
            <w:r>
              <w:rPr>
                <w:bCs/>
                <w:sz w:val="21"/>
                <w:szCs w:val="21"/>
              </w:rPr>
              <w:t>（2）投标文件上法定代表人或其授权代理人的签字、投标人的单位章盖章齐全，符合招标文件规定。</w:t>
            </w:r>
          </w:p>
          <w:p>
            <w:pPr>
              <w:tabs>
                <w:tab w:val="left" w:pos="3060"/>
              </w:tabs>
              <w:spacing w:line="320" w:lineRule="exact"/>
              <w:ind w:firstLine="205" w:firstLineChars="98"/>
              <w:rPr>
                <w:bCs/>
                <w:sz w:val="21"/>
                <w:szCs w:val="21"/>
              </w:rPr>
            </w:pPr>
            <w:r>
              <w:rPr>
                <w:bCs/>
                <w:sz w:val="21"/>
                <w:szCs w:val="21"/>
              </w:rPr>
              <w:t>（3）投标报价中的报价未超过招标文件设定的最高投标限价。</w:t>
            </w:r>
          </w:p>
          <w:p>
            <w:pPr>
              <w:tabs>
                <w:tab w:val="left" w:pos="3060"/>
              </w:tabs>
              <w:spacing w:line="320" w:lineRule="exact"/>
              <w:ind w:firstLine="205" w:firstLineChars="98"/>
              <w:rPr>
                <w:bCs/>
                <w:sz w:val="21"/>
                <w:szCs w:val="21"/>
              </w:rPr>
            </w:pPr>
            <w:r>
              <w:rPr>
                <w:bCs/>
                <w:sz w:val="21"/>
                <w:szCs w:val="21"/>
              </w:rPr>
              <w:t>（4）投标报价中报价的大写金额能够确定具体数值。</w:t>
            </w:r>
          </w:p>
          <w:p>
            <w:pPr>
              <w:tabs>
                <w:tab w:val="left" w:pos="3060"/>
              </w:tabs>
              <w:spacing w:line="320" w:lineRule="exact"/>
              <w:ind w:firstLine="205" w:firstLineChars="98"/>
              <w:rPr>
                <w:sz w:val="21"/>
                <w:szCs w:val="21"/>
              </w:rPr>
            </w:pPr>
            <w:r>
              <w:rPr>
                <w:bCs/>
                <w:sz w:val="21"/>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jc w:val="center"/>
              <w:rPr>
                <w:sz w:val="21"/>
                <w:szCs w:val="21"/>
              </w:rPr>
            </w:pPr>
            <w:r>
              <w:rPr>
                <w:sz w:val="21"/>
                <w:szCs w:val="21"/>
              </w:rPr>
              <w:t>2.1.2</w:t>
            </w:r>
          </w:p>
        </w:tc>
        <w:tc>
          <w:tcPr>
            <w:tcW w:w="1052" w:type="dxa"/>
            <w:vAlign w:val="center"/>
          </w:tcPr>
          <w:p>
            <w:pPr>
              <w:jc w:val="center"/>
              <w:rPr>
                <w:sz w:val="21"/>
                <w:szCs w:val="21"/>
              </w:rPr>
            </w:pPr>
            <w:r>
              <w:rPr>
                <w:sz w:val="21"/>
                <w:szCs w:val="21"/>
              </w:rPr>
              <w:t>资格评审标准</w:t>
            </w:r>
          </w:p>
        </w:tc>
        <w:tc>
          <w:tcPr>
            <w:tcW w:w="7250" w:type="dxa"/>
          </w:tcPr>
          <w:p>
            <w:pPr>
              <w:tabs>
                <w:tab w:val="left" w:pos="3060"/>
              </w:tabs>
              <w:spacing w:line="320" w:lineRule="exact"/>
              <w:rPr>
                <w:sz w:val="21"/>
                <w:szCs w:val="21"/>
              </w:rPr>
            </w:pPr>
            <w:r>
              <w:rPr>
                <w:sz w:val="21"/>
                <w:szCs w:val="21"/>
              </w:rPr>
              <w:t>（1）投标人具备有效的营业执照、设计资质证书和基本账户开户许可证（或基本存款账户信息）；</w:t>
            </w:r>
          </w:p>
          <w:p>
            <w:pPr>
              <w:tabs>
                <w:tab w:val="left" w:pos="3060"/>
              </w:tabs>
              <w:spacing w:line="320" w:lineRule="exact"/>
              <w:rPr>
                <w:sz w:val="21"/>
                <w:szCs w:val="21"/>
              </w:rPr>
            </w:pPr>
            <w:r>
              <w:rPr>
                <w:sz w:val="21"/>
                <w:szCs w:val="21"/>
              </w:rPr>
              <w:t>（2）投标人的资质等级符合招标文件规定；</w:t>
            </w:r>
          </w:p>
          <w:p>
            <w:pPr>
              <w:tabs>
                <w:tab w:val="left" w:pos="3060"/>
              </w:tabs>
              <w:spacing w:line="320" w:lineRule="exact"/>
              <w:rPr>
                <w:sz w:val="21"/>
                <w:szCs w:val="21"/>
              </w:rPr>
            </w:pPr>
            <w:r>
              <w:rPr>
                <w:sz w:val="21"/>
                <w:szCs w:val="21"/>
              </w:rPr>
              <w:t>（3）投标人的类似项目业绩符合招标文件规定；</w:t>
            </w:r>
          </w:p>
          <w:p>
            <w:pPr>
              <w:tabs>
                <w:tab w:val="left" w:pos="3060"/>
              </w:tabs>
              <w:spacing w:line="320" w:lineRule="exact"/>
              <w:rPr>
                <w:sz w:val="21"/>
                <w:szCs w:val="21"/>
              </w:rPr>
            </w:pPr>
            <w:r>
              <w:rPr>
                <w:sz w:val="21"/>
                <w:szCs w:val="21"/>
              </w:rPr>
              <w:t>（4）投标人的信誉符合招标文件规定；</w:t>
            </w:r>
          </w:p>
          <w:p>
            <w:pPr>
              <w:tabs>
                <w:tab w:val="left" w:pos="3060"/>
              </w:tabs>
              <w:spacing w:line="320" w:lineRule="exact"/>
              <w:rPr>
                <w:sz w:val="21"/>
                <w:szCs w:val="21"/>
              </w:rPr>
            </w:pPr>
            <w:r>
              <w:rPr>
                <w:sz w:val="21"/>
                <w:szCs w:val="21"/>
              </w:rPr>
              <w:t>（5）投标人的项目负责人资格符合招标文件规定；</w:t>
            </w:r>
          </w:p>
          <w:p>
            <w:pPr>
              <w:tabs>
                <w:tab w:val="left" w:pos="3060"/>
              </w:tabs>
              <w:spacing w:line="320" w:lineRule="exact"/>
              <w:rPr>
                <w:sz w:val="21"/>
                <w:szCs w:val="21"/>
              </w:rPr>
            </w:pPr>
            <w:r>
              <w:rPr>
                <w:sz w:val="21"/>
                <w:szCs w:val="21"/>
              </w:rPr>
              <w:t>（6）投标人不存在第二章“投标人须知”第1.4.3项或第1.4.4项规定的任何一种情形。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jc w:val="center"/>
              <w:rPr>
                <w:sz w:val="21"/>
                <w:szCs w:val="21"/>
              </w:rPr>
            </w:pPr>
            <w:r>
              <w:rPr>
                <w:sz w:val="21"/>
                <w:szCs w:val="21"/>
              </w:rPr>
              <w:t>2.2.1</w:t>
            </w:r>
          </w:p>
        </w:tc>
        <w:tc>
          <w:tcPr>
            <w:tcW w:w="1052" w:type="dxa"/>
            <w:vAlign w:val="center"/>
          </w:tcPr>
          <w:p>
            <w:pPr>
              <w:jc w:val="center"/>
              <w:rPr>
                <w:sz w:val="21"/>
                <w:szCs w:val="21"/>
              </w:rPr>
            </w:pPr>
            <w:r>
              <w:rPr>
                <w:sz w:val="21"/>
                <w:szCs w:val="21"/>
              </w:rPr>
              <w:t>分值构成</w:t>
            </w:r>
          </w:p>
        </w:tc>
        <w:tc>
          <w:tcPr>
            <w:tcW w:w="7250" w:type="dxa"/>
            <w:vAlign w:val="center"/>
          </w:tcPr>
          <w:p>
            <w:pPr>
              <w:autoSpaceDE w:val="0"/>
              <w:autoSpaceDN w:val="0"/>
              <w:adjustRightInd w:val="0"/>
              <w:ind w:left="107"/>
              <w:jc w:val="left"/>
              <w:rPr>
                <w:b/>
                <w:kern w:val="0"/>
                <w:sz w:val="21"/>
                <w:szCs w:val="21"/>
              </w:rPr>
            </w:pPr>
            <w:r>
              <w:rPr>
                <w:b/>
                <w:kern w:val="0"/>
                <w:sz w:val="21"/>
                <w:szCs w:val="21"/>
              </w:rPr>
              <w:t>第一信封（商务及技术文件）评分分值构成：</w:t>
            </w:r>
          </w:p>
          <w:p>
            <w:pPr>
              <w:autoSpaceDE w:val="0"/>
              <w:autoSpaceDN w:val="0"/>
              <w:adjustRightInd w:val="0"/>
              <w:ind w:left="107"/>
              <w:jc w:val="left"/>
              <w:rPr>
                <w:kern w:val="0"/>
                <w:sz w:val="21"/>
                <w:szCs w:val="21"/>
              </w:rPr>
            </w:pPr>
            <w:r>
              <w:rPr>
                <w:kern w:val="0"/>
                <w:sz w:val="21"/>
                <w:szCs w:val="21"/>
              </w:rPr>
              <w:t>技术建议书：45分</w:t>
            </w:r>
          </w:p>
          <w:p>
            <w:pPr>
              <w:autoSpaceDE w:val="0"/>
              <w:autoSpaceDN w:val="0"/>
              <w:adjustRightInd w:val="0"/>
              <w:ind w:left="107"/>
              <w:jc w:val="left"/>
              <w:rPr>
                <w:kern w:val="0"/>
                <w:sz w:val="21"/>
                <w:szCs w:val="21"/>
              </w:rPr>
            </w:pPr>
            <w:r>
              <w:rPr>
                <w:kern w:val="0"/>
                <w:sz w:val="21"/>
                <w:szCs w:val="21"/>
              </w:rPr>
              <w:t>主要人员：  20分</w:t>
            </w:r>
          </w:p>
          <w:p>
            <w:pPr>
              <w:autoSpaceDE w:val="0"/>
              <w:autoSpaceDN w:val="0"/>
              <w:adjustRightInd w:val="0"/>
              <w:ind w:left="107"/>
              <w:jc w:val="left"/>
              <w:rPr>
                <w:kern w:val="0"/>
                <w:sz w:val="21"/>
                <w:szCs w:val="21"/>
              </w:rPr>
            </w:pPr>
            <w:r>
              <w:rPr>
                <w:kern w:val="0"/>
                <w:sz w:val="21"/>
                <w:szCs w:val="21"/>
              </w:rPr>
              <w:t>业    绩：  25分</w:t>
            </w:r>
          </w:p>
          <w:p>
            <w:pPr>
              <w:autoSpaceDE w:val="0"/>
              <w:autoSpaceDN w:val="0"/>
              <w:adjustRightInd w:val="0"/>
              <w:ind w:left="107"/>
              <w:jc w:val="left"/>
              <w:rPr>
                <w:b/>
                <w:kern w:val="0"/>
                <w:sz w:val="21"/>
                <w:szCs w:val="21"/>
              </w:rPr>
            </w:pPr>
            <w:r>
              <w:rPr>
                <w:b/>
                <w:kern w:val="0"/>
                <w:sz w:val="21"/>
                <w:szCs w:val="21"/>
              </w:rPr>
              <w:t>第二信封（报价文件）评分分值构成：</w:t>
            </w:r>
          </w:p>
          <w:p>
            <w:pPr>
              <w:autoSpaceDE w:val="0"/>
              <w:autoSpaceDN w:val="0"/>
              <w:adjustRightInd w:val="0"/>
              <w:ind w:left="107"/>
              <w:jc w:val="left"/>
              <w:rPr>
                <w:sz w:val="21"/>
                <w:szCs w:val="21"/>
              </w:rPr>
            </w:pPr>
            <w:r>
              <w:rPr>
                <w:sz w:val="21"/>
                <w:szCs w:val="21"/>
              </w:rPr>
              <w:t>评 标 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041" w:type="dxa"/>
            <w:vAlign w:val="center"/>
          </w:tcPr>
          <w:p>
            <w:pPr>
              <w:ind w:right="113"/>
              <w:jc w:val="center"/>
              <w:rPr>
                <w:sz w:val="21"/>
                <w:szCs w:val="21"/>
              </w:rPr>
            </w:pPr>
            <w:r>
              <w:rPr>
                <w:sz w:val="21"/>
                <w:szCs w:val="21"/>
              </w:rPr>
              <w:t>2.2.2</w:t>
            </w:r>
          </w:p>
        </w:tc>
        <w:tc>
          <w:tcPr>
            <w:tcW w:w="1052" w:type="dxa"/>
            <w:vAlign w:val="center"/>
          </w:tcPr>
          <w:p>
            <w:pPr>
              <w:ind w:left="2"/>
              <w:jc w:val="center"/>
              <w:rPr>
                <w:sz w:val="21"/>
                <w:szCs w:val="21"/>
              </w:rPr>
            </w:pPr>
            <w:r>
              <w:rPr>
                <w:sz w:val="21"/>
                <w:szCs w:val="21"/>
              </w:rPr>
              <w:t>评标基准价计算方法</w:t>
            </w:r>
          </w:p>
        </w:tc>
        <w:tc>
          <w:tcPr>
            <w:tcW w:w="7250" w:type="dxa"/>
            <w:vAlign w:val="center"/>
          </w:tcPr>
          <w:p>
            <w:pPr>
              <w:spacing w:line="340" w:lineRule="exact"/>
              <w:ind w:right="113"/>
              <w:rPr>
                <w:sz w:val="21"/>
                <w:szCs w:val="21"/>
              </w:rPr>
            </w:pPr>
            <w:r>
              <w:rPr>
                <w:sz w:val="21"/>
                <w:szCs w:val="21"/>
              </w:rPr>
              <w:t>评标基准价的计算：</w:t>
            </w:r>
          </w:p>
          <w:p>
            <w:pPr>
              <w:spacing w:line="340" w:lineRule="exact"/>
              <w:ind w:left="113" w:right="113" w:firstLine="210" w:firstLineChars="100"/>
              <w:rPr>
                <w:sz w:val="21"/>
                <w:szCs w:val="21"/>
              </w:rPr>
            </w:pPr>
            <w:r>
              <w:rPr>
                <w:sz w:val="21"/>
                <w:szCs w:val="21"/>
              </w:rPr>
              <w:t>（1）评标价的确定：</w:t>
            </w:r>
          </w:p>
          <w:p>
            <w:pPr>
              <w:spacing w:line="340" w:lineRule="exact"/>
              <w:ind w:left="113" w:right="113" w:firstLine="210" w:firstLineChars="100"/>
              <w:rPr>
                <w:sz w:val="21"/>
                <w:szCs w:val="21"/>
              </w:rPr>
            </w:pPr>
            <w:r>
              <w:rPr>
                <w:sz w:val="21"/>
                <w:szCs w:val="21"/>
              </w:rPr>
              <w:t>评标价=投标函文字报价</w:t>
            </w:r>
          </w:p>
          <w:p>
            <w:pPr>
              <w:spacing w:line="340" w:lineRule="exact"/>
              <w:ind w:left="113" w:right="113" w:firstLine="210" w:firstLineChars="100"/>
              <w:rPr>
                <w:sz w:val="21"/>
                <w:szCs w:val="21"/>
              </w:rPr>
            </w:pPr>
            <w:r>
              <w:rPr>
                <w:sz w:val="21"/>
                <w:szCs w:val="21"/>
              </w:rPr>
              <w:t>（2）评标基准价的确定：</w:t>
            </w:r>
          </w:p>
          <w:p>
            <w:pPr>
              <w:spacing w:line="340" w:lineRule="exact"/>
              <w:ind w:left="113" w:right="113" w:firstLine="210" w:firstLineChars="100"/>
              <w:rPr>
                <w:sz w:val="21"/>
                <w:szCs w:val="21"/>
              </w:rPr>
            </w:pPr>
            <w:r>
              <w:rPr>
                <w:sz w:val="21"/>
                <w:szCs w:val="21"/>
              </w:rPr>
              <w:t>除按第二章“投标人须知”第5.2.4项规定开标现场被宣布为不进入评标基准价计算的投标报价之外，将评标价去掉n1个最高评标价和n2个最低评标价后平均值直接作为评标基准价。</w:t>
            </w:r>
          </w:p>
          <w:p>
            <w:pPr>
              <w:spacing w:line="340" w:lineRule="exact"/>
              <w:ind w:right="113" w:firstLine="426" w:firstLineChars="203"/>
              <w:rPr>
                <w:sz w:val="21"/>
                <w:szCs w:val="21"/>
              </w:rPr>
            </w:pPr>
            <w:r>
              <w:rPr>
                <w:sz w:val="21"/>
                <w:szCs w:val="21"/>
              </w:rPr>
              <w:t>注：如果参与评标价平均值计算的投标人数量≥6家时，计算评标价平均值时去掉最高值和最低值（n1=1，n2=1）。</w:t>
            </w:r>
          </w:p>
          <w:p>
            <w:pPr>
              <w:spacing w:line="340" w:lineRule="exact"/>
              <w:ind w:right="113" w:firstLine="426" w:firstLineChars="203"/>
              <w:rPr>
                <w:sz w:val="21"/>
                <w:szCs w:val="21"/>
              </w:rPr>
            </w:pPr>
            <w:r>
              <w:rPr>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ind w:right="113"/>
              <w:jc w:val="center"/>
              <w:rPr>
                <w:sz w:val="21"/>
                <w:szCs w:val="21"/>
              </w:rPr>
            </w:pPr>
            <w:r>
              <w:rPr>
                <w:sz w:val="21"/>
                <w:szCs w:val="21"/>
              </w:rPr>
              <w:t>2.2.3</w:t>
            </w:r>
          </w:p>
        </w:tc>
        <w:tc>
          <w:tcPr>
            <w:tcW w:w="1052" w:type="dxa"/>
            <w:vAlign w:val="center"/>
          </w:tcPr>
          <w:p>
            <w:pPr>
              <w:ind w:left="-42" w:leftChars="-15" w:right="-77"/>
              <w:rPr>
                <w:sz w:val="21"/>
                <w:szCs w:val="21"/>
              </w:rPr>
            </w:pPr>
            <w:r>
              <w:rPr>
                <w:sz w:val="21"/>
                <w:szCs w:val="21"/>
              </w:rPr>
              <w:t>评标价的偏差率计算公式</w:t>
            </w:r>
          </w:p>
        </w:tc>
        <w:tc>
          <w:tcPr>
            <w:tcW w:w="7250" w:type="dxa"/>
            <w:vAlign w:val="center"/>
          </w:tcPr>
          <w:p>
            <w:pPr>
              <w:spacing w:line="340" w:lineRule="exact"/>
              <w:ind w:right="113" w:firstLine="426" w:firstLineChars="203"/>
              <w:rPr>
                <w:sz w:val="21"/>
                <w:szCs w:val="21"/>
              </w:rPr>
            </w:pPr>
            <w:r>
              <w:rPr>
                <w:sz w:val="21"/>
                <w:szCs w:val="21"/>
              </w:rPr>
              <w:t>偏差率=100%×（投标人评标价-评标基准价）/评标基准价</w:t>
            </w:r>
          </w:p>
          <w:p>
            <w:pPr>
              <w:spacing w:line="340" w:lineRule="exact"/>
              <w:ind w:right="113" w:firstLine="426" w:firstLineChars="203"/>
            </w:pPr>
            <w:r>
              <w:rPr>
                <w:sz w:val="21"/>
                <w:szCs w:val="21"/>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ind w:right="113"/>
              <w:jc w:val="center"/>
              <w:rPr>
                <w:sz w:val="21"/>
                <w:szCs w:val="21"/>
              </w:rPr>
            </w:pPr>
            <w:r>
              <w:rPr>
                <w:sz w:val="21"/>
                <w:szCs w:val="21"/>
              </w:rPr>
              <w:t>3.6.1</w:t>
            </w:r>
          </w:p>
        </w:tc>
        <w:tc>
          <w:tcPr>
            <w:tcW w:w="1052" w:type="dxa"/>
            <w:vAlign w:val="center"/>
          </w:tcPr>
          <w:p>
            <w:pPr>
              <w:ind w:left="-42" w:leftChars="-15" w:right="-77"/>
              <w:rPr>
                <w:sz w:val="21"/>
                <w:szCs w:val="21"/>
              </w:rPr>
            </w:pPr>
            <w:r>
              <w:rPr>
                <w:sz w:val="21"/>
                <w:szCs w:val="21"/>
              </w:rPr>
              <w:t>投标文件相关信息核查</w:t>
            </w:r>
          </w:p>
        </w:tc>
        <w:tc>
          <w:tcPr>
            <w:tcW w:w="7250" w:type="dxa"/>
            <w:vAlign w:val="center"/>
          </w:tcPr>
          <w:p>
            <w:pPr>
              <w:adjustRightInd w:val="0"/>
              <w:snapToGrid w:val="0"/>
              <w:spacing w:line="300" w:lineRule="exact"/>
              <w:rPr>
                <w:sz w:val="21"/>
                <w:szCs w:val="21"/>
              </w:rPr>
            </w:pPr>
            <w:r>
              <w:rPr>
                <w:sz w:val="21"/>
                <w:szCs w:val="21"/>
              </w:rPr>
              <w:t>本款修改为：</w:t>
            </w:r>
          </w:p>
          <w:p>
            <w:pPr>
              <w:adjustRightInd w:val="0"/>
              <w:snapToGrid w:val="0"/>
              <w:spacing w:line="300" w:lineRule="exact"/>
              <w:rPr>
                <w:sz w:val="21"/>
                <w:szCs w:val="21"/>
              </w:rPr>
            </w:pPr>
            <w:r>
              <w:rPr>
                <w:sz w:val="21"/>
                <w:szCs w:val="21"/>
              </w:rPr>
              <w:t>评标委员会评标时应对投标人的信用情况在“国家企业信用信息公示系统”和“信用中国”网站对投标人的信用情况进行查询，若投标人存在“国家企业信用信息公示系统”被列入严重违法失信企业名单（不含分公司）或在“信用中国”网站“被列入失信被执行人名单、经营异常名录、税收违法黑名单（或重大税收违法失信主体）、政府采购严重违法失信行为记录名单”情形的（均不含分公司），评标委员会应否决其投标。</w:t>
            </w:r>
          </w:p>
          <w:p>
            <w:pPr>
              <w:ind w:firstLine="420" w:firstLineChars="200"/>
              <w:rPr>
                <w:sz w:val="21"/>
                <w:szCs w:val="21"/>
              </w:rPr>
            </w:pPr>
            <w:r>
              <w:rPr>
                <w:sz w:val="21"/>
                <w:szCs w:val="21"/>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pStyle w:val="2"/>
              <w:ind w:firstLine="420" w:firstLineChars="200"/>
            </w:pPr>
            <w:r>
              <w:rPr>
                <w:sz w:val="21"/>
                <w:szCs w:val="21"/>
              </w:rPr>
              <w:t>如投标人未提供招标文件要求的相关截图或与评标委员会查询结果不符的，评标委员会应否决其投标。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 w:type="dxa"/>
            <w:vAlign w:val="center"/>
          </w:tcPr>
          <w:p>
            <w:pPr>
              <w:ind w:right="113"/>
              <w:jc w:val="center"/>
              <w:rPr>
                <w:sz w:val="21"/>
                <w:szCs w:val="21"/>
              </w:rPr>
            </w:pPr>
            <w:r>
              <w:rPr>
                <w:sz w:val="21"/>
                <w:szCs w:val="21"/>
              </w:rPr>
              <w:t>3.9.3</w:t>
            </w:r>
          </w:p>
        </w:tc>
        <w:tc>
          <w:tcPr>
            <w:tcW w:w="1052" w:type="dxa"/>
            <w:vAlign w:val="center"/>
          </w:tcPr>
          <w:p>
            <w:pPr>
              <w:ind w:left="-42" w:leftChars="-15" w:right="-77"/>
              <w:jc w:val="center"/>
              <w:rPr>
                <w:sz w:val="21"/>
                <w:szCs w:val="21"/>
              </w:rPr>
            </w:pPr>
            <w:r>
              <w:rPr>
                <w:sz w:val="21"/>
                <w:szCs w:val="21"/>
              </w:rPr>
              <w:t>评标</w:t>
            </w:r>
          </w:p>
          <w:p>
            <w:pPr>
              <w:ind w:left="-42" w:leftChars="-15" w:right="-77"/>
              <w:jc w:val="center"/>
              <w:rPr>
                <w:sz w:val="21"/>
                <w:szCs w:val="21"/>
              </w:rPr>
            </w:pPr>
            <w:r>
              <w:rPr>
                <w:sz w:val="21"/>
                <w:szCs w:val="21"/>
              </w:rPr>
              <w:t>结果</w:t>
            </w:r>
          </w:p>
        </w:tc>
        <w:tc>
          <w:tcPr>
            <w:tcW w:w="7250" w:type="dxa"/>
            <w:vAlign w:val="center"/>
          </w:tcPr>
          <w:p>
            <w:pPr>
              <w:spacing w:line="340" w:lineRule="exact"/>
              <w:ind w:right="113" w:firstLine="426" w:firstLineChars="203"/>
              <w:rPr>
                <w:sz w:val="21"/>
                <w:szCs w:val="21"/>
              </w:rPr>
            </w:pPr>
            <w:r>
              <w:rPr>
                <w:sz w:val="21"/>
                <w:szCs w:val="21"/>
              </w:rPr>
              <w:t>本款补充：</w:t>
            </w:r>
          </w:p>
          <w:p>
            <w:pPr>
              <w:spacing w:line="340" w:lineRule="exact"/>
              <w:ind w:right="113" w:firstLine="426" w:firstLineChars="203"/>
              <w:rPr>
                <w:sz w:val="21"/>
                <w:szCs w:val="21"/>
              </w:rPr>
            </w:pPr>
            <w:r>
              <w:rPr>
                <w:sz w:val="21"/>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按照评标办法前附表“1.评标办法”的规定推荐中标候选人。</w:t>
            </w:r>
          </w:p>
        </w:tc>
      </w:tr>
    </w:tbl>
    <w:p>
      <w:pPr>
        <w:jc w:val="right"/>
        <w:rPr>
          <w:szCs w:val="21"/>
        </w:rPr>
      </w:pPr>
      <w:r>
        <w:rPr>
          <w:sz w:val="24"/>
        </w:rPr>
        <w:br w:type="page"/>
      </w:r>
      <w:r>
        <w:rPr>
          <w:sz w:val="24"/>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992"/>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vAlign w:val="center"/>
          </w:tcPr>
          <w:p>
            <w:pPr>
              <w:pStyle w:val="5"/>
              <w:spacing w:line="160" w:lineRule="atLeast"/>
              <w:jc w:val="center"/>
              <w:rPr>
                <w:rFonts w:ascii="Times New Roman" w:hAnsi="Times New Roman"/>
                <w:szCs w:val="21"/>
              </w:rPr>
            </w:pPr>
            <w:bookmarkStart w:id="30" w:name="_Hlk85726717"/>
            <w:r>
              <w:rPr>
                <w:rFonts w:ascii="Times New Roman" w:hAnsi="Times New Roman"/>
                <w:szCs w:val="21"/>
              </w:rPr>
              <w:t>评分因素与权重分值</w:t>
            </w:r>
          </w:p>
        </w:tc>
        <w:tc>
          <w:tcPr>
            <w:tcW w:w="5845" w:type="dxa"/>
            <w:gridSpan w:val="2"/>
            <w:vMerge w:val="restart"/>
            <w:vAlign w:val="center"/>
          </w:tcPr>
          <w:p>
            <w:pPr>
              <w:pStyle w:val="5"/>
              <w:spacing w:line="160" w:lineRule="atLeast"/>
              <w:jc w:val="center"/>
              <w:rPr>
                <w:rFonts w:ascii="Times New Roman" w:hAnsi="Times New Roman"/>
                <w:szCs w:val="21"/>
              </w:rPr>
            </w:pPr>
            <w:r>
              <w:rPr>
                <w:rFonts w:ascii="Times New Roman" w:hAnsi="Times New Roman"/>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条款号</w:t>
            </w:r>
          </w:p>
        </w:tc>
        <w:tc>
          <w:tcPr>
            <w:tcW w:w="741" w:type="dxa"/>
            <w:tcBorders>
              <w:top w:val="single" w:color="auto" w:sz="4" w:space="0"/>
              <w:left w:val="single" w:color="auto" w:sz="4" w:space="0"/>
              <w:bottom w:val="single" w:color="auto" w:sz="4" w:space="0"/>
              <w:right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评分因素</w:t>
            </w:r>
          </w:p>
        </w:tc>
        <w:tc>
          <w:tcPr>
            <w:tcW w:w="624" w:type="dxa"/>
            <w:tcBorders>
              <w:top w:val="single" w:color="auto" w:sz="4" w:space="0"/>
              <w:left w:val="single" w:color="auto" w:sz="4" w:space="0"/>
              <w:bottom w:val="single" w:color="auto" w:sz="4" w:space="0"/>
              <w:right w:val="single" w:color="auto" w:sz="4" w:space="0"/>
            </w:tcBorders>
            <w:vAlign w:val="center"/>
          </w:tcPr>
          <w:p>
            <w:pPr>
              <w:pStyle w:val="5"/>
              <w:spacing w:line="160" w:lineRule="atLeast"/>
              <w:ind w:left="-53" w:leftChars="-19" w:right="-42" w:rightChars="-15" w:firstLine="1"/>
              <w:jc w:val="center"/>
              <w:rPr>
                <w:rFonts w:ascii="Times New Roman" w:hAnsi="Times New Roman"/>
                <w:szCs w:val="21"/>
              </w:rPr>
            </w:pPr>
            <w:r>
              <w:rPr>
                <w:rFonts w:ascii="Times New Roman" w:hAnsi="Times New Roman"/>
                <w:szCs w:val="21"/>
              </w:rPr>
              <w:t>评分因素 权重分值</w:t>
            </w:r>
          </w:p>
        </w:tc>
        <w:tc>
          <w:tcPr>
            <w:tcW w:w="1134" w:type="dxa"/>
            <w:tcBorders>
              <w:top w:val="single" w:color="auto" w:sz="4" w:space="0"/>
              <w:left w:val="single" w:color="auto" w:sz="4" w:space="0"/>
              <w:bottom w:val="single" w:color="auto" w:sz="4" w:space="0"/>
              <w:right w:val="single" w:color="auto" w:sz="4" w:space="0"/>
            </w:tcBorders>
            <w:vAlign w:val="center"/>
          </w:tcPr>
          <w:p>
            <w:pPr>
              <w:pStyle w:val="5"/>
              <w:spacing w:line="160" w:lineRule="atLeast"/>
              <w:jc w:val="center"/>
              <w:rPr>
                <w:rFonts w:ascii="Times New Roman" w:hAnsi="Times New Roman"/>
                <w:szCs w:val="21"/>
              </w:rPr>
            </w:pPr>
            <w:r>
              <w:rPr>
                <w:rStyle w:val="12"/>
                <w:rFonts w:ascii="Times New Roman" w:hAnsi="Times New Roman"/>
              </w:rPr>
              <w:t>各评分因素细分项</w:t>
            </w:r>
          </w:p>
        </w:tc>
        <w:tc>
          <w:tcPr>
            <w:tcW w:w="567" w:type="dxa"/>
            <w:tcBorders>
              <w:left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分值</w:t>
            </w:r>
          </w:p>
        </w:tc>
        <w:tc>
          <w:tcPr>
            <w:tcW w:w="5845" w:type="dxa"/>
            <w:gridSpan w:val="2"/>
            <w:vMerge w:val="continue"/>
            <w:vAlign w:val="center"/>
          </w:tcPr>
          <w:p>
            <w:pPr>
              <w:pStyle w:val="5"/>
              <w:spacing w:line="160" w:lineRule="atLeas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41" w:type="dxa"/>
            <w:vMerge w:val="restart"/>
            <w:tcBorders>
              <w:top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2.2.4（1）</w:t>
            </w:r>
          </w:p>
        </w:tc>
        <w:tc>
          <w:tcPr>
            <w:tcW w:w="741" w:type="dxa"/>
            <w:vMerge w:val="restart"/>
            <w:tcBorders>
              <w:top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技术建议书</w:t>
            </w:r>
          </w:p>
        </w:tc>
        <w:tc>
          <w:tcPr>
            <w:tcW w:w="624" w:type="dxa"/>
            <w:vMerge w:val="restart"/>
            <w:tcBorders>
              <w:top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45分</w:t>
            </w:r>
          </w:p>
        </w:tc>
        <w:tc>
          <w:tcPr>
            <w:tcW w:w="1134" w:type="dxa"/>
            <w:vMerge w:val="restart"/>
            <w:tcBorders>
              <w:top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对招标项目的理解和总体设计思路</w:t>
            </w:r>
          </w:p>
        </w:tc>
        <w:tc>
          <w:tcPr>
            <w:tcW w:w="567" w:type="dxa"/>
            <w:vMerge w:val="restart"/>
            <w:vAlign w:val="center"/>
          </w:tcPr>
          <w:p>
            <w:pPr>
              <w:pStyle w:val="5"/>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24</w:t>
            </w:r>
          </w:p>
          <w:p>
            <w:pPr>
              <w:pStyle w:val="5"/>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分</w:t>
            </w:r>
          </w:p>
        </w:tc>
        <w:tc>
          <w:tcPr>
            <w:tcW w:w="992" w:type="dxa"/>
            <w:vMerge w:val="restart"/>
            <w:vAlign w:val="center"/>
          </w:tcPr>
          <w:p>
            <w:pPr>
              <w:pStyle w:val="5"/>
              <w:spacing w:line="300" w:lineRule="exact"/>
              <w:jc w:val="center"/>
              <w:rPr>
                <w:rFonts w:ascii="Times New Roman" w:hAnsi="Times New Roman"/>
                <w:szCs w:val="21"/>
              </w:rPr>
            </w:pPr>
            <w:r>
              <w:rPr>
                <w:rFonts w:ascii="Times New Roman" w:hAnsi="Times New Roman"/>
                <w:szCs w:val="21"/>
              </w:rPr>
              <w:t>对招标项目的理解</w:t>
            </w:r>
          </w:p>
          <w:p>
            <w:pPr>
              <w:pStyle w:val="5"/>
              <w:spacing w:line="300" w:lineRule="exact"/>
              <w:jc w:val="center"/>
              <w:rPr>
                <w:rFonts w:ascii="Times New Roman" w:hAnsi="Times New Roman"/>
                <w:szCs w:val="21"/>
              </w:rPr>
            </w:pPr>
            <w:r>
              <w:rPr>
                <w:rFonts w:ascii="Times New Roman" w:hAnsi="Times New Roman"/>
                <w:szCs w:val="21"/>
              </w:rPr>
              <w:t>(14分)</w:t>
            </w:r>
          </w:p>
        </w:tc>
        <w:tc>
          <w:tcPr>
            <w:tcW w:w="4853" w:type="dxa"/>
            <w:vAlign w:val="center"/>
          </w:tcPr>
          <w:p>
            <w:pPr>
              <w:pStyle w:val="5"/>
              <w:jc w:val="left"/>
              <w:rPr>
                <w:rFonts w:ascii="Times New Roman" w:hAnsi="Times New Roman"/>
                <w:szCs w:val="21"/>
              </w:rPr>
            </w:pPr>
            <w:r>
              <w:rPr>
                <w:rFonts w:ascii="Times New Roman" w:hAnsi="Times New Roman"/>
                <w:szCs w:val="21"/>
              </w:rPr>
              <w:t>对本项目建设目标、建设规模、相关标准、主要工作内容、工期承诺等阐述基本全面，得8.4分；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vMerge w:val="continue"/>
            <w:vAlign w:val="center"/>
          </w:tcPr>
          <w:p>
            <w:pPr>
              <w:pStyle w:val="5"/>
              <w:spacing w:line="160" w:lineRule="atLeast"/>
              <w:jc w:val="center"/>
              <w:rPr>
                <w:rFonts w:ascii="Times New Roman" w:hAnsi="Times New Roman"/>
                <w:szCs w:val="21"/>
              </w:rPr>
            </w:pPr>
          </w:p>
        </w:tc>
        <w:tc>
          <w:tcPr>
            <w:tcW w:w="741" w:type="dxa"/>
            <w:vMerge w:val="continue"/>
            <w:vAlign w:val="center"/>
          </w:tcPr>
          <w:p>
            <w:pPr>
              <w:pStyle w:val="5"/>
              <w:spacing w:line="160" w:lineRule="atLeast"/>
              <w:jc w:val="center"/>
              <w:rPr>
                <w:rFonts w:ascii="Times New Roman" w:hAnsi="Times New Roman"/>
                <w:szCs w:val="21"/>
              </w:rPr>
            </w:pPr>
          </w:p>
        </w:tc>
        <w:tc>
          <w:tcPr>
            <w:tcW w:w="624" w:type="dxa"/>
            <w:vMerge w:val="continue"/>
            <w:vAlign w:val="center"/>
          </w:tcPr>
          <w:p>
            <w:pPr>
              <w:pStyle w:val="5"/>
              <w:spacing w:line="160" w:lineRule="atLeast"/>
              <w:jc w:val="center"/>
              <w:rPr>
                <w:rFonts w:ascii="Times New Roman" w:hAnsi="Times New Roman"/>
                <w:szCs w:val="21"/>
              </w:rPr>
            </w:pPr>
          </w:p>
        </w:tc>
        <w:tc>
          <w:tcPr>
            <w:tcW w:w="1134" w:type="dxa"/>
            <w:vMerge w:val="continue"/>
            <w:vAlign w:val="center"/>
          </w:tcPr>
          <w:p>
            <w:pPr>
              <w:pStyle w:val="5"/>
              <w:spacing w:line="160" w:lineRule="atLeast"/>
              <w:jc w:val="center"/>
              <w:rPr>
                <w:rFonts w:ascii="Times New Roman" w:hAnsi="Times New Roman"/>
                <w:szCs w:val="21"/>
              </w:rPr>
            </w:pPr>
          </w:p>
        </w:tc>
        <w:tc>
          <w:tcPr>
            <w:tcW w:w="567" w:type="dxa"/>
            <w:vMerge w:val="continue"/>
            <w:vAlign w:val="center"/>
          </w:tcPr>
          <w:p>
            <w:pPr>
              <w:pStyle w:val="5"/>
              <w:spacing w:line="160" w:lineRule="atLeast"/>
              <w:ind w:leftChars="-48" w:right="-42" w:rightChars="-15" w:hanging="134" w:hangingChars="64"/>
              <w:jc w:val="center"/>
              <w:rPr>
                <w:rFonts w:ascii="Times New Roman" w:hAnsi="Times New Roman"/>
                <w:szCs w:val="21"/>
              </w:rPr>
            </w:pPr>
          </w:p>
        </w:tc>
        <w:tc>
          <w:tcPr>
            <w:tcW w:w="992" w:type="dxa"/>
            <w:vMerge w:val="continue"/>
            <w:vAlign w:val="center"/>
          </w:tcPr>
          <w:p>
            <w:pPr>
              <w:pStyle w:val="5"/>
              <w:spacing w:line="300" w:lineRule="exact"/>
              <w:jc w:val="center"/>
              <w:rPr>
                <w:rFonts w:ascii="Times New Roman" w:hAnsi="Times New Roman"/>
                <w:szCs w:val="21"/>
              </w:rPr>
            </w:pPr>
          </w:p>
        </w:tc>
        <w:tc>
          <w:tcPr>
            <w:tcW w:w="4853" w:type="dxa"/>
            <w:vAlign w:val="center"/>
          </w:tcPr>
          <w:p>
            <w:pPr>
              <w:pStyle w:val="5"/>
              <w:jc w:val="left"/>
              <w:rPr>
                <w:rFonts w:ascii="Times New Roman" w:hAnsi="Times New Roman"/>
                <w:spacing w:val="-4"/>
                <w:szCs w:val="21"/>
              </w:rPr>
            </w:pPr>
            <w:r>
              <w:rPr>
                <w:rFonts w:ascii="Times New Roman" w:hAnsi="Times New Roman"/>
                <w:szCs w:val="21"/>
              </w:rPr>
              <w:t>对本项目建设目标、建设规模、相关标准、</w:t>
            </w:r>
            <w:r>
              <w:rPr>
                <w:rFonts w:ascii="Times New Roman" w:hAnsi="Times New Roman"/>
                <w:spacing w:val="-4"/>
                <w:szCs w:val="21"/>
              </w:rPr>
              <w:t>主要工作内容、工期承诺等阐述全面，无漏项，得8.4-11.2分；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5"/>
              <w:spacing w:line="160" w:lineRule="atLeast"/>
              <w:jc w:val="center"/>
              <w:rPr>
                <w:rFonts w:ascii="Times New Roman" w:hAnsi="Times New Roman"/>
                <w:szCs w:val="21"/>
              </w:rPr>
            </w:pPr>
          </w:p>
        </w:tc>
        <w:tc>
          <w:tcPr>
            <w:tcW w:w="741" w:type="dxa"/>
            <w:vMerge w:val="continue"/>
            <w:vAlign w:val="center"/>
          </w:tcPr>
          <w:p>
            <w:pPr>
              <w:pStyle w:val="5"/>
              <w:spacing w:line="160" w:lineRule="atLeast"/>
              <w:jc w:val="center"/>
              <w:rPr>
                <w:rFonts w:ascii="Times New Roman" w:hAnsi="Times New Roman"/>
                <w:szCs w:val="21"/>
              </w:rPr>
            </w:pPr>
          </w:p>
        </w:tc>
        <w:tc>
          <w:tcPr>
            <w:tcW w:w="624" w:type="dxa"/>
            <w:vMerge w:val="continue"/>
            <w:vAlign w:val="center"/>
          </w:tcPr>
          <w:p>
            <w:pPr>
              <w:pStyle w:val="5"/>
              <w:spacing w:line="160" w:lineRule="atLeast"/>
              <w:jc w:val="center"/>
              <w:rPr>
                <w:rFonts w:ascii="Times New Roman" w:hAnsi="Times New Roman"/>
                <w:szCs w:val="21"/>
              </w:rPr>
            </w:pPr>
          </w:p>
        </w:tc>
        <w:tc>
          <w:tcPr>
            <w:tcW w:w="1134" w:type="dxa"/>
            <w:vMerge w:val="continue"/>
            <w:vAlign w:val="center"/>
          </w:tcPr>
          <w:p>
            <w:pPr>
              <w:pStyle w:val="5"/>
              <w:spacing w:line="160" w:lineRule="atLeast"/>
              <w:jc w:val="center"/>
              <w:rPr>
                <w:rFonts w:ascii="Times New Roman" w:hAnsi="Times New Roman"/>
                <w:szCs w:val="21"/>
              </w:rPr>
            </w:pPr>
          </w:p>
        </w:tc>
        <w:tc>
          <w:tcPr>
            <w:tcW w:w="567" w:type="dxa"/>
            <w:vMerge w:val="continue"/>
            <w:vAlign w:val="center"/>
          </w:tcPr>
          <w:p>
            <w:pPr>
              <w:pStyle w:val="5"/>
              <w:spacing w:line="160" w:lineRule="atLeast"/>
              <w:ind w:leftChars="-48" w:right="-42" w:rightChars="-15" w:hanging="134" w:hangingChars="64"/>
              <w:jc w:val="center"/>
              <w:rPr>
                <w:rFonts w:ascii="Times New Roman" w:hAnsi="Times New Roman"/>
                <w:szCs w:val="21"/>
              </w:rPr>
            </w:pPr>
          </w:p>
        </w:tc>
        <w:tc>
          <w:tcPr>
            <w:tcW w:w="992" w:type="dxa"/>
            <w:vMerge w:val="continue"/>
            <w:vAlign w:val="center"/>
          </w:tcPr>
          <w:p>
            <w:pPr>
              <w:pStyle w:val="5"/>
              <w:spacing w:line="300" w:lineRule="exact"/>
              <w:jc w:val="center"/>
              <w:rPr>
                <w:rFonts w:ascii="Times New Roman" w:hAnsi="Times New Roman"/>
                <w:szCs w:val="21"/>
              </w:rPr>
            </w:pPr>
          </w:p>
        </w:tc>
        <w:tc>
          <w:tcPr>
            <w:tcW w:w="4853" w:type="dxa"/>
            <w:vAlign w:val="center"/>
          </w:tcPr>
          <w:p>
            <w:pPr>
              <w:pStyle w:val="5"/>
              <w:jc w:val="left"/>
              <w:rPr>
                <w:rFonts w:ascii="Times New Roman" w:hAnsi="Times New Roman"/>
                <w:szCs w:val="21"/>
              </w:rPr>
            </w:pPr>
            <w:r>
              <w:rPr>
                <w:rFonts w:ascii="Times New Roman" w:hAnsi="Times New Roman"/>
                <w:szCs w:val="21"/>
              </w:rPr>
              <w:t>对本项目建设目标、建设规模、相关标准、主要工作内容、工期承诺等阐述全面、合理，符合项目要求，得11.2－14分。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continue"/>
            <w:vAlign w:val="center"/>
          </w:tcPr>
          <w:p>
            <w:pPr>
              <w:pStyle w:val="5"/>
              <w:spacing w:line="160" w:lineRule="atLeast"/>
              <w:jc w:val="center"/>
              <w:rPr>
                <w:rFonts w:ascii="Times New Roman" w:hAnsi="Times New Roman"/>
                <w:szCs w:val="21"/>
              </w:rPr>
            </w:pPr>
          </w:p>
        </w:tc>
        <w:tc>
          <w:tcPr>
            <w:tcW w:w="741" w:type="dxa"/>
            <w:vMerge w:val="continue"/>
            <w:vAlign w:val="center"/>
          </w:tcPr>
          <w:p>
            <w:pPr>
              <w:pStyle w:val="5"/>
              <w:spacing w:line="160" w:lineRule="atLeast"/>
              <w:jc w:val="center"/>
              <w:rPr>
                <w:rFonts w:ascii="Times New Roman" w:hAnsi="Times New Roman"/>
                <w:szCs w:val="21"/>
              </w:rPr>
            </w:pPr>
          </w:p>
        </w:tc>
        <w:tc>
          <w:tcPr>
            <w:tcW w:w="624" w:type="dxa"/>
            <w:vMerge w:val="continue"/>
            <w:vAlign w:val="center"/>
          </w:tcPr>
          <w:p>
            <w:pPr>
              <w:pStyle w:val="5"/>
              <w:spacing w:line="160" w:lineRule="atLeast"/>
              <w:jc w:val="center"/>
              <w:rPr>
                <w:rFonts w:ascii="Times New Roman" w:hAnsi="Times New Roman"/>
                <w:szCs w:val="21"/>
              </w:rPr>
            </w:pPr>
          </w:p>
        </w:tc>
        <w:tc>
          <w:tcPr>
            <w:tcW w:w="1134" w:type="dxa"/>
            <w:vMerge w:val="continue"/>
            <w:vAlign w:val="center"/>
          </w:tcPr>
          <w:p>
            <w:pPr>
              <w:pStyle w:val="5"/>
              <w:spacing w:line="160" w:lineRule="atLeast"/>
              <w:jc w:val="center"/>
              <w:rPr>
                <w:rFonts w:ascii="Times New Roman" w:hAnsi="Times New Roman"/>
                <w:szCs w:val="21"/>
              </w:rPr>
            </w:pPr>
          </w:p>
        </w:tc>
        <w:tc>
          <w:tcPr>
            <w:tcW w:w="567" w:type="dxa"/>
            <w:vMerge w:val="continue"/>
            <w:vAlign w:val="center"/>
          </w:tcPr>
          <w:p>
            <w:pPr>
              <w:pStyle w:val="5"/>
              <w:spacing w:line="160" w:lineRule="atLeast"/>
              <w:ind w:leftChars="-48" w:right="-42" w:rightChars="-15" w:hanging="134" w:hangingChars="64"/>
              <w:jc w:val="center"/>
              <w:rPr>
                <w:rFonts w:ascii="Times New Roman" w:hAnsi="Times New Roman"/>
                <w:szCs w:val="21"/>
              </w:rPr>
            </w:pPr>
          </w:p>
        </w:tc>
        <w:tc>
          <w:tcPr>
            <w:tcW w:w="992" w:type="dxa"/>
            <w:vMerge w:val="restart"/>
            <w:vAlign w:val="center"/>
          </w:tcPr>
          <w:p>
            <w:pPr>
              <w:pStyle w:val="5"/>
              <w:spacing w:line="300" w:lineRule="exact"/>
              <w:jc w:val="center"/>
              <w:rPr>
                <w:rFonts w:ascii="Times New Roman" w:hAnsi="Times New Roman"/>
                <w:szCs w:val="21"/>
              </w:rPr>
            </w:pPr>
            <w:r>
              <w:rPr>
                <w:rFonts w:ascii="Times New Roman" w:hAnsi="Times New Roman"/>
                <w:szCs w:val="21"/>
              </w:rPr>
              <w:t>总体设计思路</w:t>
            </w:r>
          </w:p>
          <w:p>
            <w:pPr>
              <w:pStyle w:val="5"/>
              <w:spacing w:line="300" w:lineRule="exact"/>
              <w:ind w:leftChars="-11" w:hanging="31" w:hangingChars="15"/>
              <w:jc w:val="center"/>
              <w:rPr>
                <w:rFonts w:ascii="Times New Roman" w:hAnsi="Times New Roman"/>
                <w:szCs w:val="21"/>
              </w:rPr>
            </w:pPr>
            <w:r>
              <w:rPr>
                <w:rFonts w:ascii="Times New Roman" w:hAnsi="Times New Roman"/>
                <w:szCs w:val="21"/>
              </w:rPr>
              <w:t>(10分)</w:t>
            </w:r>
          </w:p>
        </w:tc>
        <w:tc>
          <w:tcPr>
            <w:tcW w:w="4853" w:type="dxa"/>
            <w:vAlign w:val="center"/>
          </w:tcPr>
          <w:p>
            <w:pPr>
              <w:pStyle w:val="5"/>
              <w:jc w:val="left"/>
              <w:rPr>
                <w:rFonts w:ascii="Times New Roman" w:hAnsi="Times New Roman"/>
                <w:szCs w:val="21"/>
              </w:rPr>
            </w:pPr>
            <w:r>
              <w:rPr>
                <w:rFonts w:ascii="Times New Roman" w:hAnsi="Times New Roman"/>
                <w:szCs w:val="21"/>
              </w:rPr>
              <w:t>设计理念和思路与本项目工可设计理念、思路基本吻合，得6分；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jc w:val="center"/>
              <w:rPr>
                <w:rFonts w:ascii="Times New Roman" w:hAnsi="Times New Roman"/>
                <w:szCs w:val="21"/>
              </w:rPr>
            </w:pPr>
          </w:p>
        </w:tc>
        <w:tc>
          <w:tcPr>
            <w:tcW w:w="624" w:type="dxa"/>
            <w:vMerge w:val="continue"/>
          </w:tcPr>
          <w:p>
            <w:pPr>
              <w:pStyle w:val="5"/>
              <w:spacing w:line="160" w:lineRule="atLeast"/>
              <w:jc w:val="center"/>
              <w:rPr>
                <w:rFonts w:ascii="Times New Roman" w:hAnsi="Times New Roman"/>
                <w:szCs w:val="21"/>
              </w:rPr>
            </w:pPr>
          </w:p>
        </w:tc>
        <w:tc>
          <w:tcPr>
            <w:tcW w:w="1134" w:type="dxa"/>
            <w:vMerge w:val="continue"/>
          </w:tcPr>
          <w:p>
            <w:pPr>
              <w:pStyle w:val="5"/>
              <w:spacing w:line="160" w:lineRule="atLeast"/>
              <w:jc w:val="center"/>
              <w:rPr>
                <w:rFonts w:ascii="Times New Roman" w:hAnsi="Times New Roman"/>
                <w:szCs w:val="21"/>
              </w:rPr>
            </w:pPr>
          </w:p>
        </w:tc>
        <w:tc>
          <w:tcPr>
            <w:tcW w:w="567" w:type="dxa"/>
            <w:vMerge w:val="continue"/>
            <w:vAlign w:val="center"/>
          </w:tcPr>
          <w:p>
            <w:pPr>
              <w:pStyle w:val="5"/>
              <w:spacing w:line="160" w:lineRule="atLeast"/>
              <w:ind w:leftChars="-48" w:right="-42" w:rightChars="-15" w:hanging="134" w:hangingChars="64"/>
              <w:jc w:val="center"/>
              <w:rPr>
                <w:rFonts w:ascii="Times New Roman" w:hAnsi="Times New Roman"/>
                <w:szCs w:val="21"/>
              </w:rPr>
            </w:pPr>
          </w:p>
        </w:tc>
        <w:tc>
          <w:tcPr>
            <w:tcW w:w="992" w:type="dxa"/>
            <w:vMerge w:val="continue"/>
            <w:vAlign w:val="center"/>
          </w:tcPr>
          <w:p>
            <w:pPr>
              <w:pStyle w:val="5"/>
              <w:spacing w:line="300" w:lineRule="exact"/>
              <w:jc w:val="left"/>
              <w:rPr>
                <w:rFonts w:ascii="Times New Roman" w:hAnsi="Times New Roman"/>
                <w:szCs w:val="21"/>
              </w:rPr>
            </w:pPr>
          </w:p>
        </w:tc>
        <w:tc>
          <w:tcPr>
            <w:tcW w:w="4853" w:type="dxa"/>
            <w:vAlign w:val="center"/>
          </w:tcPr>
          <w:p>
            <w:pPr>
              <w:pStyle w:val="5"/>
              <w:jc w:val="left"/>
              <w:rPr>
                <w:rFonts w:ascii="Times New Roman" w:hAnsi="Times New Roman"/>
                <w:szCs w:val="21"/>
              </w:rPr>
            </w:pPr>
            <w:r>
              <w:rPr>
                <w:rFonts w:ascii="Times New Roman" w:hAnsi="Times New Roman"/>
                <w:szCs w:val="21"/>
              </w:rPr>
              <w:t>设计理念和思路与本项目工可设计理念、思路吻合，采取了部分优化措施，得6-8分；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jc w:val="center"/>
              <w:rPr>
                <w:rFonts w:ascii="Times New Roman" w:hAnsi="Times New Roman"/>
                <w:szCs w:val="21"/>
              </w:rPr>
            </w:pPr>
          </w:p>
        </w:tc>
        <w:tc>
          <w:tcPr>
            <w:tcW w:w="624" w:type="dxa"/>
            <w:vMerge w:val="continue"/>
          </w:tcPr>
          <w:p>
            <w:pPr>
              <w:pStyle w:val="5"/>
              <w:spacing w:line="160" w:lineRule="atLeast"/>
              <w:jc w:val="center"/>
              <w:rPr>
                <w:rFonts w:ascii="Times New Roman" w:hAnsi="Times New Roman"/>
                <w:szCs w:val="21"/>
              </w:rPr>
            </w:pPr>
          </w:p>
        </w:tc>
        <w:tc>
          <w:tcPr>
            <w:tcW w:w="1134" w:type="dxa"/>
            <w:vMerge w:val="continue"/>
          </w:tcPr>
          <w:p>
            <w:pPr>
              <w:pStyle w:val="5"/>
              <w:spacing w:line="160" w:lineRule="atLeast"/>
              <w:jc w:val="center"/>
              <w:rPr>
                <w:rFonts w:ascii="Times New Roman" w:hAnsi="Times New Roman"/>
                <w:szCs w:val="21"/>
              </w:rPr>
            </w:pPr>
          </w:p>
        </w:tc>
        <w:tc>
          <w:tcPr>
            <w:tcW w:w="567" w:type="dxa"/>
            <w:vMerge w:val="continue"/>
            <w:vAlign w:val="center"/>
          </w:tcPr>
          <w:p>
            <w:pPr>
              <w:pStyle w:val="5"/>
              <w:spacing w:line="160" w:lineRule="atLeast"/>
              <w:ind w:leftChars="-48" w:right="-42" w:rightChars="-15" w:hanging="134" w:hangingChars="64"/>
              <w:jc w:val="center"/>
              <w:rPr>
                <w:rFonts w:ascii="Times New Roman" w:hAnsi="Times New Roman"/>
                <w:szCs w:val="21"/>
              </w:rPr>
            </w:pPr>
          </w:p>
        </w:tc>
        <w:tc>
          <w:tcPr>
            <w:tcW w:w="992" w:type="dxa"/>
            <w:vMerge w:val="continue"/>
            <w:vAlign w:val="center"/>
          </w:tcPr>
          <w:p>
            <w:pPr>
              <w:pStyle w:val="5"/>
              <w:spacing w:line="300" w:lineRule="exact"/>
              <w:jc w:val="left"/>
              <w:rPr>
                <w:rFonts w:ascii="Times New Roman" w:hAnsi="Times New Roman"/>
                <w:szCs w:val="21"/>
              </w:rPr>
            </w:pPr>
          </w:p>
        </w:tc>
        <w:tc>
          <w:tcPr>
            <w:tcW w:w="4853" w:type="dxa"/>
            <w:vAlign w:val="center"/>
          </w:tcPr>
          <w:p>
            <w:pPr>
              <w:pStyle w:val="5"/>
              <w:jc w:val="left"/>
              <w:rPr>
                <w:rFonts w:ascii="Times New Roman" w:hAnsi="Times New Roman"/>
                <w:szCs w:val="21"/>
              </w:rPr>
            </w:pPr>
            <w:r>
              <w:rPr>
                <w:rFonts w:ascii="Times New Roman" w:hAnsi="Times New Roman"/>
                <w:szCs w:val="21"/>
              </w:rPr>
              <w:t>设计理念和思路与本项目的工可设计理念、思路高度吻合，进行了充分的阐述和优化并适合本项目，得8-10分。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vAlign w:val="center"/>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jc w:val="center"/>
              <w:rPr>
                <w:rFonts w:ascii="Times New Roman" w:hAnsi="Times New Roman"/>
                <w:szCs w:val="21"/>
              </w:rPr>
            </w:pPr>
          </w:p>
        </w:tc>
        <w:tc>
          <w:tcPr>
            <w:tcW w:w="624" w:type="dxa"/>
            <w:vMerge w:val="continue"/>
            <w:vAlign w:val="center"/>
          </w:tcPr>
          <w:p>
            <w:pPr>
              <w:pStyle w:val="5"/>
              <w:spacing w:line="160" w:lineRule="atLeast"/>
              <w:jc w:val="center"/>
              <w:rPr>
                <w:rFonts w:ascii="Times New Roman" w:hAnsi="Times New Roman"/>
                <w:szCs w:val="21"/>
              </w:rPr>
            </w:pPr>
          </w:p>
        </w:tc>
        <w:tc>
          <w:tcPr>
            <w:tcW w:w="1134" w:type="dxa"/>
            <w:vMerge w:val="restart"/>
          </w:tcPr>
          <w:p>
            <w:pPr>
              <w:pStyle w:val="5"/>
              <w:spacing w:line="160" w:lineRule="atLeast"/>
              <w:jc w:val="center"/>
              <w:rPr>
                <w:rFonts w:ascii="Times New Roman" w:hAnsi="Times New Roman"/>
                <w:szCs w:val="21"/>
              </w:rPr>
            </w:pPr>
            <w:r>
              <w:rPr>
                <w:rFonts w:ascii="Times New Roman" w:hAnsi="Times New Roman"/>
                <w:szCs w:val="21"/>
              </w:rPr>
              <w:t>招标项目设计的特点、关键技术问题的认识及其对策措施</w:t>
            </w:r>
          </w:p>
        </w:tc>
        <w:tc>
          <w:tcPr>
            <w:tcW w:w="567" w:type="dxa"/>
            <w:vMerge w:val="restart"/>
            <w:vAlign w:val="center"/>
          </w:tcPr>
          <w:p>
            <w:pPr>
              <w:pStyle w:val="5"/>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15</w:t>
            </w:r>
          </w:p>
          <w:p>
            <w:pPr>
              <w:pStyle w:val="5"/>
              <w:spacing w:line="160" w:lineRule="atLeast"/>
              <w:ind w:leftChars="-48" w:right="-42" w:rightChars="-15" w:hanging="134" w:hangingChars="64"/>
              <w:jc w:val="center"/>
              <w:rPr>
                <w:rFonts w:ascii="Times New Roman" w:hAnsi="Times New Roman"/>
                <w:szCs w:val="21"/>
              </w:rPr>
            </w:pPr>
            <w:r>
              <w:rPr>
                <w:rFonts w:ascii="Times New Roman" w:hAnsi="Times New Roman"/>
                <w:szCs w:val="21"/>
              </w:rPr>
              <w:t>分</w:t>
            </w:r>
          </w:p>
        </w:tc>
        <w:tc>
          <w:tcPr>
            <w:tcW w:w="5845" w:type="dxa"/>
            <w:gridSpan w:val="2"/>
            <w:vAlign w:val="center"/>
          </w:tcPr>
          <w:p>
            <w:pPr>
              <w:pStyle w:val="5"/>
              <w:jc w:val="left"/>
              <w:rPr>
                <w:rFonts w:ascii="Times New Roman" w:hAnsi="Times New Roman"/>
                <w:szCs w:val="21"/>
              </w:rPr>
            </w:pPr>
            <w:r>
              <w:rPr>
                <w:rFonts w:ascii="Times New Roman" w:hAnsi="Times New Roman"/>
                <w:szCs w:val="21"/>
              </w:rPr>
              <w:t>项目设计的特点和关键技术问题的针对性一般，技术建议基本可行，得9分；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jc w:val="center"/>
              <w:rPr>
                <w:rFonts w:ascii="Times New Roman" w:hAnsi="Times New Roman"/>
                <w:szCs w:val="21"/>
              </w:rPr>
            </w:pPr>
          </w:p>
        </w:tc>
        <w:tc>
          <w:tcPr>
            <w:tcW w:w="624" w:type="dxa"/>
            <w:vMerge w:val="continue"/>
          </w:tcPr>
          <w:p>
            <w:pPr>
              <w:pStyle w:val="5"/>
              <w:spacing w:line="160" w:lineRule="atLeast"/>
              <w:jc w:val="center"/>
              <w:rPr>
                <w:rFonts w:ascii="Times New Roman" w:hAnsi="Times New Roman"/>
                <w:szCs w:val="21"/>
              </w:rPr>
            </w:pPr>
          </w:p>
        </w:tc>
        <w:tc>
          <w:tcPr>
            <w:tcW w:w="1134" w:type="dxa"/>
            <w:vMerge w:val="continue"/>
          </w:tcPr>
          <w:p>
            <w:pPr>
              <w:pStyle w:val="5"/>
              <w:spacing w:line="160" w:lineRule="atLeast"/>
              <w:jc w:val="center"/>
              <w:rPr>
                <w:rFonts w:ascii="Times New Roman" w:hAnsi="Times New Roman"/>
                <w:szCs w:val="21"/>
              </w:rPr>
            </w:pPr>
          </w:p>
        </w:tc>
        <w:tc>
          <w:tcPr>
            <w:tcW w:w="567" w:type="dxa"/>
            <w:vMerge w:val="continue"/>
            <w:vAlign w:val="center"/>
          </w:tcPr>
          <w:p>
            <w:pPr>
              <w:pStyle w:val="5"/>
              <w:spacing w:line="160" w:lineRule="atLeast"/>
              <w:jc w:val="center"/>
              <w:rPr>
                <w:rFonts w:ascii="Times New Roman" w:hAnsi="Times New Roman"/>
                <w:szCs w:val="21"/>
              </w:rPr>
            </w:pPr>
          </w:p>
        </w:tc>
        <w:tc>
          <w:tcPr>
            <w:tcW w:w="5845" w:type="dxa"/>
            <w:gridSpan w:val="2"/>
            <w:vAlign w:val="center"/>
          </w:tcPr>
          <w:p>
            <w:pPr>
              <w:pStyle w:val="5"/>
              <w:jc w:val="left"/>
              <w:rPr>
                <w:rFonts w:ascii="Times New Roman" w:hAnsi="Times New Roman"/>
                <w:szCs w:val="21"/>
              </w:rPr>
            </w:pPr>
            <w:r>
              <w:rPr>
                <w:rFonts w:ascii="Times New Roman" w:hAnsi="Times New Roman"/>
                <w:szCs w:val="21"/>
              </w:rPr>
              <w:t>项目设计的特点和关键技术问题针对性较强，技术建议可行，得9－12分；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jc w:val="center"/>
              <w:rPr>
                <w:rFonts w:ascii="Times New Roman" w:hAnsi="Times New Roman"/>
                <w:szCs w:val="21"/>
              </w:rPr>
            </w:pPr>
          </w:p>
        </w:tc>
        <w:tc>
          <w:tcPr>
            <w:tcW w:w="624" w:type="dxa"/>
            <w:vMerge w:val="continue"/>
          </w:tcPr>
          <w:p>
            <w:pPr>
              <w:pStyle w:val="5"/>
              <w:spacing w:line="160" w:lineRule="atLeast"/>
              <w:jc w:val="center"/>
              <w:rPr>
                <w:rFonts w:ascii="Times New Roman" w:hAnsi="Times New Roman"/>
                <w:szCs w:val="21"/>
              </w:rPr>
            </w:pPr>
          </w:p>
        </w:tc>
        <w:tc>
          <w:tcPr>
            <w:tcW w:w="1134" w:type="dxa"/>
            <w:vMerge w:val="continue"/>
          </w:tcPr>
          <w:p>
            <w:pPr>
              <w:pStyle w:val="5"/>
              <w:spacing w:line="160" w:lineRule="atLeast"/>
              <w:jc w:val="center"/>
              <w:rPr>
                <w:rFonts w:ascii="Times New Roman" w:hAnsi="Times New Roman"/>
                <w:szCs w:val="21"/>
              </w:rPr>
            </w:pPr>
          </w:p>
        </w:tc>
        <w:tc>
          <w:tcPr>
            <w:tcW w:w="567" w:type="dxa"/>
            <w:vMerge w:val="continue"/>
            <w:vAlign w:val="center"/>
          </w:tcPr>
          <w:p>
            <w:pPr>
              <w:pStyle w:val="5"/>
              <w:spacing w:line="160" w:lineRule="atLeast"/>
              <w:jc w:val="center"/>
              <w:rPr>
                <w:rFonts w:ascii="Times New Roman" w:hAnsi="Times New Roman"/>
                <w:szCs w:val="21"/>
              </w:rPr>
            </w:pPr>
          </w:p>
        </w:tc>
        <w:tc>
          <w:tcPr>
            <w:tcW w:w="5845" w:type="dxa"/>
            <w:gridSpan w:val="2"/>
            <w:vAlign w:val="center"/>
          </w:tcPr>
          <w:p>
            <w:pPr>
              <w:pStyle w:val="5"/>
              <w:jc w:val="left"/>
              <w:rPr>
                <w:rFonts w:ascii="Times New Roman" w:hAnsi="Times New Roman"/>
                <w:szCs w:val="21"/>
              </w:rPr>
            </w:pPr>
            <w:r>
              <w:rPr>
                <w:rFonts w:ascii="Times New Roman" w:hAnsi="Times New Roman"/>
                <w:szCs w:val="21"/>
              </w:rPr>
              <w:t>项目设计的特点针对性强，关键技术问题对策明确、合理，技术建议科学、有效、可行，得12－15分。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jc w:val="center"/>
              <w:rPr>
                <w:rFonts w:ascii="Times New Roman" w:hAnsi="Times New Roman"/>
                <w:szCs w:val="21"/>
              </w:rPr>
            </w:pPr>
          </w:p>
        </w:tc>
        <w:tc>
          <w:tcPr>
            <w:tcW w:w="624" w:type="dxa"/>
            <w:vMerge w:val="continue"/>
            <w:vAlign w:val="center"/>
          </w:tcPr>
          <w:p>
            <w:pPr>
              <w:pStyle w:val="5"/>
              <w:spacing w:line="160" w:lineRule="atLeast"/>
              <w:jc w:val="center"/>
              <w:rPr>
                <w:rFonts w:ascii="Times New Roman" w:hAnsi="Times New Roman"/>
                <w:szCs w:val="21"/>
              </w:rPr>
            </w:pPr>
          </w:p>
        </w:tc>
        <w:tc>
          <w:tcPr>
            <w:tcW w:w="1134" w:type="dxa"/>
            <w:vMerge w:val="restart"/>
            <w:vAlign w:val="center"/>
          </w:tcPr>
          <w:p>
            <w:pPr>
              <w:pStyle w:val="5"/>
              <w:spacing w:line="160" w:lineRule="atLeast"/>
              <w:ind w:right="-78" w:rightChars="-28"/>
              <w:jc w:val="center"/>
              <w:rPr>
                <w:rFonts w:ascii="Times New Roman" w:hAnsi="Times New Roman"/>
                <w:szCs w:val="21"/>
              </w:rPr>
            </w:pPr>
            <w:r>
              <w:rPr>
                <w:rFonts w:ascii="Times New Roman" w:hAnsi="Times New Roman"/>
                <w:szCs w:val="21"/>
              </w:rPr>
              <w:t>设计工作量及计划安排</w:t>
            </w:r>
          </w:p>
        </w:tc>
        <w:tc>
          <w:tcPr>
            <w:tcW w:w="567" w:type="dxa"/>
            <w:vMerge w:val="restart"/>
            <w:vAlign w:val="center"/>
          </w:tcPr>
          <w:p>
            <w:pPr>
              <w:pStyle w:val="5"/>
              <w:spacing w:line="160" w:lineRule="atLeast"/>
              <w:jc w:val="center"/>
              <w:rPr>
                <w:rFonts w:ascii="Times New Roman" w:hAnsi="Times New Roman"/>
                <w:szCs w:val="21"/>
              </w:rPr>
            </w:pPr>
            <w:r>
              <w:rPr>
                <w:rFonts w:ascii="Times New Roman" w:hAnsi="Times New Roman"/>
                <w:szCs w:val="21"/>
              </w:rPr>
              <w:t>2分</w:t>
            </w:r>
          </w:p>
        </w:tc>
        <w:tc>
          <w:tcPr>
            <w:tcW w:w="5845" w:type="dxa"/>
            <w:gridSpan w:val="2"/>
            <w:vAlign w:val="center"/>
          </w:tcPr>
          <w:p>
            <w:pPr>
              <w:pStyle w:val="5"/>
              <w:spacing w:line="300" w:lineRule="exact"/>
              <w:jc w:val="left"/>
              <w:rPr>
                <w:rFonts w:ascii="Times New Roman" w:hAnsi="Times New Roman"/>
                <w:szCs w:val="21"/>
              </w:rPr>
            </w:pPr>
            <w:r>
              <w:rPr>
                <w:rFonts w:ascii="Times New Roman" w:hAnsi="Times New Roman"/>
                <w:szCs w:val="21"/>
              </w:rPr>
              <w:t>工作量及计划安排基本合理，得1.2分；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jc w:val="center"/>
              <w:rPr>
                <w:rFonts w:ascii="Times New Roman" w:hAnsi="Times New Roman"/>
                <w:szCs w:val="21"/>
              </w:rPr>
            </w:pPr>
          </w:p>
        </w:tc>
        <w:tc>
          <w:tcPr>
            <w:tcW w:w="624" w:type="dxa"/>
            <w:vMerge w:val="continue"/>
          </w:tcPr>
          <w:p>
            <w:pPr>
              <w:pStyle w:val="5"/>
              <w:spacing w:line="160" w:lineRule="atLeast"/>
              <w:jc w:val="center"/>
              <w:rPr>
                <w:rFonts w:ascii="Times New Roman" w:hAnsi="Times New Roman"/>
                <w:szCs w:val="21"/>
              </w:rPr>
            </w:pPr>
          </w:p>
        </w:tc>
        <w:tc>
          <w:tcPr>
            <w:tcW w:w="1134" w:type="dxa"/>
            <w:vMerge w:val="continue"/>
          </w:tcPr>
          <w:p>
            <w:pPr>
              <w:pStyle w:val="5"/>
              <w:spacing w:line="160" w:lineRule="atLeast"/>
              <w:jc w:val="center"/>
              <w:rPr>
                <w:rFonts w:ascii="Times New Roman" w:hAnsi="Times New Roman"/>
                <w:szCs w:val="21"/>
              </w:rPr>
            </w:pPr>
          </w:p>
        </w:tc>
        <w:tc>
          <w:tcPr>
            <w:tcW w:w="567" w:type="dxa"/>
            <w:vMerge w:val="continue"/>
            <w:vAlign w:val="center"/>
          </w:tcPr>
          <w:p>
            <w:pPr>
              <w:pStyle w:val="5"/>
              <w:spacing w:line="160" w:lineRule="atLeast"/>
              <w:jc w:val="center"/>
              <w:rPr>
                <w:rFonts w:ascii="Times New Roman" w:hAnsi="Times New Roman"/>
                <w:szCs w:val="21"/>
              </w:rPr>
            </w:pPr>
          </w:p>
        </w:tc>
        <w:tc>
          <w:tcPr>
            <w:tcW w:w="5845" w:type="dxa"/>
            <w:gridSpan w:val="2"/>
            <w:vAlign w:val="center"/>
          </w:tcPr>
          <w:p>
            <w:pPr>
              <w:pStyle w:val="5"/>
              <w:spacing w:line="300" w:lineRule="exact"/>
              <w:jc w:val="left"/>
              <w:rPr>
                <w:rFonts w:ascii="Times New Roman" w:hAnsi="Times New Roman"/>
                <w:szCs w:val="21"/>
              </w:rPr>
            </w:pPr>
            <w:r>
              <w:rPr>
                <w:rFonts w:ascii="Times New Roman" w:hAnsi="Times New Roman"/>
                <w:szCs w:val="21"/>
              </w:rPr>
              <w:t>工作量及计划安排合理，得1.2－1.6分；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jc w:val="center"/>
              <w:rPr>
                <w:rFonts w:ascii="Times New Roman" w:hAnsi="Times New Roman"/>
                <w:szCs w:val="21"/>
              </w:rPr>
            </w:pPr>
          </w:p>
        </w:tc>
        <w:tc>
          <w:tcPr>
            <w:tcW w:w="624" w:type="dxa"/>
            <w:vMerge w:val="continue"/>
          </w:tcPr>
          <w:p>
            <w:pPr>
              <w:pStyle w:val="5"/>
              <w:spacing w:line="160" w:lineRule="atLeast"/>
              <w:jc w:val="center"/>
              <w:rPr>
                <w:rFonts w:ascii="Times New Roman" w:hAnsi="Times New Roman"/>
                <w:szCs w:val="21"/>
              </w:rPr>
            </w:pPr>
          </w:p>
        </w:tc>
        <w:tc>
          <w:tcPr>
            <w:tcW w:w="1134" w:type="dxa"/>
            <w:vMerge w:val="continue"/>
          </w:tcPr>
          <w:p>
            <w:pPr>
              <w:pStyle w:val="5"/>
              <w:spacing w:line="160" w:lineRule="atLeast"/>
              <w:jc w:val="center"/>
              <w:rPr>
                <w:rFonts w:ascii="Times New Roman" w:hAnsi="Times New Roman"/>
                <w:szCs w:val="21"/>
              </w:rPr>
            </w:pPr>
          </w:p>
        </w:tc>
        <w:tc>
          <w:tcPr>
            <w:tcW w:w="567" w:type="dxa"/>
            <w:vMerge w:val="continue"/>
            <w:vAlign w:val="center"/>
          </w:tcPr>
          <w:p>
            <w:pPr>
              <w:pStyle w:val="5"/>
              <w:spacing w:line="160" w:lineRule="atLeast"/>
              <w:jc w:val="center"/>
              <w:rPr>
                <w:rFonts w:ascii="Times New Roman" w:hAnsi="Times New Roman"/>
                <w:szCs w:val="21"/>
              </w:rPr>
            </w:pPr>
          </w:p>
        </w:tc>
        <w:tc>
          <w:tcPr>
            <w:tcW w:w="5845" w:type="dxa"/>
            <w:gridSpan w:val="2"/>
            <w:vAlign w:val="center"/>
          </w:tcPr>
          <w:p>
            <w:pPr>
              <w:pStyle w:val="5"/>
              <w:spacing w:line="300" w:lineRule="exact"/>
              <w:jc w:val="left"/>
              <w:rPr>
                <w:rFonts w:ascii="Times New Roman" w:hAnsi="Times New Roman"/>
                <w:szCs w:val="21"/>
              </w:rPr>
            </w:pPr>
            <w:r>
              <w:rPr>
                <w:rFonts w:ascii="Times New Roman" w:hAnsi="Times New Roman"/>
                <w:szCs w:val="21"/>
              </w:rPr>
              <w:t>工作量及计划安排科学，安排周密，得1.6－2分。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vAlign w:val="center"/>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jc w:val="center"/>
              <w:rPr>
                <w:rFonts w:ascii="Times New Roman" w:hAnsi="Times New Roman"/>
                <w:szCs w:val="21"/>
              </w:rPr>
            </w:pPr>
          </w:p>
        </w:tc>
        <w:tc>
          <w:tcPr>
            <w:tcW w:w="624" w:type="dxa"/>
            <w:vMerge w:val="continue"/>
            <w:vAlign w:val="center"/>
          </w:tcPr>
          <w:p>
            <w:pPr>
              <w:pStyle w:val="5"/>
              <w:spacing w:line="160" w:lineRule="atLeast"/>
              <w:jc w:val="center"/>
              <w:rPr>
                <w:rFonts w:ascii="Times New Roman" w:hAnsi="Times New Roman"/>
                <w:szCs w:val="21"/>
              </w:rPr>
            </w:pPr>
          </w:p>
        </w:tc>
        <w:tc>
          <w:tcPr>
            <w:tcW w:w="1134" w:type="dxa"/>
            <w:vMerge w:val="restart"/>
          </w:tcPr>
          <w:p>
            <w:pPr>
              <w:pStyle w:val="5"/>
              <w:spacing w:line="160" w:lineRule="atLeast"/>
              <w:jc w:val="center"/>
              <w:rPr>
                <w:rFonts w:ascii="Times New Roman" w:hAnsi="Times New Roman"/>
                <w:szCs w:val="21"/>
              </w:rPr>
            </w:pPr>
            <w:r>
              <w:rPr>
                <w:rFonts w:ascii="Times New Roman" w:hAnsi="Times New Roman"/>
                <w:szCs w:val="21"/>
              </w:rPr>
              <w:t>设计的质量保证措施、进度保证措施、安全保证措施</w:t>
            </w:r>
          </w:p>
        </w:tc>
        <w:tc>
          <w:tcPr>
            <w:tcW w:w="567" w:type="dxa"/>
            <w:vMerge w:val="restart"/>
            <w:vAlign w:val="center"/>
          </w:tcPr>
          <w:p>
            <w:pPr>
              <w:pStyle w:val="5"/>
              <w:spacing w:line="160" w:lineRule="atLeast"/>
              <w:jc w:val="center"/>
              <w:rPr>
                <w:rFonts w:ascii="Times New Roman" w:hAnsi="Times New Roman"/>
                <w:szCs w:val="21"/>
              </w:rPr>
            </w:pPr>
            <w:r>
              <w:rPr>
                <w:rFonts w:ascii="Times New Roman" w:hAnsi="Times New Roman"/>
                <w:szCs w:val="21"/>
              </w:rPr>
              <w:t>2分</w:t>
            </w:r>
          </w:p>
        </w:tc>
        <w:tc>
          <w:tcPr>
            <w:tcW w:w="5845" w:type="dxa"/>
            <w:gridSpan w:val="2"/>
            <w:vAlign w:val="center"/>
          </w:tcPr>
          <w:p>
            <w:pPr>
              <w:pStyle w:val="5"/>
              <w:spacing w:line="300" w:lineRule="exact"/>
              <w:jc w:val="left"/>
              <w:rPr>
                <w:rFonts w:ascii="Times New Roman" w:hAnsi="Times New Roman"/>
                <w:szCs w:val="21"/>
              </w:rPr>
            </w:pPr>
            <w:r>
              <w:rPr>
                <w:rFonts w:ascii="Times New Roman" w:hAnsi="Times New Roman"/>
                <w:szCs w:val="21"/>
              </w:rPr>
              <w:t>质量、进度及安全保证措施不够具体，可实施性一般，得1.2分；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jc w:val="center"/>
              <w:rPr>
                <w:rFonts w:ascii="Times New Roman" w:hAnsi="Times New Roman"/>
                <w:szCs w:val="21"/>
              </w:rPr>
            </w:pPr>
          </w:p>
        </w:tc>
        <w:tc>
          <w:tcPr>
            <w:tcW w:w="624" w:type="dxa"/>
            <w:vMerge w:val="continue"/>
          </w:tcPr>
          <w:p>
            <w:pPr>
              <w:pStyle w:val="5"/>
              <w:spacing w:line="160" w:lineRule="atLeast"/>
              <w:jc w:val="center"/>
              <w:rPr>
                <w:rFonts w:ascii="Times New Roman" w:hAnsi="Times New Roman"/>
                <w:szCs w:val="21"/>
              </w:rPr>
            </w:pPr>
          </w:p>
        </w:tc>
        <w:tc>
          <w:tcPr>
            <w:tcW w:w="1134" w:type="dxa"/>
            <w:vMerge w:val="continue"/>
          </w:tcPr>
          <w:p>
            <w:pPr>
              <w:pStyle w:val="5"/>
              <w:spacing w:line="160" w:lineRule="atLeast"/>
              <w:jc w:val="center"/>
              <w:rPr>
                <w:rFonts w:ascii="Times New Roman" w:hAnsi="Times New Roman"/>
                <w:szCs w:val="21"/>
              </w:rPr>
            </w:pPr>
          </w:p>
        </w:tc>
        <w:tc>
          <w:tcPr>
            <w:tcW w:w="567" w:type="dxa"/>
            <w:vMerge w:val="continue"/>
            <w:vAlign w:val="center"/>
          </w:tcPr>
          <w:p>
            <w:pPr>
              <w:pStyle w:val="5"/>
              <w:spacing w:line="160" w:lineRule="atLeast"/>
              <w:jc w:val="center"/>
              <w:rPr>
                <w:rFonts w:ascii="Times New Roman" w:hAnsi="Times New Roman"/>
                <w:szCs w:val="21"/>
              </w:rPr>
            </w:pPr>
          </w:p>
        </w:tc>
        <w:tc>
          <w:tcPr>
            <w:tcW w:w="5845" w:type="dxa"/>
            <w:gridSpan w:val="2"/>
            <w:vAlign w:val="center"/>
          </w:tcPr>
          <w:p>
            <w:pPr>
              <w:pStyle w:val="5"/>
              <w:spacing w:line="300" w:lineRule="exact"/>
              <w:jc w:val="left"/>
              <w:rPr>
                <w:rFonts w:ascii="Times New Roman" w:hAnsi="Times New Roman"/>
                <w:szCs w:val="21"/>
              </w:rPr>
            </w:pPr>
            <w:r>
              <w:rPr>
                <w:rFonts w:ascii="Times New Roman" w:hAnsi="Times New Roman"/>
                <w:szCs w:val="21"/>
              </w:rPr>
              <w:t>质量、进度及安全保证措施较具体，可实施性较强，得1.2－1.6分；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jc w:val="center"/>
              <w:rPr>
                <w:rFonts w:ascii="Times New Roman" w:hAnsi="Times New Roman"/>
                <w:szCs w:val="21"/>
              </w:rPr>
            </w:pPr>
          </w:p>
        </w:tc>
        <w:tc>
          <w:tcPr>
            <w:tcW w:w="624" w:type="dxa"/>
            <w:vMerge w:val="continue"/>
          </w:tcPr>
          <w:p>
            <w:pPr>
              <w:pStyle w:val="5"/>
              <w:spacing w:line="160" w:lineRule="atLeast"/>
              <w:jc w:val="center"/>
              <w:rPr>
                <w:rFonts w:ascii="Times New Roman" w:hAnsi="Times New Roman"/>
                <w:szCs w:val="21"/>
              </w:rPr>
            </w:pPr>
          </w:p>
        </w:tc>
        <w:tc>
          <w:tcPr>
            <w:tcW w:w="1134" w:type="dxa"/>
            <w:vMerge w:val="continue"/>
          </w:tcPr>
          <w:p>
            <w:pPr>
              <w:pStyle w:val="5"/>
              <w:spacing w:line="160" w:lineRule="atLeast"/>
              <w:jc w:val="center"/>
              <w:rPr>
                <w:rFonts w:ascii="Times New Roman" w:hAnsi="Times New Roman"/>
                <w:szCs w:val="21"/>
              </w:rPr>
            </w:pPr>
          </w:p>
        </w:tc>
        <w:tc>
          <w:tcPr>
            <w:tcW w:w="567" w:type="dxa"/>
            <w:vMerge w:val="continue"/>
            <w:vAlign w:val="center"/>
          </w:tcPr>
          <w:p>
            <w:pPr>
              <w:pStyle w:val="5"/>
              <w:spacing w:line="160" w:lineRule="atLeast"/>
              <w:jc w:val="center"/>
              <w:rPr>
                <w:rFonts w:ascii="Times New Roman" w:hAnsi="Times New Roman"/>
                <w:szCs w:val="21"/>
              </w:rPr>
            </w:pPr>
          </w:p>
        </w:tc>
        <w:tc>
          <w:tcPr>
            <w:tcW w:w="5845" w:type="dxa"/>
            <w:gridSpan w:val="2"/>
            <w:vAlign w:val="center"/>
          </w:tcPr>
          <w:p>
            <w:pPr>
              <w:pStyle w:val="5"/>
              <w:spacing w:line="300" w:lineRule="exact"/>
              <w:jc w:val="left"/>
              <w:rPr>
                <w:rFonts w:ascii="Times New Roman" w:hAnsi="Times New Roman"/>
                <w:szCs w:val="21"/>
              </w:rPr>
            </w:pPr>
            <w:r>
              <w:rPr>
                <w:rFonts w:ascii="Times New Roman" w:hAnsi="Times New Roman"/>
                <w:szCs w:val="21"/>
              </w:rPr>
              <w:t>质量、进度及安全保证措施具体可靠，可实施性强，适合本项目，得1.6－2分。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pPr>
              <w:pStyle w:val="5"/>
              <w:spacing w:line="160" w:lineRule="atLeast"/>
              <w:jc w:val="center"/>
              <w:rPr>
                <w:rFonts w:ascii="Times New Roman" w:hAnsi="Times New Roman"/>
                <w:szCs w:val="21"/>
              </w:rPr>
            </w:pPr>
          </w:p>
        </w:tc>
        <w:tc>
          <w:tcPr>
            <w:tcW w:w="741" w:type="dxa"/>
            <w:vMerge w:val="continue"/>
            <w:vAlign w:val="center"/>
          </w:tcPr>
          <w:p>
            <w:pPr>
              <w:pStyle w:val="5"/>
              <w:spacing w:line="160" w:lineRule="atLeast"/>
              <w:jc w:val="center"/>
              <w:rPr>
                <w:rFonts w:ascii="Times New Roman" w:hAnsi="Times New Roman"/>
                <w:szCs w:val="21"/>
              </w:rPr>
            </w:pPr>
          </w:p>
        </w:tc>
        <w:tc>
          <w:tcPr>
            <w:tcW w:w="624" w:type="dxa"/>
            <w:vMerge w:val="continue"/>
            <w:vAlign w:val="center"/>
          </w:tcPr>
          <w:p>
            <w:pPr>
              <w:pStyle w:val="5"/>
              <w:spacing w:line="160" w:lineRule="atLeast"/>
              <w:jc w:val="center"/>
              <w:rPr>
                <w:rFonts w:ascii="Times New Roman" w:hAnsi="Times New Roman"/>
                <w:szCs w:val="21"/>
              </w:rPr>
            </w:pPr>
          </w:p>
        </w:tc>
        <w:tc>
          <w:tcPr>
            <w:tcW w:w="1134" w:type="dxa"/>
            <w:vMerge w:val="restart"/>
            <w:vAlign w:val="center"/>
          </w:tcPr>
          <w:p>
            <w:pPr>
              <w:pStyle w:val="5"/>
              <w:spacing w:line="160" w:lineRule="atLeast"/>
              <w:jc w:val="center"/>
              <w:rPr>
                <w:rFonts w:ascii="Times New Roman" w:hAnsi="Times New Roman"/>
                <w:szCs w:val="21"/>
              </w:rPr>
            </w:pPr>
            <w:r>
              <w:rPr>
                <w:rFonts w:ascii="Times New Roman" w:hAnsi="Times New Roman"/>
                <w:szCs w:val="21"/>
              </w:rPr>
              <w:t>后续服务的安排及保证措施</w:t>
            </w:r>
          </w:p>
        </w:tc>
        <w:tc>
          <w:tcPr>
            <w:tcW w:w="567" w:type="dxa"/>
            <w:vMerge w:val="restart"/>
            <w:vAlign w:val="center"/>
          </w:tcPr>
          <w:p>
            <w:pPr>
              <w:pStyle w:val="5"/>
              <w:spacing w:line="160" w:lineRule="atLeast"/>
              <w:jc w:val="center"/>
              <w:rPr>
                <w:rFonts w:ascii="Times New Roman" w:hAnsi="Times New Roman"/>
                <w:szCs w:val="21"/>
              </w:rPr>
            </w:pPr>
            <w:r>
              <w:rPr>
                <w:rFonts w:ascii="Times New Roman" w:hAnsi="Times New Roman"/>
                <w:szCs w:val="21"/>
              </w:rPr>
              <w:t>2分</w:t>
            </w:r>
          </w:p>
        </w:tc>
        <w:tc>
          <w:tcPr>
            <w:tcW w:w="5845" w:type="dxa"/>
            <w:gridSpan w:val="2"/>
            <w:vAlign w:val="center"/>
          </w:tcPr>
          <w:p>
            <w:pPr>
              <w:jc w:val="left"/>
              <w:rPr>
                <w:kern w:val="2"/>
                <w:sz w:val="21"/>
                <w:szCs w:val="21"/>
              </w:rPr>
            </w:pPr>
            <w:r>
              <w:rPr>
                <w:kern w:val="2"/>
                <w:sz w:val="21"/>
                <w:szCs w:val="21"/>
              </w:rPr>
              <w:t>投标人对于后续服务的承诺及保证措施安排一般，得1.2分；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rPr>
                <w:rFonts w:ascii="Times New Roman" w:hAnsi="Times New Roman"/>
                <w:szCs w:val="21"/>
              </w:rPr>
            </w:pPr>
          </w:p>
        </w:tc>
        <w:tc>
          <w:tcPr>
            <w:tcW w:w="624" w:type="dxa"/>
            <w:vMerge w:val="continue"/>
          </w:tcPr>
          <w:p>
            <w:pPr>
              <w:pStyle w:val="5"/>
              <w:spacing w:line="160" w:lineRule="atLeast"/>
              <w:rPr>
                <w:rFonts w:ascii="Times New Roman" w:hAnsi="Times New Roman"/>
                <w:szCs w:val="21"/>
              </w:rPr>
            </w:pPr>
          </w:p>
        </w:tc>
        <w:tc>
          <w:tcPr>
            <w:tcW w:w="1134" w:type="dxa"/>
            <w:vMerge w:val="continue"/>
            <w:vAlign w:val="center"/>
          </w:tcPr>
          <w:p>
            <w:pPr>
              <w:pStyle w:val="5"/>
              <w:spacing w:line="160" w:lineRule="atLeast"/>
              <w:jc w:val="center"/>
              <w:rPr>
                <w:rFonts w:ascii="Times New Roman" w:hAnsi="Times New Roman"/>
                <w:szCs w:val="21"/>
              </w:rPr>
            </w:pPr>
          </w:p>
        </w:tc>
        <w:tc>
          <w:tcPr>
            <w:tcW w:w="567" w:type="dxa"/>
            <w:vMerge w:val="continue"/>
            <w:vAlign w:val="center"/>
          </w:tcPr>
          <w:p>
            <w:pPr>
              <w:pStyle w:val="5"/>
              <w:spacing w:line="160" w:lineRule="atLeast"/>
              <w:jc w:val="center"/>
              <w:rPr>
                <w:rFonts w:ascii="Times New Roman" w:hAnsi="Times New Roman"/>
                <w:szCs w:val="21"/>
              </w:rPr>
            </w:pPr>
          </w:p>
        </w:tc>
        <w:tc>
          <w:tcPr>
            <w:tcW w:w="5845" w:type="dxa"/>
            <w:gridSpan w:val="2"/>
            <w:vAlign w:val="center"/>
          </w:tcPr>
          <w:p>
            <w:pPr>
              <w:jc w:val="left"/>
              <w:rPr>
                <w:kern w:val="2"/>
                <w:sz w:val="21"/>
                <w:szCs w:val="21"/>
              </w:rPr>
            </w:pPr>
            <w:r>
              <w:rPr>
                <w:kern w:val="2"/>
                <w:sz w:val="21"/>
                <w:szCs w:val="21"/>
              </w:rPr>
              <w:t>投标人对于后续服务的承诺及保证措施安排较完善，得1.2-1.6分；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pStyle w:val="5"/>
              <w:spacing w:line="160" w:lineRule="atLeast"/>
              <w:jc w:val="center"/>
              <w:rPr>
                <w:rFonts w:ascii="Times New Roman" w:hAnsi="Times New Roman"/>
                <w:szCs w:val="21"/>
              </w:rPr>
            </w:pPr>
          </w:p>
        </w:tc>
        <w:tc>
          <w:tcPr>
            <w:tcW w:w="741" w:type="dxa"/>
            <w:vMerge w:val="continue"/>
          </w:tcPr>
          <w:p>
            <w:pPr>
              <w:pStyle w:val="5"/>
              <w:spacing w:line="160" w:lineRule="atLeast"/>
              <w:rPr>
                <w:rFonts w:ascii="Times New Roman" w:hAnsi="Times New Roman"/>
                <w:szCs w:val="21"/>
              </w:rPr>
            </w:pPr>
          </w:p>
        </w:tc>
        <w:tc>
          <w:tcPr>
            <w:tcW w:w="624" w:type="dxa"/>
            <w:vMerge w:val="continue"/>
          </w:tcPr>
          <w:p>
            <w:pPr>
              <w:pStyle w:val="5"/>
              <w:spacing w:line="160" w:lineRule="atLeast"/>
              <w:rPr>
                <w:rFonts w:ascii="Times New Roman" w:hAnsi="Times New Roman"/>
                <w:szCs w:val="21"/>
              </w:rPr>
            </w:pPr>
          </w:p>
        </w:tc>
        <w:tc>
          <w:tcPr>
            <w:tcW w:w="1134" w:type="dxa"/>
            <w:vMerge w:val="continue"/>
            <w:tcBorders>
              <w:bottom w:val="single" w:color="auto" w:sz="4" w:space="0"/>
            </w:tcBorders>
            <w:vAlign w:val="center"/>
          </w:tcPr>
          <w:p>
            <w:pPr>
              <w:pStyle w:val="5"/>
              <w:spacing w:line="160" w:lineRule="atLeast"/>
              <w:jc w:val="center"/>
              <w:rPr>
                <w:rFonts w:ascii="Times New Roman" w:hAnsi="Times New Roman"/>
                <w:szCs w:val="21"/>
              </w:rPr>
            </w:pPr>
          </w:p>
        </w:tc>
        <w:tc>
          <w:tcPr>
            <w:tcW w:w="567" w:type="dxa"/>
            <w:vMerge w:val="continue"/>
            <w:tcBorders>
              <w:bottom w:val="single" w:color="auto" w:sz="4" w:space="0"/>
            </w:tcBorders>
            <w:vAlign w:val="center"/>
          </w:tcPr>
          <w:p>
            <w:pPr>
              <w:pStyle w:val="5"/>
              <w:spacing w:line="160" w:lineRule="atLeast"/>
              <w:jc w:val="center"/>
              <w:rPr>
                <w:rFonts w:ascii="Times New Roman" w:hAnsi="Times New Roman"/>
                <w:szCs w:val="21"/>
              </w:rPr>
            </w:pPr>
          </w:p>
        </w:tc>
        <w:tc>
          <w:tcPr>
            <w:tcW w:w="5845" w:type="dxa"/>
            <w:gridSpan w:val="2"/>
            <w:tcBorders>
              <w:bottom w:val="single" w:color="auto" w:sz="4" w:space="0"/>
            </w:tcBorders>
            <w:vAlign w:val="center"/>
          </w:tcPr>
          <w:p>
            <w:pPr>
              <w:jc w:val="left"/>
              <w:rPr>
                <w:kern w:val="2"/>
                <w:sz w:val="21"/>
                <w:szCs w:val="21"/>
              </w:rPr>
            </w:pPr>
            <w:r>
              <w:rPr>
                <w:kern w:val="2"/>
                <w:sz w:val="21"/>
                <w:szCs w:val="21"/>
              </w:rPr>
              <w:t>投标人对于后续服务的承诺及保证措施安排完善合理，得1.6-2分。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41" w:type="dxa"/>
            <w:tcBorders>
              <w:top w:val="nil"/>
            </w:tcBorders>
            <w:vAlign w:val="center"/>
          </w:tcPr>
          <w:p>
            <w:pPr>
              <w:pStyle w:val="5"/>
              <w:spacing w:line="160" w:lineRule="atLeast"/>
              <w:jc w:val="center"/>
              <w:rPr>
                <w:rFonts w:ascii="Times New Roman" w:hAnsi="Times New Roman"/>
                <w:szCs w:val="21"/>
              </w:rPr>
            </w:pPr>
            <w:r>
              <w:rPr>
                <w:rFonts w:ascii="Times New Roman" w:hAnsi="Times New Roman"/>
                <w:szCs w:val="21"/>
              </w:rPr>
              <w:t>2.2.4（2）</w:t>
            </w:r>
          </w:p>
        </w:tc>
        <w:tc>
          <w:tcPr>
            <w:tcW w:w="741" w:type="dxa"/>
            <w:tcBorders>
              <w:top w:val="nil"/>
            </w:tcBorders>
            <w:vAlign w:val="center"/>
          </w:tcPr>
          <w:p>
            <w:pPr>
              <w:pStyle w:val="5"/>
              <w:spacing w:line="160" w:lineRule="atLeast"/>
              <w:jc w:val="center"/>
              <w:rPr>
                <w:rFonts w:ascii="Times New Roman" w:hAnsi="Times New Roman"/>
                <w:szCs w:val="21"/>
              </w:rPr>
            </w:pPr>
            <w:r>
              <w:rPr>
                <w:rFonts w:ascii="Times New Roman" w:hAnsi="Times New Roman"/>
                <w:szCs w:val="21"/>
              </w:rPr>
              <w:t>主要人员</w:t>
            </w:r>
          </w:p>
        </w:tc>
        <w:tc>
          <w:tcPr>
            <w:tcW w:w="624" w:type="dxa"/>
            <w:tcBorders>
              <w:top w:val="nil"/>
              <w:bottom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20分</w:t>
            </w:r>
          </w:p>
        </w:tc>
        <w:tc>
          <w:tcPr>
            <w:tcW w:w="1134" w:type="dxa"/>
            <w:tcBorders>
              <w:bottom w:val="single" w:color="auto" w:sz="4" w:space="0"/>
            </w:tcBorders>
            <w:vAlign w:val="center"/>
          </w:tcPr>
          <w:p>
            <w:pPr>
              <w:pStyle w:val="5"/>
              <w:spacing w:line="160" w:lineRule="atLeast"/>
              <w:jc w:val="center"/>
              <w:rPr>
                <w:rFonts w:ascii="Times New Roman" w:hAnsi="Times New Roman"/>
                <w:szCs w:val="21"/>
              </w:rPr>
            </w:pPr>
            <w:r>
              <w:rPr>
                <w:rStyle w:val="13"/>
                <w:rFonts w:ascii="Times New Roman" w:hAnsi="Times New Roman"/>
              </w:rPr>
              <w:t>项目负责人任职资格与业绩</w:t>
            </w:r>
          </w:p>
        </w:tc>
        <w:tc>
          <w:tcPr>
            <w:tcW w:w="567" w:type="dxa"/>
            <w:tcBorders>
              <w:bottom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20分</w:t>
            </w:r>
          </w:p>
        </w:tc>
        <w:tc>
          <w:tcPr>
            <w:tcW w:w="5845" w:type="dxa"/>
            <w:gridSpan w:val="2"/>
            <w:tcBorders>
              <w:bottom w:val="single" w:color="auto" w:sz="4" w:space="0"/>
            </w:tcBorders>
            <w:vAlign w:val="center"/>
          </w:tcPr>
          <w:p>
            <w:pPr>
              <w:jc w:val="left"/>
              <w:rPr>
                <w:kern w:val="2"/>
                <w:sz w:val="21"/>
                <w:szCs w:val="21"/>
              </w:rPr>
            </w:pPr>
            <w:r>
              <w:rPr>
                <w:kern w:val="2"/>
                <w:sz w:val="21"/>
                <w:szCs w:val="21"/>
              </w:rPr>
              <w:t>满足资格审查条件（项目负责人最低要求）得12分；</w:t>
            </w:r>
          </w:p>
          <w:p>
            <w:pPr>
              <w:jc w:val="left"/>
              <w:rPr>
                <w:kern w:val="2"/>
                <w:sz w:val="21"/>
                <w:szCs w:val="21"/>
              </w:rPr>
            </w:pPr>
            <w:r>
              <w:rPr>
                <w:kern w:val="2"/>
                <w:sz w:val="21"/>
                <w:szCs w:val="21"/>
              </w:rPr>
              <w:t>每增加一个满足资格审查条件（项目负责人最低要求）业绩，加4分，最多加8分。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vAlign w:val="center"/>
          </w:tcPr>
          <w:p>
            <w:pPr>
              <w:pStyle w:val="5"/>
              <w:spacing w:line="160" w:lineRule="atLeast"/>
              <w:jc w:val="center"/>
              <w:rPr>
                <w:rFonts w:ascii="Times New Roman" w:hAnsi="Times New Roman"/>
                <w:szCs w:val="21"/>
              </w:rPr>
            </w:pPr>
            <w:r>
              <w:rPr>
                <w:rFonts w:ascii="Times New Roman" w:hAnsi="Times New Roman"/>
                <w:szCs w:val="21"/>
              </w:rPr>
              <w:t>2.2.4（3）</w:t>
            </w:r>
          </w:p>
        </w:tc>
        <w:tc>
          <w:tcPr>
            <w:tcW w:w="741" w:type="dxa"/>
            <w:tcBorders>
              <w:top w:val="nil"/>
            </w:tcBorders>
            <w:vAlign w:val="center"/>
          </w:tcPr>
          <w:p>
            <w:pPr>
              <w:pStyle w:val="5"/>
              <w:spacing w:line="160" w:lineRule="atLeast"/>
              <w:jc w:val="center"/>
              <w:rPr>
                <w:rFonts w:ascii="Times New Roman" w:hAnsi="Times New Roman"/>
                <w:szCs w:val="21"/>
              </w:rPr>
            </w:pPr>
            <w:r>
              <w:rPr>
                <w:rFonts w:ascii="Times New Roman" w:hAnsi="Times New Roman"/>
                <w:szCs w:val="21"/>
              </w:rPr>
              <w:t>评标价</w:t>
            </w:r>
          </w:p>
        </w:tc>
        <w:tc>
          <w:tcPr>
            <w:tcW w:w="624" w:type="dxa"/>
            <w:tcBorders>
              <w:top w:val="nil"/>
              <w:bottom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10分</w:t>
            </w:r>
          </w:p>
        </w:tc>
        <w:tc>
          <w:tcPr>
            <w:tcW w:w="7546" w:type="dxa"/>
            <w:gridSpan w:val="4"/>
            <w:tcBorders>
              <w:bottom w:val="single" w:color="auto" w:sz="4" w:space="0"/>
            </w:tcBorders>
            <w:vAlign w:val="center"/>
          </w:tcPr>
          <w:p>
            <w:pPr>
              <w:rPr>
                <w:kern w:val="2"/>
                <w:sz w:val="21"/>
                <w:szCs w:val="21"/>
              </w:rPr>
            </w:pPr>
            <w:r>
              <w:rPr>
                <w:kern w:val="2"/>
                <w:sz w:val="21"/>
                <w:szCs w:val="21"/>
              </w:rPr>
              <w:t>评标价得分计算公式示例：</w:t>
            </w:r>
          </w:p>
          <w:p>
            <w:pPr>
              <w:rPr>
                <w:kern w:val="2"/>
                <w:sz w:val="21"/>
                <w:szCs w:val="21"/>
              </w:rPr>
            </w:pPr>
            <w:r>
              <w:rPr>
                <w:kern w:val="2"/>
                <w:sz w:val="21"/>
                <w:szCs w:val="21"/>
              </w:rPr>
              <w:t>（1）如果投标人的评标价＞评标基准价，则评标价得分=F-（投标人评标价-评标基准价）/评标基准价×100×E1；</w:t>
            </w:r>
          </w:p>
          <w:p>
            <w:pPr>
              <w:rPr>
                <w:kern w:val="2"/>
                <w:sz w:val="21"/>
                <w:szCs w:val="21"/>
              </w:rPr>
            </w:pPr>
            <w:r>
              <w:rPr>
                <w:kern w:val="2"/>
                <w:sz w:val="21"/>
                <w:szCs w:val="21"/>
              </w:rPr>
              <w:t>（2）如果投标人的评标价≤评标基准价，则评标价得分=F+(投标人评标价-评标基准价)/评标基准价×100×E2。</w:t>
            </w:r>
          </w:p>
          <w:p>
            <w:pPr>
              <w:jc w:val="left"/>
              <w:rPr>
                <w:sz w:val="21"/>
                <w:szCs w:val="21"/>
              </w:rPr>
            </w:pPr>
            <w:r>
              <w:rPr>
                <w:sz w:val="21"/>
                <w:szCs w:val="21"/>
              </w:rPr>
              <w:t>其中，F=10；E1=0.2；E2=0.1；评标价最低得分为0分。</w:t>
            </w:r>
          </w:p>
          <w:p>
            <w:pPr>
              <w:jc w:val="left"/>
              <w:rPr>
                <w:kern w:val="2"/>
                <w:sz w:val="21"/>
                <w:szCs w:val="21"/>
              </w:rPr>
            </w:pPr>
            <w:r>
              <w:rPr>
                <w:kern w:val="2"/>
                <w:sz w:val="21"/>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vAlign w:val="center"/>
          </w:tcPr>
          <w:p>
            <w:pPr>
              <w:pStyle w:val="5"/>
              <w:spacing w:line="160" w:lineRule="atLeast"/>
              <w:jc w:val="center"/>
              <w:rPr>
                <w:rFonts w:ascii="Times New Roman" w:hAnsi="Times New Roman"/>
                <w:szCs w:val="21"/>
              </w:rPr>
            </w:pPr>
            <w:r>
              <w:rPr>
                <w:rFonts w:ascii="Times New Roman" w:hAnsi="Times New Roman"/>
                <w:szCs w:val="21"/>
              </w:rPr>
              <w:t>2.2.4（4）</w:t>
            </w:r>
          </w:p>
        </w:tc>
        <w:tc>
          <w:tcPr>
            <w:tcW w:w="741" w:type="dxa"/>
            <w:vAlign w:val="center"/>
          </w:tcPr>
          <w:p>
            <w:pPr>
              <w:pStyle w:val="5"/>
              <w:spacing w:line="160" w:lineRule="atLeast"/>
              <w:jc w:val="center"/>
              <w:rPr>
                <w:rFonts w:ascii="Times New Roman" w:hAnsi="Times New Roman"/>
                <w:szCs w:val="21"/>
              </w:rPr>
            </w:pPr>
            <w:r>
              <w:rPr>
                <w:rFonts w:ascii="Times New Roman" w:hAnsi="Times New Roman"/>
                <w:szCs w:val="21"/>
              </w:rPr>
              <w:t>其他因素</w:t>
            </w:r>
          </w:p>
        </w:tc>
        <w:tc>
          <w:tcPr>
            <w:tcW w:w="624" w:type="dxa"/>
            <w:tcBorders>
              <w:top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25分</w:t>
            </w:r>
          </w:p>
        </w:tc>
        <w:tc>
          <w:tcPr>
            <w:tcW w:w="1134" w:type="dxa"/>
            <w:tcBorders>
              <w:top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业绩</w:t>
            </w:r>
          </w:p>
        </w:tc>
        <w:tc>
          <w:tcPr>
            <w:tcW w:w="567" w:type="dxa"/>
            <w:tcBorders>
              <w:top w:val="single" w:color="auto" w:sz="4" w:space="0"/>
            </w:tcBorders>
            <w:vAlign w:val="center"/>
          </w:tcPr>
          <w:p>
            <w:pPr>
              <w:pStyle w:val="5"/>
              <w:spacing w:line="160" w:lineRule="atLeast"/>
              <w:jc w:val="center"/>
              <w:rPr>
                <w:rFonts w:ascii="Times New Roman" w:hAnsi="Times New Roman"/>
                <w:szCs w:val="21"/>
              </w:rPr>
            </w:pPr>
            <w:r>
              <w:rPr>
                <w:rFonts w:ascii="Times New Roman" w:hAnsi="Times New Roman"/>
                <w:szCs w:val="21"/>
              </w:rPr>
              <w:t>25分</w:t>
            </w:r>
          </w:p>
        </w:tc>
        <w:tc>
          <w:tcPr>
            <w:tcW w:w="5845" w:type="dxa"/>
            <w:gridSpan w:val="2"/>
            <w:tcBorders>
              <w:top w:val="single" w:color="auto" w:sz="4" w:space="0"/>
            </w:tcBorders>
            <w:vAlign w:val="center"/>
          </w:tcPr>
          <w:p>
            <w:pPr>
              <w:rPr>
                <w:kern w:val="2"/>
                <w:sz w:val="21"/>
                <w:szCs w:val="21"/>
              </w:rPr>
            </w:pPr>
            <w:r>
              <w:rPr>
                <w:kern w:val="2"/>
                <w:sz w:val="21"/>
                <w:szCs w:val="21"/>
              </w:rPr>
              <w:t>满足资格审查条件（业绩最低要求）得15分；</w:t>
            </w:r>
          </w:p>
          <w:p>
            <w:pPr>
              <w:rPr>
                <w:kern w:val="2"/>
                <w:sz w:val="21"/>
                <w:szCs w:val="21"/>
              </w:rPr>
            </w:pPr>
            <w:r>
              <w:rPr>
                <w:kern w:val="2"/>
                <w:sz w:val="21"/>
                <w:szCs w:val="21"/>
              </w:rPr>
              <w:t>每增加一个满足资格审查条件（业绩最低要求）业绩，加5分，最多加10分。</w:t>
            </w:r>
          </w:p>
        </w:tc>
      </w:tr>
      <w:bookmarkEnd w:id="30"/>
    </w:tbl>
    <w:p>
      <w:pPr>
        <w:pStyle w:val="5"/>
        <w:rPr>
          <w:rFonts w:ascii="Times New Roman" w:hAnsi="Times New Roman"/>
          <w:szCs w:val="21"/>
        </w:rPr>
      </w:pPr>
    </w:p>
    <w:bookmarkEnd w:id="1"/>
    <w:bookmarkEnd w:id="24"/>
    <w:bookmarkEnd w:id="25"/>
    <w:bookmarkEnd w:id="26"/>
    <w:bookmarkEnd w:id="27"/>
    <w:bookmarkEnd w:id="28"/>
    <w:p>
      <w:pPr>
        <w:rPr>
          <w:kern w:val="0"/>
          <w:sz w:val="20"/>
          <w:lang w:val="zh-CN"/>
        </w:rPr>
      </w:pPr>
      <w:bookmarkStart w:id="31" w:name="_Hlk71130285"/>
      <w:r>
        <w:rPr>
          <w:kern w:val="0"/>
          <w:sz w:val="20"/>
          <w:lang w:val="zh-CN"/>
        </w:rPr>
        <w:t>注：1、评审因素得分应以评标委员会各成员的打分平均值确定。</w:t>
      </w:r>
    </w:p>
    <w:p>
      <w:pPr>
        <w:ind w:firstLine="400" w:firstLineChars="200"/>
        <w:rPr>
          <w:kern w:val="0"/>
          <w:sz w:val="20"/>
          <w:lang w:val="zh-CN"/>
        </w:rPr>
      </w:pPr>
      <w:r>
        <w:rPr>
          <w:kern w:val="0"/>
          <w:sz w:val="20"/>
          <w:lang w:val="zh-CN"/>
        </w:rPr>
        <w:t>2、技术建议书各评分因素细分项的细分项缺项则该项得0分。</w:t>
      </w:r>
    </w:p>
    <w:p>
      <w:pPr>
        <w:ind w:firstLine="400" w:firstLineChars="200"/>
        <w:rPr>
          <w:szCs w:val="21"/>
        </w:rPr>
      </w:pPr>
      <w:r>
        <w:rPr>
          <w:kern w:val="0"/>
          <w:sz w:val="20"/>
          <w:lang w:val="zh-CN"/>
        </w:rPr>
        <w:t>3、技术建议书评分时保留1位小数，评标价得分计算时保留两位小数。</w:t>
      </w:r>
    </w:p>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625774"/>
    <w:rsid w:val="00042EFE"/>
    <w:rsid w:val="00625774"/>
    <w:rsid w:val="00845074"/>
    <w:rsid w:val="00CD0B5D"/>
    <w:rsid w:val="00F061C3"/>
    <w:rsid w:val="53C52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szCs w:val="20"/>
      <w:lang w:val="en-US" w:eastAsia="zh-CN" w:bidi="ar-SA"/>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9"/>
    <w:uiPriority w:val="0"/>
    <w:rPr>
      <w:kern w:val="2"/>
      <w:szCs w:val="24"/>
    </w:rPr>
  </w:style>
  <w:style w:type="paragraph" w:styleId="5">
    <w:name w:val="Plain Text"/>
    <w:basedOn w:val="1"/>
    <w:link w:val="10"/>
    <w:qFormat/>
    <w:uiPriority w:val="0"/>
    <w:rPr>
      <w:rFonts w:ascii="宋体" w:hAnsi="Courier New"/>
      <w:kern w:val="2"/>
      <w:sz w:val="21"/>
    </w:rPr>
  </w:style>
  <w:style w:type="paragraph" w:styleId="6">
    <w:name w:val="Normal (Web)"/>
    <w:basedOn w:val="1"/>
    <w:link w:val="11"/>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customStyle="1" w:styleId="9">
    <w:name w:val="正文文本 字符"/>
    <w:basedOn w:val="8"/>
    <w:link w:val="2"/>
    <w:uiPriority w:val="0"/>
    <w:rPr>
      <w:rFonts w:ascii="Times New Roman" w:hAnsi="Times New Roman" w:eastAsia="宋体" w:cs="Times New Roman"/>
      <w:sz w:val="28"/>
      <w:szCs w:val="24"/>
    </w:rPr>
  </w:style>
  <w:style w:type="character" w:customStyle="1" w:styleId="10">
    <w:name w:val="纯文本 字符"/>
    <w:basedOn w:val="8"/>
    <w:link w:val="5"/>
    <w:qFormat/>
    <w:uiPriority w:val="0"/>
    <w:rPr>
      <w:rFonts w:ascii="宋体" w:hAnsi="Courier New" w:eastAsia="宋体" w:cs="Times New Roman"/>
      <w:szCs w:val="20"/>
    </w:rPr>
  </w:style>
  <w:style w:type="character" w:customStyle="1" w:styleId="11">
    <w:name w:val="普通(网站) 字符1"/>
    <w:link w:val="6"/>
    <w:uiPriority w:val="0"/>
    <w:rPr>
      <w:rFonts w:ascii="宋体" w:hAnsi="宋体" w:eastAsia="宋体" w:cs="Times New Roman"/>
      <w:kern w:val="0"/>
      <w:sz w:val="24"/>
      <w:szCs w:val="24"/>
    </w:rPr>
  </w:style>
  <w:style w:type="character" w:customStyle="1" w:styleId="1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3">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paragraph" w:customStyle="1" w:styleId="14">
    <w:name w:val="样式30"/>
    <w:basedOn w:val="4"/>
    <w:qFormat/>
    <w:uiPriority w:val="0"/>
    <w:pPr>
      <w:spacing w:before="0" w:after="0" w:line="360" w:lineRule="auto"/>
      <w:ind w:firstLine="200" w:firstLineChars="200"/>
    </w:pPr>
    <w:rPr>
      <w:sz w:val="24"/>
    </w:rPr>
  </w:style>
  <w:style w:type="paragraph" w:customStyle="1" w:styleId="15">
    <w:name w:val="样式27"/>
    <w:basedOn w:val="4"/>
    <w:qFormat/>
    <w:uiPriority w:val="0"/>
    <w:pPr>
      <w:spacing w:before="0" w:after="0" w:line="360" w:lineRule="auto"/>
      <w:ind w:firstLine="200" w:firstLineChars="200"/>
    </w:pPr>
    <w:rPr>
      <w:sz w:val="24"/>
    </w:rPr>
  </w:style>
  <w:style w:type="paragraph" w:customStyle="1" w:styleId="16">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7">
    <w:name w:val="样式23"/>
    <w:basedOn w:val="1"/>
    <w:qFormat/>
    <w:uiPriority w:val="0"/>
    <w:pPr>
      <w:keepNext/>
      <w:keepLines/>
      <w:spacing w:line="360" w:lineRule="auto"/>
      <w:ind w:firstLine="200" w:firstLineChars="200"/>
      <w:outlineLvl w:val="2"/>
    </w:pPr>
    <w:rPr>
      <w:b/>
      <w:bCs/>
      <w:sz w:val="24"/>
      <w:szCs w:val="32"/>
    </w:rPr>
  </w:style>
  <w:style w:type="paragraph" w:customStyle="1" w:styleId="18">
    <w:name w:val="样式26"/>
    <w:basedOn w:val="1"/>
    <w:qFormat/>
    <w:uiPriority w:val="0"/>
    <w:pPr>
      <w:keepNext/>
      <w:keepLines/>
      <w:spacing w:line="360" w:lineRule="auto"/>
      <w:ind w:firstLine="562" w:firstLineChars="200"/>
      <w:outlineLvl w:val="2"/>
    </w:pPr>
    <w:rPr>
      <w:b/>
      <w:bCs/>
      <w:sz w:val="24"/>
      <w:szCs w:val="32"/>
    </w:rPr>
  </w:style>
  <w:style w:type="paragraph" w:customStyle="1" w:styleId="19">
    <w:name w:val="样式124"/>
    <w:basedOn w:val="4"/>
    <w:qFormat/>
    <w:uiPriority w:val="0"/>
    <w:pPr>
      <w:spacing w:before="0" w:after="0" w:line="360" w:lineRule="auto"/>
      <w:ind w:firstLine="200" w:firstLineChars="200"/>
    </w:pPr>
    <w:rPr>
      <w:sz w:val="24"/>
    </w:rPr>
  </w:style>
  <w:style w:type="paragraph" w:customStyle="1" w:styleId="20">
    <w:name w:val="样式54"/>
    <w:basedOn w:val="3"/>
    <w:qFormat/>
    <w:uiPriority w:val="0"/>
    <w:pPr>
      <w:spacing w:before="0" w:after="0" w:line="360" w:lineRule="auto"/>
      <w:jc w:val="center"/>
    </w:pPr>
    <w:rPr>
      <w:rFonts w:ascii="Arial" w:hAnsi="Arial" w:eastAsia="黑体" w:cs="Times New Roman"/>
    </w:rPr>
  </w:style>
  <w:style w:type="paragraph" w:customStyle="1" w:styleId="21">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22">
    <w:name w:val="样式22"/>
    <w:basedOn w:val="1"/>
    <w:qFormat/>
    <w:uiPriority w:val="0"/>
    <w:pPr>
      <w:keepNext/>
      <w:keepLines/>
      <w:spacing w:line="360" w:lineRule="auto"/>
      <w:ind w:firstLine="200" w:firstLineChars="200"/>
      <w:outlineLvl w:val="2"/>
    </w:pPr>
    <w:rPr>
      <w:b/>
      <w:bCs/>
      <w:sz w:val="24"/>
      <w:szCs w:val="32"/>
    </w:rPr>
  </w:style>
  <w:style w:type="paragraph" w:customStyle="1" w:styleId="23">
    <w:name w:val="样式25"/>
    <w:basedOn w:val="1"/>
    <w:qFormat/>
    <w:uiPriority w:val="0"/>
    <w:pPr>
      <w:keepNext/>
      <w:keepLines/>
      <w:spacing w:line="360" w:lineRule="auto"/>
      <w:ind w:firstLine="200" w:firstLineChars="200"/>
      <w:outlineLvl w:val="2"/>
    </w:pPr>
    <w:rPr>
      <w:b/>
      <w:bCs/>
      <w:sz w:val="24"/>
      <w:szCs w:val="32"/>
    </w:rPr>
  </w:style>
  <w:style w:type="character" w:customStyle="1" w:styleId="24">
    <w:name w:val="NormalCharacter"/>
    <w:link w:val="25"/>
    <w:qFormat/>
    <w:uiPriority w:val="0"/>
  </w:style>
  <w:style w:type="paragraph" w:customStyle="1" w:styleId="25">
    <w:name w:val="UserStyle_24"/>
    <w:basedOn w:val="1"/>
    <w:link w:val="24"/>
    <w:qFormat/>
    <w:uiPriority w:val="0"/>
    <w:pPr>
      <w:widowControl/>
      <w:spacing w:line="360" w:lineRule="auto"/>
      <w:ind w:firstLine="200" w:firstLineChars="200"/>
      <w:jc w:val="left"/>
    </w:pPr>
    <w:rPr>
      <w:rFonts w:asciiTheme="minorHAnsi" w:hAnsiTheme="minorHAnsi" w:eastAsiaTheme="minorEastAsia" w:cstheme="minorBidi"/>
      <w:kern w:val="2"/>
      <w:sz w:val="21"/>
      <w:szCs w:val="22"/>
    </w:rPr>
  </w:style>
  <w:style w:type="character" w:customStyle="1" w:styleId="26">
    <w:name w:val="标题 3 字符"/>
    <w:basedOn w:val="8"/>
    <w:link w:val="4"/>
    <w:semiHidden/>
    <w:qFormat/>
    <w:uiPriority w:val="9"/>
    <w:rPr>
      <w:rFonts w:ascii="Times New Roman" w:hAnsi="Times New Roman" w:eastAsia="宋体" w:cs="Times New Roman"/>
      <w:b/>
      <w:bCs/>
      <w:kern w:val="28"/>
      <w:sz w:val="32"/>
      <w:szCs w:val="32"/>
    </w:rPr>
  </w:style>
  <w:style w:type="character" w:customStyle="1" w:styleId="27">
    <w:name w:val="标题 2 字符"/>
    <w:basedOn w:val="8"/>
    <w:link w:val="3"/>
    <w:semiHidden/>
    <w:qFormat/>
    <w:uiPriority w:val="9"/>
    <w:rPr>
      <w:rFonts w:asciiTheme="majorHAnsi" w:hAnsiTheme="majorHAnsi" w:eastAsiaTheme="majorEastAsia" w:cstheme="majorBidi"/>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5803</Words>
  <Characters>6377</Characters>
  <Lines>48</Lines>
  <Paragraphs>13</Paragraphs>
  <TotalTime>0</TotalTime>
  <ScaleCrop>false</ScaleCrop>
  <LinksUpToDate>false</LinksUpToDate>
  <CharactersWithSpaces>6425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2023-06-26T06:40:00Z</dcterms:created>
  <dc:creator>Liang honru</dc:creator>
  <cp:lastModifiedBy>李</cp:lastModifiedBy>
  <dcterms:modified xsi:type="dcterms:W3CDTF">2023-06-29T02:18:54Z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9FE04A76EE784F4AA4A47216BBDF93DC_12</vt:lpwstr>
  </property>
</Properties>
</file>