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before="120" w:after="120"/>
        <w:outlineLvl w:val="2"/>
        <w:rPr>
          <w:rFonts w:ascii="Times New Roman" w:hAnsi="Times New Roman" w:eastAsia="黑体" w:cs="Times New Roman"/>
          <w:b/>
          <w:sz w:val="28"/>
          <w:szCs w:val="28"/>
          <w14:ligatures w14:val="none"/>
        </w:rPr>
      </w:pPr>
      <w:bookmarkStart w:id="0" w:name="_Toc513624013"/>
      <w:bookmarkStart w:id="1" w:name="_Hlk512198378"/>
      <w:r>
        <w:rPr>
          <w:rFonts w:hint="eastAsia" w:ascii="宋体" w:hAnsi="宋体" w:eastAsia="宋体" w:cs="Times New Roman"/>
          <w:b/>
          <w:bCs/>
          <w:sz w:val="24"/>
          <w:szCs w:val="24"/>
          <w14:ligatures w14:val="none"/>
        </w:rPr>
        <w:t>附件</w:t>
      </w:r>
      <w:r>
        <w:rPr>
          <w:rFonts w:ascii="宋体" w:hAnsi="宋体" w:eastAsia="宋体" w:cs="Times New Roman"/>
          <w:b/>
          <w:bCs/>
          <w:sz w:val="24"/>
          <w:szCs w:val="24"/>
          <w14:ligatures w14:val="none"/>
        </w:rPr>
        <w:t>1</w:t>
      </w:r>
      <w:r>
        <w:rPr>
          <w:rFonts w:hint="eastAsia" w:ascii="宋体" w:hAnsi="宋体" w:eastAsia="宋体" w:cs="Times New Roman"/>
          <w:b/>
          <w:bCs/>
          <w:sz w:val="24"/>
          <w:szCs w:val="24"/>
          <w14:ligatures w14:val="none"/>
        </w:rPr>
        <w:t>：资格审查要求</w:t>
      </w:r>
      <w:bookmarkEnd w:id="0"/>
    </w:p>
    <w:p>
      <w:pPr>
        <w:spacing w:line="400" w:lineRule="exact"/>
        <w:rPr>
          <w:rFonts w:ascii="Times New Roman" w:hAnsi="Times New Roman" w:eastAsia="黑体" w:cs="Times New Roman"/>
          <w:bCs/>
          <w:sz w:val="28"/>
          <w:szCs w:val="28"/>
          <w14:ligatures w14:val="none"/>
        </w:rPr>
      </w:pPr>
    </w:p>
    <w:bookmarkEnd w:id="1"/>
    <w:p>
      <w:pPr>
        <w:jc w:val="center"/>
        <w:rPr>
          <w:rFonts w:ascii="宋体" w:hAnsi="Times New Roman" w:eastAsia="宋体" w:cs="Times New Roman"/>
          <w:b/>
          <w:sz w:val="26"/>
          <w:szCs w:val="26"/>
          <w14:ligatures w14:val="none"/>
        </w:rPr>
      </w:pPr>
      <w:bookmarkStart w:id="2" w:name="_Toc365441077"/>
      <w:r>
        <w:rPr>
          <w:rFonts w:hint="eastAsia" w:ascii="宋体" w:hAnsi="Times New Roman" w:eastAsia="宋体" w:cs="Times New Roman"/>
          <w:b/>
          <w:sz w:val="26"/>
          <w:szCs w:val="26"/>
          <w14:ligatures w14:val="none"/>
        </w:rPr>
        <w:t>附录1  资格审查条件(资质最低条件)</w:t>
      </w:r>
      <w:bookmarkEnd w:id="2"/>
    </w:p>
    <w:p>
      <w:pPr>
        <w:jc w:val="center"/>
        <w:rPr>
          <w:rFonts w:ascii="宋体" w:hAnsi="Times New Roman" w:eastAsia="宋体" w:cs="Times New Roman"/>
          <w:szCs w:val="24"/>
          <w14:ligatures w14:val="none"/>
        </w:rPr>
      </w:pP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04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567" w:hRule="exact"/>
          <w:jc w:val="center"/>
        </w:trPr>
        <w:tc>
          <w:tcPr>
            <w:tcW w:w="9308" w:type="dxa"/>
            <w:vAlign w:val="center"/>
          </w:tcPr>
          <w:p>
            <w:pPr>
              <w:adjustRightInd w:val="0"/>
              <w:snapToGrid w:val="0"/>
              <w:jc w:val="center"/>
              <w:rPr>
                <w:rFonts w:ascii="宋体" w:hAnsi="Times New Roman" w:eastAsia="宋体" w:cs="Times New Roman"/>
                <w:b/>
                <w:szCs w:val="21"/>
                <w14:ligatures w14:val="none"/>
              </w:rPr>
            </w:pPr>
            <w:r>
              <w:rPr>
                <w:rFonts w:hint="eastAsia" w:ascii="宋体" w:hAnsi="Times New Roman" w:eastAsia="宋体" w:cs="Times New Roman"/>
                <w:b/>
                <w:szCs w:val="21"/>
                <w14:ligatures w14:val="none"/>
              </w:rPr>
              <w:t>资质要求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908" w:hRule="atLeast"/>
          <w:jc w:val="center"/>
        </w:trPr>
        <w:tc>
          <w:tcPr>
            <w:tcW w:w="9308" w:type="dxa"/>
            <w:vAlign w:val="center"/>
          </w:tcPr>
          <w:p>
            <w:pPr>
              <w:snapToGrid w:val="0"/>
              <w:spacing w:line="360" w:lineRule="exact"/>
              <w:ind w:firstLine="420" w:firstLineChars="200"/>
              <w:rPr>
                <w:rFonts w:ascii="宋体" w:hAnsi="Times New Roman" w:eastAsia="宋体" w:cs="Times New Roman"/>
                <w:szCs w:val="21"/>
                <w14:ligatures w14:val="none"/>
              </w:rPr>
            </w:pPr>
            <w:r>
              <w:rPr>
                <w:rFonts w:hint="eastAsia" w:ascii="宋体" w:hAnsi="Times New Roman" w:eastAsia="宋体" w:cs="Times New Roman"/>
                <w:szCs w:val="21"/>
                <w14:ligatures w14:val="none"/>
              </w:rPr>
              <w:t>具有独立企业法人资格，持有有效的企业营业执照；</w:t>
            </w:r>
          </w:p>
          <w:p>
            <w:pPr>
              <w:snapToGrid w:val="0"/>
              <w:spacing w:line="360" w:lineRule="exact"/>
              <w:ind w:firstLine="420" w:firstLineChars="200"/>
              <w:rPr>
                <w:rFonts w:ascii="宋体" w:hAnsi="Times New Roman" w:eastAsia="宋体" w:cs="Times New Roman"/>
                <w:szCs w:val="21"/>
                <w14:ligatures w14:val="none"/>
              </w:rPr>
            </w:pPr>
            <w:r>
              <w:rPr>
                <w:rFonts w:hint="eastAsia" w:ascii="宋体" w:hAnsi="Times New Roman" w:eastAsia="宋体" w:cs="Times New Roman"/>
                <w:szCs w:val="21"/>
                <w14:ligatures w14:val="none"/>
              </w:rPr>
              <w:t>具备交通运输部颁发的公路工程监理甲级资质。</w:t>
            </w:r>
          </w:p>
        </w:tc>
      </w:tr>
    </w:tbl>
    <w:p>
      <w:pPr>
        <w:rPr>
          <w:rFonts w:ascii="宋体" w:hAnsi="Times New Roman" w:eastAsia="宋体" w:cs="Times New Roman"/>
          <w:szCs w:val="24"/>
          <w14:ligatures w14:val="none"/>
        </w:rPr>
      </w:pPr>
    </w:p>
    <w:p>
      <w:pPr>
        <w:rPr>
          <w:rFonts w:ascii="宋体" w:hAnsi="Times New Roman" w:eastAsia="宋体" w:cs="Times New Roman"/>
          <w:szCs w:val="24"/>
          <w14:ligatures w14:val="none"/>
        </w:rPr>
      </w:pPr>
    </w:p>
    <w:p>
      <w:pPr>
        <w:jc w:val="center"/>
        <w:rPr>
          <w:rFonts w:ascii="宋体" w:hAnsi="Times New Roman" w:eastAsia="宋体" w:cs="Times New Roman"/>
          <w:b/>
          <w:sz w:val="26"/>
          <w:szCs w:val="26"/>
          <w14:ligatures w14:val="none"/>
        </w:rPr>
      </w:pPr>
      <w:bookmarkStart w:id="3" w:name="_Toc365441079"/>
      <w:r>
        <w:rPr>
          <w:rFonts w:hint="eastAsia" w:ascii="宋体" w:hAnsi="Times New Roman" w:eastAsia="宋体" w:cs="Times New Roman"/>
          <w:b/>
          <w:sz w:val="26"/>
          <w:szCs w:val="26"/>
          <w14:ligatures w14:val="none"/>
        </w:rPr>
        <w:t>附录</w:t>
      </w:r>
      <w:r>
        <w:rPr>
          <w:rFonts w:ascii="宋体" w:hAnsi="Times New Roman" w:eastAsia="宋体" w:cs="Times New Roman"/>
          <w:b/>
          <w:sz w:val="26"/>
          <w:szCs w:val="26"/>
          <w14:ligatures w14:val="none"/>
        </w:rPr>
        <w:t>2</w:t>
      </w:r>
      <w:r>
        <w:rPr>
          <w:rFonts w:hint="eastAsia" w:ascii="宋体" w:hAnsi="Times New Roman" w:eastAsia="宋体" w:cs="Times New Roman"/>
          <w:b/>
          <w:sz w:val="26"/>
          <w:szCs w:val="26"/>
          <w14:ligatures w14:val="none"/>
        </w:rPr>
        <w:t xml:space="preserve">  资格审查条件(业绩最低要求)</w:t>
      </w:r>
      <w:bookmarkEnd w:id="3"/>
    </w:p>
    <w:p>
      <w:pPr>
        <w:jc w:val="center"/>
        <w:rPr>
          <w:rFonts w:ascii="宋体" w:hAnsi="Times New Roman" w:eastAsia="宋体" w:cs="Times New Roman"/>
          <w:szCs w:val="24"/>
          <w14:ligatures w14:val="none"/>
        </w:rPr>
      </w:pPr>
    </w:p>
    <w:tbl>
      <w:tblPr>
        <w:tblStyle w:val="2"/>
        <w:tblW w:w="494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9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jc w:val="center"/>
        </w:trPr>
        <w:tc>
          <w:tcPr>
            <w:tcW w:w="9033" w:type="dxa"/>
            <w:vAlign w:val="center"/>
          </w:tcPr>
          <w:p>
            <w:pPr>
              <w:snapToGrid w:val="0"/>
              <w:jc w:val="center"/>
              <w:rPr>
                <w:rFonts w:ascii="宋体" w:hAnsi="Times New Roman" w:eastAsia="宋体" w:cs="Times New Roman"/>
                <w:b/>
                <w:szCs w:val="21"/>
                <w14:ligatures w14:val="none"/>
              </w:rPr>
            </w:pPr>
            <w:r>
              <w:rPr>
                <w:rFonts w:hint="eastAsia" w:ascii="宋体" w:hAnsi="Times New Roman" w:eastAsia="宋体" w:cs="Times New Roman"/>
                <w:b/>
                <w:szCs w:val="21"/>
                <w14:ligatures w14:val="none"/>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378" w:hRule="atLeast"/>
          <w:jc w:val="center"/>
        </w:trPr>
        <w:tc>
          <w:tcPr>
            <w:tcW w:w="9033" w:type="dxa"/>
            <w:vAlign w:val="center"/>
          </w:tcPr>
          <w:p>
            <w:pPr>
              <w:snapToGrid w:val="0"/>
              <w:spacing w:line="360" w:lineRule="exact"/>
              <w:ind w:firstLine="420" w:firstLineChars="200"/>
              <w:rPr>
                <w:rFonts w:ascii="宋体" w:hAnsi="Times New Roman" w:eastAsia="宋体" w:cs="Times New Roman"/>
                <w:szCs w:val="21"/>
                <w14:ligatures w14:val="none"/>
              </w:rPr>
            </w:pPr>
            <w:r>
              <w:rPr>
                <w:rFonts w:hint="eastAsia" w:ascii="宋体" w:hAnsi="Times New Roman" w:eastAsia="宋体" w:cs="Times New Roman"/>
                <w:szCs w:val="21"/>
                <w14:ligatures w14:val="none"/>
              </w:rPr>
              <w:t>近5年</w:t>
            </w:r>
            <w:r>
              <w:rPr>
                <w:rFonts w:ascii="宋体" w:hAnsi="Times New Roman" w:eastAsia="宋体" w:cs="Times New Roman"/>
                <w:szCs w:val="21"/>
                <w14:ligatures w14:val="none"/>
              </w:rPr>
              <w:t>（</w:t>
            </w:r>
            <w:r>
              <w:rPr>
                <w:rFonts w:hint="eastAsia" w:ascii="宋体" w:hAnsi="Times New Roman" w:eastAsia="宋体" w:cs="Times New Roman"/>
                <w:szCs w:val="21"/>
                <w14:ligatures w14:val="none"/>
              </w:rPr>
              <w:t>2018年5月1日至投标截止时间，以交工时间为准</w:t>
            </w:r>
            <w:r>
              <w:rPr>
                <w:rFonts w:ascii="宋体" w:hAnsi="Times New Roman" w:eastAsia="宋体" w:cs="Times New Roman"/>
                <w:szCs w:val="21"/>
                <w14:ligatures w14:val="none"/>
              </w:rPr>
              <w:t>）</w:t>
            </w:r>
            <w:r>
              <w:rPr>
                <w:rFonts w:hint="eastAsia" w:ascii="宋体" w:hAnsi="Times New Roman" w:eastAsia="宋体" w:cs="Times New Roman"/>
                <w:szCs w:val="21"/>
                <w14:ligatures w14:val="none"/>
              </w:rPr>
              <w:t>至少</w:t>
            </w:r>
            <w:r>
              <w:rPr>
                <w:rFonts w:ascii="宋体" w:hAnsi="Times New Roman" w:eastAsia="宋体" w:cs="Times New Roman"/>
                <w:szCs w:val="21"/>
                <w14:ligatures w14:val="none"/>
              </w:rPr>
              <w:t>独立完成</w:t>
            </w:r>
            <w:r>
              <w:rPr>
                <w:rFonts w:hint="eastAsia" w:ascii="宋体" w:hAnsi="Times New Roman" w:eastAsia="宋体" w:cs="Times New Roman"/>
                <w:szCs w:val="21"/>
                <w14:ligatures w14:val="none"/>
              </w:rPr>
              <w:t>过1项高速公路（新建或改扩建或养护）工程（含路面工程）和1项高速公路（新建或改扩建或养护）工程（含桥梁工程）施工监理业绩。</w:t>
            </w:r>
          </w:p>
          <w:p>
            <w:pPr>
              <w:snapToGrid w:val="0"/>
              <w:spacing w:line="360" w:lineRule="exact"/>
              <w:ind w:firstLine="420" w:firstLineChars="200"/>
              <w:rPr>
                <w:rFonts w:ascii="宋体" w:hAnsi="Times New Roman" w:eastAsia="宋体" w:cs="Times New Roman"/>
                <w:bCs/>
                <w:szCs w:val="21"/>
                <w14:ligatures w14:val="none"/>
              </w:rPr>
            </w:pPr>
            <w:r>
              <w:rPr>
                <w:rFonts w:hint="eastAsia" w:ascii="宋体" w:hAnsi="Times New Roman" w:eastAsia="宋体" w:cs="Times New Roman"/>
                <w:bCs/>
                <w:szCs w:val="21"/>
                <w14:ligatures w14:val="none"/>
              </w:rPr>
              <w:t>注：上述2项业绩可包含在一个单项合同中。</w:t>
            </w:r>
          </w:p>
        </w:tc>
      </w:tr>
    </w:tbl>
    <w:p>
      <w:pPr>
        <w:rPr>
          <w:rFonts w:ascii="宋体" w:hAnsi="Times New Roman" w:eastAsia="宋体" w:cs="Times New Roman"/>
          <w:szCs w:val="24"/>
          <w14:ligatures w14:val="none"/>
        </w:rPr>
      </w:pPr>
    </w:p>
    <w:p>
      <w:pPr>
        <w:rPr>
          <w:rFonts w:ascii="宋体" w:hAnsi="Times New Roman" w:eastAsia="宋体" w:cs="Times New Roman"/>
          <w:szCs w:val="24"/>
          <w14:ligatures w14:val="none"/>
        </w:rPr>
      </w:pPr>
    </w:p>
    <w:p>
      <w:pPr>
        <w:jc w:val="center"/>
        <w:rPr>
          <w:rFonts w:ascii="宋体" w:hAnsi="Times New Roman" w:eastAsia="宋体" w:cs="Times New Roman"/>
          <w:b/>
          <w:sz w:val="26"/>
          <w:szCs w:val="26"/>
          <w14:ligatures w14:val="none"/>
        </w:rPr>
      </w:pPr>
      <w:bookmarkStart w:id="4" w:name="_Toc365441080"/>
      <w:r>
        <w:rPr>
          <w:rFonts w:hint="eastAsia" w:ascii="宋体" w:hAnsi="Times New Roman" w:eastAsia="宋体" w:cs="Times New Roman"/>
          <w:b/>
          <w:sz w:val="26"/>
          <w:szCs w:val="26"/>
          <w14:ligatures w14:val="none"/>
        </w:rPr>
        <w:t>附录</w:t>
      </w:r>
      <w:r>
        <w:rPr>
          <w:rFonts w:ascii="宋体" w:hAnsi="Times New Roman" w:eastAsia="宋体" w:cs="Times New Roman"/>
          <w:b/>
          <w:sz w:val="26"/>
          <w:szCs w:val="26"/>
          <w14:ligatures w14:val="none"/>
        </w:rPr>
        <w:t>3</w:t>
      </w:r>
      <w:r>
        <w:rPr>
          <w:rFonts w:hint="eastAsia" w:ascii="宋体" w:hAnsi="Times New Roman" w:eastAsia="宋体" w:cs="Times New Roman"/>
          <w:b/>
          <w:sz w:val="26"/>
          <w:szCs w:val="26"/>
          <w14:ligatures w14:val="none"/>
        </w:rPr>
        <w:t xml:space="preserve">  资格审查条件(信誉最低要求)</w:t>
      </w:r>
      <w:bookmarkEnd w:id="4"/>
    </w:p>
    <w:p>
      <w:pPr>
        <w:jc w:val="center"/>
        <w:rPr>
          <w:rFonts w:ascii="宋体" w:hAnsi="Times New Roman" w:eastAsia="宋体" w:cs="Times New Roman"/>
          <w:szCs w:val="24"/>
          <w14:ligatures w14:val="none"/>
        </w:rPr>
      </w:pPr>
    </w:p>
    <w:tbl>
      <w:tblPr>
        <w:tblStyle w:val="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135" w:type="dxa"/>
            <w:vAlign w:val="center"/>
          </w:tcPr>
          <w:p>
            <w:pPr>
              <w:snapToGrid w:val="0"/>
              <w:jc w:val="center"/>
              <w:rPr>
                <w:rFonts w:ascii="宋体" w:hAnsi="Times New Roman" w:eastAsia="宋体" w:cs="Times New Roman"/>
                <w:b/>
                <w:szCs w:val="21"/>
                <w14:ligatures w14:val="none"/>
              </w:rPr>
            </w:pPr>
            <w:r>
              <w:rPr>
                <w:rFonts w:hint="eastAsia" w:ascii="宋体" w:hAnsi="Times New Roman" w:eastAsia="宋体" w:cs="Times New Roman"/>
                <w:b/>
                <w:szCs w:val="21"/>
                <w14:ligatures w14:val="none"/>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4" w:hRule="atLeast"/>
        </w:trPr>
        <w:tc>
          <w:tcPr>
            <w:tcW w:w="9135" w:type="dxa"/>
            <w:vAlign w:val="center"/>
          </w:tcPr>
          <w:p>
            <w:pPr>
              <w:ind w:firstLine="420" w:firstLineChars="200"/>
              <w:rPr>
                <w:rFonts w:ascii="宋体" w:hAnsi="Times New Roman" w:eastAsia="宋体" w:cs="Times New Roman"/>
                <w:szCs w:val="21"/>
                <w14:ligatures w14:val="none"/>
              </w:rPr>
            </w:pPr>
            <w:r>
              <w:rPr>
                <w:rFonts w:hint="eastAsia" w:ascii="宋体" w:hAnsi="Times New Roman" w:eastAsia="宋体" w:cs="Times New Roman"/>
                <w:szCs w:val="21"/>
                <w14:ligatures w14:val="none"/>
              </w:rPr>
              <w:t>投标人在近一年（2022年5月1日至投标截止时间）不曾在公路工程监理合同中违约而被驱逐或因投标人自身的原因而使公路工程监理合同被解除。</w:t>
            </w:r>
          </w:p>
        </w:tc>
      </w:tr>
    </w:tbl>
    <w:p>
      <w:pPr>
        <w:jc w:val="center"/>
        <w:outlineLvl w:val="2"/>
        <w:rPr>
          <w:rFonts w:ascii="宋体" w:hAnsi="Times New Roman" w:eastAsia="宋体" w:cs="Times New Roman"/>
          <w:b/>
          <w:szCs w:val="21"/>
          <w14:ligatures w14:val="none"/>
        </w:rPr>
      </w:pPr>
      <w:bookmarkStart w:id="5" w:name="_Toc365441081"/>
    </w:p>
    <w:p>
      <w:pPr>
        <w:jc w:val="center"/>
        <w:outlineLvl w:val="2"/>
        <w:rPr>
          <w:rFonts w:ascii="宋体" w:hAnsi="Times New Roman" w:eastAsia="宋体" w:cs="Times New Roman"/>
          <w:b/>
          <w:szCs w:val="21"/>
          <w14:ligatures w14:val="none"/>
        </w:rPr>
      </w:pPr>
    </w:p>
    <w:p>
      <w:pPr>
        <w:jc w:val="center"/>
        <w:rPr>
          <w:rFonts w:hint="eastAsia" w:ascii="宋体" w:hAnsi="Times New Roman" w:eastAsia="宋体" w:cs="Times New Roman"/>
          <w:b/>
          <w:sz w:val="26"/>
          <w:szCs w:val="26"/>
          <w14:ligatures w14:val="none"/>
        </w:rPr>
      </w:pPr>
    </w:p>
    <w:p>
      <w:pPr>
        <w:jc w:val="center"/>
        <w:rPr>
          <w:rFonts w:hint="eastAsia" w:ascii="宋体" w:hAnsi="Times New Roman" w:eastAsia="宋体" w:cs="Times New Roman"/>
          <w:b/>
          <w:sz w:val="26"/>
          <w:szCs w:val="26"/>
          <w14:ligatures w14:val="none"/>
        </w:rPr>
      </w:pPr>
    </w:p>
    <w:p>
      <w:pPr>
        <w:jc w:val="center"/>
        <w:rPr>
          <w:rFonts w:hint="eastAsia" w:ascii="宋体" w:hAnsi="Times New Roman" w:eastAsia="宋体" w:cs="Times New Roman"/>
          <w:b/>
          <w:sz w:val="26"/>
          <w:szCs w:val="26"/>
          <w14:ligatures w14:val="none"/>
        </w:rPr>
      </w:pPr>
    </w:p>
    <w:p>
      <w:pPr>
        <w:jc w:val="center"/>
        <w:rPr>
          <w:rFonts w:hint="eastAsia" w:ascii="宋体" w:hAnsi="Times New Roman" w:eastAsia="宋体" w:cs="Times New Roman"/>
          <w:b/>
          <w:sz w:val="26"/>
          <w:szCs w:val="26"/>
          <w14:ligatures w14:val="none"/>
        </w:rPr>
      </w:pPr>
    </w:p>
    <w:p>
      <w:pPr>
        <w:jc w:val="center"/>
        <w:rPr>
          <w:rFonts w:hint="eastAsia" w:ascii="宋体" w:hAnsi="Times New Roman" w:eastAsia="宋体" w:cs="Times New Roman"/>
          <w:b/>
          <w:sz w:val="26"/>
          <w:szCs w:val="26"/>
          <w14:ligatures w14:val="none"/>
        </w:rPr>
      </w:pPr>
    </w:p>
    <w:p>
      <w:pPr>
        <w:jc w:val="center"/>
        <w:rPr>
          <w:rFonts w:ascii="宋体" w:hAnsi="Times New Roman" w:eastAsia="宋体" w:cs="Times New Roman"/>
          <w:b/>
          <w:sz w:val="26"/>
          <w:szCs w:val="26"/>
          <w14:ligatures w14:val="none"/>
        </w:rPr>
      </w:pPr>
      <w:bookmarkStart w:id="20" w:name="_GoBack"/>
      <w:bookmarkEnd w:id="20"/>
      <w:r>
        <w:rPr>
          <w:rFonts w:hint="eastAsia" w:ascii="宋体" w:hAnsi="Times New Roman" w:eastAsia="宋体" w:cs="Times New Roman"/>
          <w:b/>
          <w:sz w:val="26"/>
          <w:szCs w:val="26"/>
          <w14:ligatures w14:val="none"/>
        </w:rPr>
        <w:t>附录</w:t>
      </w:r>
      <w:r>
        <w:rPr>
          <w:rFonts w:ascii="宋体" w:hAnsi="Times New Roman" w:eastAsia="宋体" w:cs="Times New Roman"/>
          <w:b/>
          <w:sz w:val="26"/>
          <w:szCs w:val="26"/>
          <w14:ligatures w14:val="none"/>
        </w:rPr>
        <w:t>4</w:t>
      </w:r>
      <w:r>
        <w:rPr>
          <w:rFonts w:hint="eastAsia" w:ascii="宋体" w:hAnsi="Times New Roman" w:eastAsia="宋体" w:cs="Times New Roman"/>
          <w:b/>
          <w:sz w:val="26"/>
          <w:szCs w:val="26"/>
          <w14:ligatures w14:val="none"/>
        </w:rPr>
        <w:t xml:space="preserve">  资格审查条件(总监理工程师最低要求)</w:t>
      </w:r>
      <w:bookmarkEnd w:id="5"/>
    </w:p>
    <w:p>
      <w:pPr>
        <w:jc w:val="center"/>
        <w:rPr>
          <w:rFonts w:ascii="宋体" w:hAnsi="Times New Roman" w:eastAsia="宋体" w:cs="Times New Roman"/>
          <w:b/>
          <w:szCs w:val="21"/>
          <w14:ligatures w14:val="none"/>
        </w:rPr>
      </w:pPr>
    </w:p>
    <w:tbl>
      <w:tblPr>
        <w:tblStyle w:val="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967"/>
        <w:gridCol w:w="702"/>
        <w:gridCol w:w="5716"/>
        <w:gridCol w:w="16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501" w:hRule="atLeast"/>
          <w:jc w:val="center"/>
        </w:trPr>
        <w:tc>
          <w:tcPr>
            <w:tcW w:w="978" w:type="dxa"/>
            <w:tcBorders>
              <w:left w:val="single" w:color="auto" w:sz="12" w:space="0"/>
            </w:tcBorders>
            <w:vAlign w:val="center"/>
          </w:tcPr>
          <w:p>
            <w:pPr>
              <w:spacing w:line="440" w:lineRule="exact"/>
              <w:jc w:val="center"/>
              <w:rPr>
                <w:rFonts w:ascii="Times New Roman" w:hAnsi="Times New Roman" w:eastAsia="宋体" w:cs="Times New Roman"/>
                <w:b/>
                <w:szCs w:val="21"/>
                <w14:ligatures w14:val="none"/>
              </w:rPr>
            </w:pPr>
            <w:r>
              <w:rPr>
                <w:rFonts w:ascii="Times New Roman" w:hAnsi="Times New Roman" w:eastAsia="宋体" w:cs="Times New Roman"/>
                <w:b/>
                <w:szCs w:val="21"/>
                <w14:ligatures w14:val="none"/>
              </w:rPr>
              <w:t>人员</w:t>
            </w:r>
          </w:p>
        </w:tc>
        <w:tc>
          <w:tcPr>
            <w:tcW w:w="708" w:type="dxa"/>
            <w:vAlign w:val="center"/>
          </w:tcPr>
          <w:p>
            <w:pPr>
              <w:spacing w:line="440" w:lineRule="exact"/>
              <w:jc w:val="center"/>
              <w:rPr>
                <w:rFonts w:ascii="Times New Roman" w:hAnsi="Times New Roman" w:eastAsia="宋体" w:cs="Times New Roman"/>
                <w:b/>
                <w:szCs w:val="21"/>
                <w14:ligatures w14:val="none"/>
              </w:rPr>
            </w:pPr>
            <w:r>
              <w:rPr>
                <w:rFonts w:ascii="Times New Roman" w:hAnsi="Times New Roman" w:eastAsia="宋体" w:cs="Times New Roman"/>
                <w:b/>
                <w:szCs w:val="21"/>
                <w14:ligatures w14:val="none"/>
              </w:rPr>
              <w:t>数量</w:t>
            </w:r>
          </w:p>
        </w:tc>
        <w:tc>
          <w:tcPr>
            <w:tcW w:w="5812" w:type="dxa"/>
            <w:vAlign w:val="center"/>
          </w:tcPr>
          <w:p>
            <w:pPr>
              <w:spacing w:line="440" w:lineRule="exact"/>
              <w:jc w:val="center"/>
              <w:rPr>
                <w:rFonts w:ascii="Times New Roman" w:hAnsi="Times New Roman" w:eastAsia="宋体" w:cs="Times New Roman"/>
                <w:b/>
                <w:szCs w:val="21"/>
                <w14:ligatures w14:val="none"/>
              </w:rPr>
            </w:pPr>
            <w:r>
              <w:rPr>
                <w:rFonts w:ascii="Times New Roman" w:hAnsi="Times New Roman" w:eastAsia="宋体" w:cs="Times New Roman"/>
                <w:b/>
                <w:szCs w:val="21"/>
                <w14:ligatures w14:val="none"/>
              </w:rPr>
              <w:t>资格要求</w:t>
            </w:r>
          </w:p>
        </w:tc>
        <w:tc>
          <w:tcPr>
            <w:tcW w:w="1684" w:type="dxa"/>
          </w:tcPr>
          <w:p>
            <w:pPr>
              <w:spacing w:line="440" w:lineRule="exact"/>
              <w:jc w:val="center"/>
              <w:rPr>
                <w:rFonts w:ascii="Times New Roman" w:hAnsi="Times New Roman" w:eastAsia="宋体" w:cs="Times New Roman"/>
                <w:b/>
                <w:szCs w:val="21"/>
                <w14:ligatures w14:val="none"/>
              </w:rPr>
            </w:pPr>
            <w:r>
              <w:rPr>
                <w:rFonts w:hint="eastAsia" w:ascii="Times New Roman" w:hAnsi="Times New Roman" w:eastAsia="宋体" w:cs="Times New Roman"/>
                <w:b/>
                <w:szCs w:val="21"/>
                <w14:ligatures w14:val="none"/>
              </w:rPr>
              <w:t>在岗情况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2111" w:hRule="atLeast"/>
          <w:jc w:val="center"/>
        </w:trPr>
        <w:tc>
          <w:tcPr>
            <w:tcW w:w="978" w:type="dxa"/>
            <w:tcBorders>
              <w:left w:val="single" w:color="auto" w:sz="12" w:space="0"/>
            </w:tcBorders>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总监理</w:t>
            </w:r>
          </w:p>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工程师</w:t>
            </w:r>
          </w:p>
        </w:tc>
        <w:tc>
          <w:tcPr>
            <w:tcW w:w="708" w:type="dxa"/>
            <w:vAlign w:val="center"/>
          </w:tcPr>
          <w:p>
            <w:pPr>
              <w:adjustRightInd w:val="0"/>
              <w:snapToGrid w:val="0"/>
              <w:spacing w:line="440" w:lineRule="exact"/>
              <w:jc w:val="cente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1</w:t>
            </w:r>
          </w:p>
        </w:tc>
        <w:tc>
          <w:tcPr>
            <w:tcW w:w="5812" w:type="dxa"/>
            <w:vAlign w:val="center"/>
          </w:tcPr>
          <w:p>
            <w:pPr>
              <w:ind w:firstLine="420" w:firstLineChars="200"/>
              <w:rPr>
                <w:rFonts w:ascii="宋体" w:hAnsi="宋体" w:eastAsia="宋体" w:cs="宋体"/>
                <w:kern w:val="0"/>
                <w:szCs w:val="21"/>
                <w14:ligatures w14:val="none"/>
              </w:rPr>
            </w:pPr>
            <w:bookmarkStart w:id="6" w:name="_Hlk46687541"/>
            <w:r>
              <w:rPr>
                <w:rFonts w:hint="eastAsia" w:ascii="宋体" w:hAnsi="宋体" w:eastAsia="宋体" w:cs="Times New Roman"/>
                <w:szCs w:val="24"/>
                <w14:ligatures w14:val="none"/>
              </w:rPr>
              <w:t>中级及以上工程师职称，具有注册监理工程师注册证书(公路工程)或交通运输部颁发的监理工程师资格证书(道路与桥梁专业)。</w:t>
            </w:r>
          </w:p>
          <w:p>
            <w:pPr>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近5年</w:t>
            </w:r>
            <w:r>
              <w:rPr>
                <w:rFonts w:ascii="宋体" w:hAnsi="Times New Roman" w:eastAsia="宋体" w:cs="Times New Roman"/>
                <w:szCs w:val="21"/>
                <w14:ligatures w14:val="none"/>
              </w:rPr>
              <w:t>（</w:t>
            </w:r>
            <w:r>
              <w:rPr>
                <w:rFonts w:hint="eastAsia" w:ascii="宋体" w:hAnsi="Times New Roman" w:eastAsia="宋体" w:cs="Times New Roman"/>
                <w:szCs w:val="21"/>
                <w14:ligatures w14:val="none"/>
              </w:rPr>
              <w:t>2018年5月1日至投标截止时间，以交工时间为准</w:t>
            </w:r>
            <w:r>
              <w:rPr>
                <w:rFonts w:ascii="宋体" w:hAnsi="Times New Roman" w:eastAsia="宋体" w:cs="Times New Roman"/>
                <w:szCs w:val="21"/>
                <w14:ligatures w14:val="none"/>
              </w:rPr>
              <w:t>）</w:t>
            </w:r>
            <w:r>
              <w:rPr>
                <w:rFonts w:hint="eastAsia" w:ascii="宋体" w:hAnsi="宋体" w:eastAsia="宋体" w:cs="Times New Roman"/>
                <w:szCs w:val="21"/>
                <w14:ligatures w14:val="none"/>
              </w:rPr>
              <w:t>至少担任</w:t>
            </w:r>
            <w:r>
              <w:rPr>
                <w:rFonts w:ascii="宋体" w:hAnsi="宋体" w:eastAsia="宋体" w:cs="Times New Roman"/>
                <w:szCs w:val="21"/>
                <w14:ligatures w14:val="none"/>
              </w:rPr>
              <w:t>过</w:t>
            </w:r>
            <w:r>
              <w:rPr>
                <w:rFonts w:hint="eastAsia" w:ascii="宋体" w:hAnsi="宋体" w:eastAsia="宋体" w:cs="Times New Roman"/>
                <w:szCs w:val="21"/>
                <w14:ligatures w14:val="none"/>
              </w:rPr>
              <w:t>1项高速公路（新建或改扩建或养护）工程（含路面工程）和1项高速公路（新建或改扩建或养护）工程（含桥梁工程）的总监理工程师或驻地监理工程师。</w:t>
            </w:r>
            <w:bookmarkEnd w:id="6"/>
          </w:p>
          <w:p>
            <w:pPr>
              <w:ind w:firstLine="420" w:firstLineChars="200"/>
              <w:rPr>
                <w:rFonts w:ascii="Times New Roman" w:hAnsi="Times New Roman" w:eastAsia="宋体" w:cs="Times New Roman"/>
                <w:szCs w:val="24"/>
                <w14:ligatures w14:val="none"/>
              </w:rPr>
            </w:pPr>
            <w:r>
              <w:rPr>
                <w:rFonts w:hint="eastAsia" w:ascii="宋体" w:hAnsi="Times New Roman" w:eastAsia="宋体" w:cs="Times New Roman"/>
                <w:bCs/>
                <w:szCs w:val="21"/>
                <w14:ligatures w14:val="none"/>
              </w:rPr>
              <w:t>注：上述2项业绩可包含在一个单项合同中。</w:t>
            </w:r>
          </w:p>
        </w:tc>
        <w:tc>
          <w:tcPr>
            <w:tcW w:w="1684" w:type="dxa"/>
            <w:vAlign w:val="center"/>
          </w:tcPr>
          <w:p>
            <w:pPr>
              <w:rPr>
                <w:rFonts w:ascii="宋体" w:hAnsi="宋体" w:eastAsia="宋体" w:cs="Times New Roman"/>
                <w:szCs w:val="21"/>
                <w14:ligatures w14:val="none"/>
              </w:rPr>
            </w:pPr>
            <w:r>
              <w:rPr>
                <w:rFonts w:hint="eastAsia" w:ascii="宋体" w:hAnsi="宋体" w:eastAsia="宋体" w:cs="Times New Roman"/>
                <w:szCs w:val="24"/>
                <w14:ligatures w14:val="none"/>
              </w:rPr>
              <w:t>未在其他项目上任职，或虽在其他项目上任职但本项目中标后能够从该项目撤离。</w:t>
            </w:r>
          </w:p>
        </w:tc>
      </w:tr>
    </w:tbl>
    <w:p>
      <w:pPr>
        <w:keepNext/>
        <w:keepLines/>
        <w:snapToGrid w:val="0"/>
        <w:spacing w:before="120" w:after="120"/>
        <w:outlineLvl w:val="2"/>
        <w:rPr>
          <w:rFonts w:ascii="Times New Roman" w:hAnsi="Times New Roman" w:eastAsia="黑体" w:cs="Times New Roman"/>
          <w:b/>
          <w:sz w:val="28"/>
          <w:szCs w:val="28"/>
          <w14:ligatures w14:val="none"/>
        </w:rPr>
      </w:pPr>
      <w:r>
        <w:rPr>
          <w:rFonts w:ascii="Times New Roman" w:hAnsi="Times New Roman" w:eastAsia="宋体" w:cs="Times New Roman"/>
          <w:bCs/>
          <w:sz w:val="24"/>
          <w:szCs w:val="32"/>
          <w14:ligatures w14:val="none"/>
        </w:rPr>
        <w:br w:type="page"/>
      </w:r>
      <w:bookmarkStart w:id="7" w:name="_Toc513624014"/>
      <w:r>
        <w:rPr>
          <w:rFonts w:hint="eastAsia" w:ascii="宋体" w:hAnsi="宋体" w:eastAsia="宋体" w:cs="Times New Roman"/>
          <w:b/>
          <w:bCs/>
          <w:sz w:val="24"/>
          <w:szCs w:val="24"/>
          <w14:ligatures w14:val="none"/>
        </w:rPr>
        <w:t>附件</w:t>
      </w:r>
      <w:r>
        <w:rPr>
          <w:rFonts w:ascii="宋体" w:hAnsi="宋体" w:eastAsia="宋体" w:cs="Times New Roman"/>
          <w:b/>
          <w:bCs/>
          <w:sz w:val="24"/>
          <w:szCs w:val="24"/>
          <w14:ligatures w14:val="none"/>
        </w:rPr>
        <w:t>2</w:t>
      </w:r>
      <w:r>
        <w:rPr>
          <w:rFonts w:hint="eastAsia" w:ascii="宋体" w:hAnsi="宋体" w:eastAsia="宋体" w:cs="Times New Roman"/>
          <w:b/>
          <w:bCs/>
          <w:sz w:val="24"/>
          <w:szCs w:val="24"/>
          <w14:ligatures w14:val="none"/>
        </w:rPr>
        <w:t>：评标办法</w:t>
      </w:r>
      <w:bookmarkEnd w:id="7"/>
    </w:p>
    <w:p>
      <w:pPr>
        <w:keepNext/>
        <w:keepLines/>
        <w:spacing w:line="276" w:lineRule="auto"/>
        <w:jc w:val="center"/>
        <w:outlineLvl w:val="1"/>
        <w:rPr>
          <w:rFonts w:ascii="宋体" w:hAnsi="宋体" w:eastAsia="宋体" w:cs="Times New Roman"/>
          <w:b/>
          <w:bCs/>
          <w:kern w:val="28"/>
          <w:sz w:val="30"/>
          <w:szCs w:val="30"/>
          <w14:ligatures w14:val="none"/>
        </w:rPr>
      </w:pPr>
      <w:bookmarkStart w:id="8" w:name="_Toc509659998"/>
      <w:bookmarkStart w:id="9" w:name="_Toc509660966"/>
      <w:bookmarkStart w:id="10" w:name="_Toc450319202"/>
      <w:bookmarkStart w:id="11" w:name="_Toc513624015"/>
      <w:bookmarkStart w:id="12" w:name="_Toc459307890"/>
      <w:bookmarkStart w:id="13" w:name="_Toc502992691"/>
      <w:bookmarkStart w:id="14" w:name="_Toc444271617"/>
      <w:bookmarkStart w:id="15" w:name="_Toc444088432"/>
      <w:bookmarkStart w:id="16" w:name="_Toc445382083"/>
      <w:bookmarkStart w:id="17" w:name="_Toc445222503"/>
      <w:r>
        <w:rPr>
          <w:rFonts w:hint="eastAsia" w:ascii="宋体" w:hAnsi="宋体" w:eastAsia="宋体" w:cs="Times New Roman"/>
          <w:b/>
          <w:bCs/>
          <w:kern w:val="28"/>
          <w:sz w:val="30"/>
          <w:szCs w:val="30"/>
          <w14:ligatures w14:val="none"/>
        </w:rPr>
        <w:t>评标办法（综合评估法）</w:t>
      </w:r>
      <w:bookmarkEnd w:id="8"/>
      <w:bookmarkEnd w:id="9"/>
      <w:bookmarkEnd w:id="10"/>
      <w:bookmarkEnd w:id="11"/>
      <w:bookmarkEnd w:id="12"/>
      <w:bookmarkEnd w:id="13"/>
    </w:p>
    <w:p>
      <w:pPr>
        <w:keepNext/>
        <w:keepLines/>
        <w:snapToGrid w:val="0"/>
        <w:spacing w:before="120" w:after="120"/>
        <w:outlineLvl w:val="2"/>
        <w:rPr>
          <w:rFonts w:ascii="宋体" w:hAnsi="宋体" w:eastAsia="宋体" w:cs="Times New Roman"/>
          <w:b/>
          <w:bCs/>
          <w:sz w:val="24"/>
          <w:szCs w:val="24"/>
          <w14:ligatures w14:val="none"/>
        </w:rPr>
      </w:pPr>
      <w:r>
        <w:rPr>
          <w:rFonts w:hint="eastAsia" w:ascii="宋体" w:hAnsi="宋体" w:eastAsia="宋体" w:cs="Times New Roman"/>
          <w:b/>
          <w:bCs/>
          <w:sz w:val="24"/>
          <w:szCs w:val="24"/>
          <w14:ligatures w14:val="none"/>
        </w:rPr>
        <w:t>评标办法前附表</w:t>
      </w:r>
    </w:p>
    <w:bookmarkEnd w:id="14"/>
    <w:bookmarkEnd w:id="15"/>
    <w:bookmarkEnd w:id="16"/>
    <w:bookmarkEnd w:id="17"/>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20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557" w:type="pct"/>
            <w:vAlign w:val="center"/>
          </w:tcPr>
          <w:p>
            <w:pPr>
              <w:jc w:val="center"/>
              <w:rPr>
                <w:rFonts w:ascii="宋体" w:hAnsi="宋体" w:eastAsia="宋体" w:cs="Times New Roman"/>
                <w:szCs w:val="21"/>
                <w14:ligatures w14:val="none"/>
              </w:rPr>
            </w:pPr>
            <w:bookmarkStart w:id="18" w:name="_Hlk133521585"/>
            <w:r>
              <w:rPr>
                <w:rFonts w:hint="eastAsia" w:ascii="宋体" w:hAnsi="宋体" w:eastAsia="宋体" w:cs="Times New Roman"/>
                <w:szCs w:val="21"/>
                <w14:ligatures w14:val="none"/>
              </w:rPr>
              <w:t>条款号</w:t>
            </w:r>
          </w:p>
        </w:tc>
        <w:tc>
          <w:tcPr>
            <w:tcW w:w="663" w:type="pct"/>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条款名称</w:t>
            </w:r>
          </w:p>
        </w:tc>
        <w:tc>
          <w:tcPr>
            <w:tcW w:w="3780" w:type="pct"/>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557" w:type="pct"/>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1</w:t>
            </w:r>
          </w:p>
        </w:tc>
        <w:tc>
          <w:tcPr>
            <w:tcW w:w="663" w:type="pct"/>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评标办法</w:t>
            </w:r>
          </w:p>
        </w:tc>
        <w:tc>
          <w:tcPr>
            <w:tcW w:w="3780" w:type="pct"/>
            <w:vAlign w:val="center"/>
          </w:tcPr>
          <w:p>
            <w:pPr>
              <w:spacing w:line="288" w:lineRule="auto"/>
              <w:jc w:val="left"/>
              <w:rPr>
                <w:rFonts w:ascii="宋体" w:hAnsi="宋体" w:eastAsia="宋体" w:cs="Times New Roman"/>
                <w:spacing w:val="-4"/>
                <w:szCs w:val="21"/>
                <w14:ligatures w14:val="none"/>
              </w:rPr>
            </w:pPr>
            <w:r>
              <w:rPr>
                <w:rFonts w:hint="eastAsia" w:ascii="宋体" w:hAnsi="宋体" w:eastAsia="宋体" w:cs="Times New Roman"/>
                <w:spacing w:val="-4"/>
                <w:szCs w:val="21"/>
                <w14:ligatures w14:val="none"/>
              </w:rPr>
              <w:t>本次评标采用综合评估法。评标委员会对满足招标文件实质性要求的投标文件，按照本章第2.2款规定的评分标准进行打分，并按得分由高到低顺序推荐中标候选人，综合评分相等时，评标委员会依次按照以下优先顺序推荐中标候选人：</w:t>
            </w:r>
          </w:p>
          <w:p>
            <w:pPr>
              <w:spacing w:line="288" w:lineRule="auto"/>
              <w:ind w:left="205" w:leftChars="97" w:hanging="1"/>
              <w:jc w:val="left"/>
              <w:rPr>
                <w:rFonts w:ascii="宋体" w:hAnsi="宋体" w:eastAsia="宋体" w:cs="Times New Roman"/>
                <w:spacing w:val="-4"/>
                <w:szCs w:val="21"/>
                <w14:ligatures w14:val="none"/>
              </w:rPr>
            </w:pPr>
            <w:r>
              <w:rPr>
                <w:rFonts w:hint="eastAsia" w:ascii="宋体" w:hAnsi="宋体" w:eastAsia="宋体" w:cs="Times New Roman"/>
                <w:spacing w:val="-4"/>
                <w:szCs w:val="21"/>
                <w14:ligatures w14:val="none"/>
              </w:rPr>
              <w:t>（1）评标价低的投标人优先；</w:t>
            </w:r>
          </w:p>
          <w:p>
            <w:pPr>
              <w:spacing w:line="288" w:lineRule="auto"/>
              <w:ind w:left="205" w:leftChars="97" w:hanging="1"/>
              <w:jc w:val="left"/>
              <w:rPr>
                <w:rFonts w:ascii="宋体" w:hAnsi="宋体" w:eastAsia="宋体" w:cs="Times New Roman"/>
                <w:spacing w:val="-4"/>
                <w:szCs w:val="21"/>
                <w14:ligatures w14:val="none"/>
              </w:rPr>
            </w:pPr>
            <w:r>
              <w:rPr>
                <w:rFonts w:hint="eastAsia" w:ascii="宋体" w:hAnsi="宋体" w:eastAsia="宋体" w:cs="Times New Roman"/>
                <w:spacing w:val="-4"/>
                <w:szCs w:val="21"/>
                <w14:ligatures w14:val="none"/>
              </w:rPr>
              <w:t>（2）技术建议书得分较高的投标人优先；</w:t>
            </w:r>
          </w:p>
          <w:p>
            <w:pPr>
              <w:spacing w:line="288" w:lineRule="auto"/>
              <w:ind w:left="205" w:leftChars="97" w:hanging="1"/>
              <w:jc w:val="left"/>
              <w:rPr>
                <w:rFonts w:ascii="宋体" w:hAnsi="宋体" w:eastAsia="宋体" w:cs="Times New Roman"/>
                <w:spacing w:val="-4"/>
                <w:szCs w:val="21"/>
                <w14:ligatures w14:val="none"/>
              </w:rPr>
            </w:pPr>
            <w:r>
              <w:rPr>
                <w:rFonts w:hint="eastAsia" w:ascii="宋体" w:hAnsi="宋体" w:eastAsia="宋体" w:cs="Times New Roman"/>
                <w:spacing w:val="-4"/>
                <w:szCs w:val="21"/>
                <w14:ligatures w14:val="none"/>
              </w:rPr>
              <w:t>（3）投标人满足资格审查条件(业绩最低条件)要求的业绩累计金额高的优先。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9" w:hRule="atLeast"/>
          <w:jc w:val="center"/>
        </w:trPr>
        <w:tc>
          <w:tcPr>
            <w:tcW w:w="557" w:type="pct"/>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2.1.1</w:t>
            </w:r>
          </w:p>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2.1.3</w:t>
            </w:r>
          </w:p>
        </w:tc>
        <w:tc>
          <w:tcPr>
            <w:tcW w:w="663" w:type="pct"/>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形式评审与响应性评审标准</w:t>
            </w:r>
          </w:p>
        </w:tc>
        <w:tc>
          <w:tcPr>
            <w:tcW w:w="3780" w:type="pct"/>
          </w:tcPr>
          <w:p>
            <w:pPr>
              <w:tabs>
                <w:tab w:val="left" w:pos="3060"/>
              </w:tabs>
              <w:spacing w:line="360" w:lineRule="exact"/>
              <w:rPr>
                <w:rFonts w:ascii="宋体" w:hAnsi="宋体" w:eastAsia="宋体" w:cs="Times New Roman"/>
                <w:b/>
                <w:szCs w:val="21"/>
                <w14:ligatures w14:val="none"/>
              </w:rPr>
            </w:pPr>
            <w:r>
              <w:rPr>
                <w:rFonts w:hint="eastAsia" w:ascii="宋体" w:hAnsi="宋体" w:eastAsia="宋体" w:cs="Times New Roman"/>
                <w:b/>
                <w:szCs w:val="21"/>
                <w14:ligatures w14:val="none"/>
              </w:rPr>
              <w:t>第一个信封（商务及技术文件）评审标准:</w:t>
            </w:r>
          </w:p>
          <w:p>
            <w:pPr>
              <w:tabs>
                <w:tab w:val="left" w:pos="3060"/>
              </w:tabs>
              <w:spacing w:line="360" w:lineRule="exact"/>
              <w:ind w:firstLine="210" w:firstLineChars="100"/>
              <w:rPr>
                <w:rFonts w:ascii="宋体" w:hAnsi="宋体" w:eastAsia="宋体" w:cs="Times New Roman"/>
                <w:bCs/>
                <w:szCs w:val="21"/>
                <w14:ligatures w14:val="none"/>
              </w:rPr>
            </w:pPr>
            <w:r>
              <w:rPr>
                <w:rFonts w:hint="eastAsia" w:ascii="宋体" w:hAnsi="宋体" w:eastAsia="宋体" w:cs="Times New Roman"/>
                <w:bCs/>
                <w:szCs w:val="21"/>
                <w14:ligatures w14:val="none"/>
              </w:rPr>
              <w:t>（1）投标文件按照招标文件规定的格式、内容填写，字迹清晰可辨：</w:t>
            </w:r>
          </w:p>
          <w:p>
            <w:pPr>
              <w:tabs>
                <w:tab w:val="left" w:pos="3060"/>
              </w:tabs>
              <w:spacing w:line="360" w:lineRule="exact"/>
              <w:ind w:firstLine="210" w:firstLineChars="100"/>
              <w:rPr>
                <w:rFonts w:ascii="宋体" w:hAnsi="宋体" w:eastAsia="宋体" w:cs="Times New Roman"/>
                <w:bCs/>
                <w:szCs w:val="21"/>
                <w14:ligatures w14:val="none"/>
              </w:rPr>
            </w:pPr>
            <w:r>
              <w:rPr>
                <w:rFonts w:hint="eastAsia" w:ascii="宋体" w:hAnsi="宋体" w:eastAsia="宋体" w:cs="Times New Roman"/>
                <w:bCs/>
                <w:szCs w:val="21"/>
                <w14:ligatures w14:val="none"/>
              </w:rPr>
              <w:t>a．投标函按招标文件规定填报了招标人名称、补遗书编号（如有）、总监理工程师相关信息、质量要求、安全目标、监理服务期限等；</w:t>
            </w:r>
          </w:p>
          <w:p>
            <w:pPr>
              <w:tabs>
                <w:tab w:val="left" w:pos="3060"/>
              </w:tabs>
              <w:spacing w:line="360" w:lineRule="exact"/>
              <w:ind w:firstLine="210" w:firstLineChars="100"/>
              <w:rPr>
                <w:rFonts w:ascii="宋体" w:hAnsi="宋体" w:eastAsia="宋体" w:cs="Times New Roman"/>
                <w:bCs/>
                <w:szCs w:val="21"/>
                <w14:ligatures w14:val="none"/>
              </w:rPr>
            </w:pPr>
            <w:r>
              <w:rPr>
                <w:rFonts w:hint="eastAsia" w:ascii="宋体" w:hAnsi="宋体" w:eastAsia="宋体" w:cs="Times New Roman"/>
                <w:bCs/>
                <w:szCs w:val="21"/>
                <w14:ligatures w14:val="none"/>
              </w:rPr>
              <w:t>b．投标文件组成齐全完整，内容均按规定填写。</w:t>
            </w:r>
          </w:p>
          <w:p>
            <w:pPr>
              <w:tabs>
                <w:tab w:val="left" w:pos="3060"/>
              </w:tabs>
              <w:spacing w:line="360" w:lineRule="exact"/>
              <w:ind w:firstLine="210" w:firstLineChars="100"/>
              <w:rPr>
                <w:rFonts w:ascii="宋体" w:hAnsi="宋体" w:eastAsia="宋体" w:cs="Times New Roman"/>
                <w:bCs/>
                <w:szCs w:val="21"/>
                <w14:ligatures w14:val="none"/>
              </w:rPr>
            </w:pPr>
            <w:r>
              <w:rPr>
                <w:rFonts w:hint="eastAsia" w:ascii="宋体" w:hAnsi="宋体" w:eastAsia="宋体" w:cs="Times New Roman"/>
                <w:bCs/>
                <w:szCs w:val="21"/>
                <w14:ligatures w14:val="none"/>
              </w:rPr>
              <w:t>（2）投标文件上法定代表人或其委托代理人的签字、投标人的单位盖章齐全，符合招标文件规定。</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（3）投标人按照招标文件的规定提供了投标保证金：</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a.投标保证金金额符合招标文件规定的金额，且投标保证金有效期不少于投标有效期；</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b.若投标保证金采用</w:t>
            </w:r>
            <w:r>
              <w:rPr>
                <w:rFonts w:hint="eastAsia" w:ascii="宋体" w:hAnsi="宋体" w:eastAsia="宋体" w:cs="宋体"/>
                <w:kern w:val="0"/>
                <w:szCs w:val="21"/>
                <w14:ligatures w14:val="none"/>
              </w:rPr>
              <w:t>电汇或转账</w:t>
            </w:r>
            <w:r>
              <w:rPr>
                <w:rFonts w:hint="eastAsia" w:ascii="宋体" w:hAnsi="宋体" w:eastAsia="宋体" w:cs="Times New Roman"/>
                <w:szCs w:val="21"/>
                <w14:ligatures w14:val="none"/>
              </w:rPr>
              <w:t>形式提交，投标人应在递交投标文件截止时间之前，将投标保证金由投标人的基本账户转入招标人指定账户；</w:t>
            </w:r>
          </w:p>
          <w:p>
            <w:pPr>
              <w:tabs>
                <w:tab w:val="left" w:pos="3060"/>
              </w:tabs>
              <w:spacing w:line="32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c.若投标保证金采用银行保函形式提交，银行保函的格式、开具保函的银行均满足招标文件要求，如为纸质银行保函还需在递交投标文件截止时间之前向招标人提交了银行保函原件。</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d．若投标保证金采用电子保证保险或电子担保保函形式提交，投标人应满足招标文件要求。</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4）投标人法定代表人授权委托代理人签署投标文件的，须提交授权委托书，授权委托书符合招标文件规定；投标人法定代表人若亲自签署投标文件的，提供了法定代表人身份证明，法定代表人身份证明符合招标文件规定。</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（5）投标人未以联合体形式投标。</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（6）</w:t>
            </w:r>
            <w:r>
              <w:rPr>
                <w:rFonts w:ascii="宋体" w:hAnsi="宋体" w:eastAsia="宋体" w:cs="Times New Roman"/>
                <w:szCs w:val="21"/>
                <w14:ligatures w14:val="none"/>
              </w:rPr>
              <w:t>投标人未对本项目提出分包计划</w:t>
            </w:r>
            <w:r>
              <w:rPr>
                <w:rFonts w:hint="eastAsia" w:ascii="宋体" w:hAnsi="宋体" w:eastAsia="宋体" w:cs="Times New Roman"/>
                <w:szCs w:val="21"/>
                <w14:ligatures w14:val="none"/>
              </w:rPr>
              <w:t>。</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（7）同一投标人未提交两个（或两个以上）不同的投标文件。</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（8）投标文件中未出现有关投标报价的内容。</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（9）投标文件载明的招标项目完成期限符合招标文件规定。</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（10）投标文件对招标文件的实质性要求和条件作出响应。</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（1</w:t>
            </w:r>
            <w:r>
              <w:rPr>
                <w:rFonts w:ascii="宋体" w:hAnsi="宋体" w:eastAsia="宋体" w:cs="Times New Roman"/>
                <w:szCs w:val="21"/>
                <w14:ligatures w14:val="none"/>
              </w:rPr>
              <w:t>1</w:t>
            </w:r>
            <w:r>
              <w:rPr>
                <w:rFonts w:hint="eastAsia" w:ascii="宋体" w:hAnsi="宋体" w:eastAsia="宋体" w:cs="Times New Roman"/>
                <w:szCs w:val="21"/>
                <w14:ligatures w14:val="none"/>
              </w:rPr>
              <w:t>）权利义务符合招标文件规定：</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a.投标人应接受招标文件规定的风险划分原则，未提出新的风险划分办法；</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b.投标人未增加发包人的责任范围，或减少投标人义务；</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c.投标人未提出不同的支付办法；</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d.投标人对合同纠纷、事故处理办法未提出异议；</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e.投标人在投标活动中无欺诈行为；</w:t>
            </w:r>
          </w:p>
          <w:p>
            <w:pPr>
              <w:tabs>
                <w:tab w:val="left" w:pos="3060"/>
              </w:tabs>
              <w:spacing w:line="36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f.投标人未对合同条款有重要保留。</w:t>
            </w:r>
          </w:p>
          <w:p>
            <w:pPr>
              <w:tabs>
                <w:tab w:val="left" w:pos="3060"/>
              </w:tabs>
              <w:spacing w:line="360" w:lineRule="exact"/>
              <w:ind w:firstLine="210" w:firstLineChars="100"/>
              <w:rPr>
                <w:rFonts w:ascii="宋体" w:hAnsi="宋体" w:eastAsia="宋体" w:cs="Times New Roman"/>
                <w:szCs w:val="21"/>
                <w14:ligatures w14:val="none"/>
              </w:rPr>
            </w:pPr>
          </w:p>
          <w:p>
            <w:pPr>
              <w:tabs>
                <w:tab w:val="left" w:pos="3060"/>
              </w:tabs>
              <w:spacing w:line="360" w:lineRule="exact"/>
              <w:rPr>
                <w:rFonts w:ascii="宋体" w:hAnsi="宋体" w:eastAsia="宋体" w:cs="Times New Roman"/>
                <w:b/>
                <w:szCs w:val="21"/>
                <w14:ligatures w14:val="none"/>
              </w:rPr>
            </w:pPr>
            <w:r>
              <w:rPr>
                <w:rFonts w:hint="eastAsia" w:ascii="宋体" w:hAnsi="宋体" w:eastAsia="宋体" w:cs="Times New Roman"/>
                <w:b/>
                <w:szCs w:val="21"/>
                <w14:ligatures w14:val="none"/>
              </w:rPr>
              <w:t>第二个信封（报价文件）评审标准：</w:t>
            </w:r>
          </w:p>
          <w:p>
            <w:pPr>
              <w:tabs>
                <w:tab w:val="left" w:pos="3060"/>
              </w:tabs>
              <w:spacing w:line="360" w:lineRule="exact"/>
              <w:ind w:firstLine="105" w:firstLineChars="50"/>
              <w:rPr>
                <w:rFonts w:ascii="宋体" w:hAnsi="宋体" w:eastAsia="宋体" w:cs="Times New Roman"/>
                <w:bCs/>
                <w:szCs w:val="21"/>
                <w14:ligatures w14:val="none"/>
              </w:rPr>
            </w:pPr>
            <w:r>
              <w:rPr>
                <w:rFonts w:hint="eastAsia" w:ascii="宋体" w:hAnsi="宋体" w:eastAsia="宋体" w:cs="Times New Roman"/>
                <w:bCs/>
                <w:szCs w:val="21"/>
                <w14:ligatures w14:val="none"/>
              </w:rPr>
              <w:t>（1）投标文件按照招标文件规定的格式、内容填写，字迹清晰可辨，内容齐全完整：</w:t>
            </w:r>
          </w:p>
          <w:p>
            <w:pPr>
              <w:tabs>
                <w:tab w:val="left" w:pos="3060"/>
              </w:tabs>
              <w:spacing w:line="360" w:lineRule="exact"/>
              <w:ind w:firstLine="315" w:firstLineChars="150"/>
              <w:rPr>
                <w:rFonts w:ascii="宋体" w:hAnsi="宋体" w:eastAsia="宋体" w:cs="Times New Roman"/>
                <w:bCs/>
                <w:szCs w:val="21"/>
                <w14:ligatures w14:val="none"/>
              </w:rPr>
            </w:pPr>
            <w:r>
              <w:rPr>
                <w:rFonts w:hint="eastAsia" w:ascii="宋体" w:hAnsi="宋体" w:eastAsia="宋体" w:cs="Times New Roman"/>
                <w:bCs/>
                <w:szCs w:val="21"/>
                <w14:ligatures w14:val="none"/>
              </w:rPr>
              <w:t>a．投标函按招标文件规定填报了招标人名称、补遗书编号（如有）、投标总报价、施工阶段监理服务费、交工验收与缺陷责任期阶段监理服务费等；</w:t>
            </w:r>
          </w:p>
          <w:p>
            <w:pPr>
              <w:tabs>
                <w:tab w:val="left" w:pos="3060"/>
              </w:tabs>
              <w:spacing w:line="360" w:lineRule="exact"/>
              <w:ind w:firstLine="315" w:firstLineChars="150"/>
              <w:rPr>
                <w:rFonts w:ascii="宋体" w:hAnsi="宋体" w:eastAsia="宋体" w:cs="Times New Roman"/>
                <w:bCs/>
                <w:szCs w:val="21"/>
                <w14:ligatures w14:val="none"/>
              </w:rPr>
            </w:pPr>
            <w:r>
              <w:rPr>
                <w:rFonts w:hint="eastAsia" w:ascii="宋体" w:hAnsi="宋体" w:eastAsia="宋体" w:cs="Times New Roman"/>
                <w:bCs/>
                <w:szCs w:val="21"/>
                <w14:ligatures w14:val="none"/>
              </w:rPr>
              <w:t>b．投标文件组成齐全完整，内容均按规定填写。</w:t>
            </w:r>
          </w:p>
          <w:p>
            <w:pPr>
              <w:tabs>
                <w:tab w:val="left" w:pos="3060"/>
              </w:tabs>
              <w:spacing w:line="360" w:lineRule="exact"/>
              <w:ind w:firstLine="105" w:firstLineChars="50"/>
              <w:rPr>
                <w:rFonts w:ascii="宋体" w:hAnsi="宋体" w:eastAsia="宋体" w:cs="Times New Roman"/>
                <w:bCs/>
                <w:szCs w:val="21"/>
                <w14:ligatures w14:val="none"/>
              </w:rPr>
            </w:pPr>
            <w:r>
              <w:rPr>
                <w:rFonts w:hint="eastAsia" w:ascii="宋体" w:hAnsi="宋体" w:eastAsia="宋体" w:cs="Times New Roman"/>
                <w:bCs/>
                <w:szCs w:val="21"/>
                <w14:ligatures w14:val="none"/>
              </w:rPr>
              <w:t xml:space="preserve">（2）投标文件上法定代表人或其委托代理人的签字、投标人的单位盖章齐全，符合招标文件规定。 </w:t>
            </w:r>
          </w:p>
          <w:p>
            <w:pPr>
              <w:tabs>
                <w:tab w:val="left" w:pos="3060"/>
              </w:tabs>
              <w:spacing w:line="360" w:lineRule="exact"/>
              <w:ind w:firstLine="105" w:firstLineChars="50"/>
              <w:rPr>
                <w:rFonts w:ascii="宋体" w:hAnsi="宋体" w:eastAsia="宋体" w:cs="Times New Roman"/>
                <w:bCs/>
                <w:szCs w:val="21"/>
                <w14:ligatures w14:val="none"/>
              </w:rPr>
            </w:pPr>
            <w:r>
              <w:rPr>
                <w:rFonts w:hint="eastAsia" w:ascii="宋体" w:hAnsi="宋体" w:eastAsia="宋体" w:cs="Times New Roman"/>
                <w:bCs/>
                <w:szCs w:val="21"/>
                <w14:ligatures w14:val="none"/>
              </w:rPr>
              <w:t xml:space="preserve">（3）投标报价未超过招标文件设定的最高投标限价。 </w:t>
            </w:r>
          </w:p>
          <w:p>
            <w:pPr>
              <w:tabs>
                <w:tab w:val="left" w:pos="3060"/>
              </w:tabs>
              <w:spacing w:line="360" w:lineRule="exact"/>
              <w:ind w:firstLine="105" w:firstLineChars="50"/>
              <w:rPr>
                <w:rFonts w:ascii="宋体" w:hAnsi="宋体" w:eastAsia="宋体" w:cs="Times New Roman"/>
                <w:bCs/>
                <w:szCs w:val="21"/>
                <w14:ligatures w14:val="none"/>
              </w:rPr>
            </w:pPr>
            <w:r>
              <w:rPr>
                <w:rFonts w:hint="eastAsia" w:ascii="宋体" w:hAnsi="宋体" w:eastAsia="宋体" w:cs="Times New Roman"/>
                <w:bCs/>
                <w:szCs w:val="21"/>
                <w14:ligatures w14:val="none"/>
              </w:rPr>
              <w:t xml:space="preserve">（4）投标报价的大写金额能够确定具体数值。 </w:t>
            </w:r>
          </w:p>
          <w:p>
            <w:pPr>
              <w:tabs>
                <w:tab w:val="left" w:pos="3060"/>
              </w:tabs>
              <w:spacing w:line="360" w:lineRule="exact"/>
              <w:ind w:firstLine="105" w:firstLineChars="50"/>
              <w:rPr>
                <w:rFonts w:ascii="宋体" w:hAnsi="宋体" w:eastAsia="宋体" w:cs="Times New Roman"/>
                <w:bCs/>
                <w:szCs w:val="21"/>
                <w14:ligatures w14:val="none"/>
              </w:rPr>
            </w:pPr>
            <w:r>
              <w:rPr>
                <w:rFonts w:hint="eastAsia" w:ascii="宋体" w:hAnsi="宋体" w:eastAsia="宋体" w:cs="Times New Roman"/>
                <w:bCs/>
                <w:szCs w:val="21"/>
                <w14:ligatures w14:val="none"/>
              </w:rPr>
              <w:t>（5）未对报价清单说明实质性内容进行修改。</w:t>
            </w:r>
          </w:p>
          <w:p>
            <w:pPr>
              <w:tabs>
                <w:tab w:val="left" w:pos="3060"/>
              </w:tabs>
              <w:spacing w:line="360" w:lineRule="exact"/>
              <w:ind w:firstLine="105" w:firstLineChars="50"/>
              <w:rPr>
                <w:rFonts w:ascii="宋体" w:hAnsi="宋体" w:eastAsia="宋体" w:cs="Times New Roman"/>
                <w:bCs/>
                <w:szCs w:val="21"/>
                <w14:ligatures w14:val="none"/>
              </w:rPr>
            </w:pPr>
            <w:r>
              <w:rPr>
                <w:rFonts w:hint="eastAsia" w:ascii="宋体" w:hAnsi="宋体" w:eastAsia="宋体" w:cs="Times New Roman"/>
                <w:bCs/>
                <w:szCs w:val="21"/>
                <w14:ligatures w14:val="none"/>
              </w:rPr>
              <w:t xml:space="preserve">（6）同一投标人未提交两个（或两个以上）不同的投标报价。 </w:t>
            </w:r>
          </w:p>
          <w:p>
            <w:pPr>
              <w:tabs>
                <w:tab w:val="left" w:pos="3060"/>
              </w:tabs>
              <w:spacing w:line="360" w:lineRule="exact"/>
              <w:ind w:firstLine="105" w:firstLineChars="50"/>
              <w:rPr>
                <w:rFonts w:ascii="宋体" w:hAnsi="宋体" w:eastAsia="宋体" w:cs="Times New Roman"/>
                <w:bCs/>
                <w:szCs w:val="21"/>
                <w14:ligatures w14:val="none"/>
              </w:rPr>
            </w:pPr>
            <w:r>
              <w:rPr>
                <w:rFonts w:hint="eastAsia" w:ascii="宋体" w:hAnsi="宋体" w:eastAsia="宋体" w:cs="Times New Roman"/>
                <w:bCs/>
                <w:szCs w:val="21"/>
                <w14:ligatures w14:val="none"/>
              </w:rPr>
              <w:t>（</w:t>
            </w:r>
            <w:r>
              <w:rPr>
                <w:rFonts w:ascii="宋体" w:hAnsi="宋体" w:eastAsia="宋体" w:cs="Times New Roman"/>
                <w:bCs/>
                <w:szCs w:val="21"/>
                <w14:ligatures w14:val="none"/>
              </w:rPr>
              <w:t>7</w:t>
            </w:r>
            <w:r>
              <w:rPr>
                <w:rFonts w:hint="eastAsia" w:ascii="宋体" w:hAnsi="宋体" w:eastAsia="宋体" w:cs="Times New Roman"/>
                <w:bCs/>
                <w:szCs w:val="21"/>
                <w14:ligatures w14:val="none"/>
              </w:rPr>
              <w:t>）投标报价中交工验收与缺陷责任期阶段监理服务费报价不低于监理服务总费用的3%。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557" w:type="pct"/>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2.1.2</w:t>
            </w:r>
          </w:p>
        </w:tc>
        <w:tc>
          <w:tcPr>
            <w:tcW w:w="663" w:type="pct"/>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资格评审标准</w:t>
            </w:r>
          </w:p>
        </w:tc>
        <w:tc>
          <w:tcPr>
            <w:tcW w:w="3780" w:type="pct"/>
            <w:vAlign w:val="center"/>
          </w:tcPr>
          <w:p>
            <w:pPr>
              <w:tabs>
                <w:tab w:val="left" w:pos="3060"/>
              </w:tabs>
              <w:spacing w:line="32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（1）投标人具备有效的营业执照、组织机构代码证（三证合一的除外）、监理资质证书和基本账户开户许可证（或基本存款账户信息）；</w:t>
            </w:r>
          </w:p>
          <w:p>
            <w:pPr>
              <w:tabs>
                <w:tab w:val="left" w:pos="3060"/>
              </w:tabs>
              <w:spacing w:line="32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（2）投标人的资质等级符合招标文件规定；</w:t>
            </w:r>
          </w:p>
          <w:p>
            <w:pPr>
              <w:tabs>
                <w:tab w:val="left" w:pos="3060"/>
              </w:tabs>
              <w:spacing w:line="32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（3）投标人的类似项目业绩符合招标文件规定；</w:t>
            </w:r>
          </w:p>
          <w:p>
            <w:pPr>
              <w:tabs>
                <w:tab w:val="left" w:pos="3060"/>
              </w:tabs>
              <w:spacing w:line="32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（4）投标人的信誉符合招标文件规定；</w:t>
            </w:r>
          </w:p>
          <w:p>
            <w:pPr>
              <w:tabs>
                <w:tab w:val="left" w:pos="3060"/>
              </w:tabs>
              <w:spacing w:line="32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（5）投标人的总监理工程师资格符合招标文件规定；</w:t>
            </w:r>
          </w:p>
          <w:p>
            <w:pPr>
              <w:tabs>
                <w:tab w:val="left" w:pos="3060"/>
              </w:tabs>
              <w:spacing w:line="32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（6）投标人不存在第二章“投标人须知”第1.4.3项或第1.4.4项规定的任何一种情形；</w:t>
            </w:r>
          </w:p>
          <w:p>
            <w:pPr>
              <w:tabs>
                <w:tab w:val="left" w:pos="3060"/>
              </w:tabs>
              <w:spacing w:line="32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（7）投标人符合第二章“投标人须知”第1.4.5项规定。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557" w:type="pct"/>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2.2.1</w:t>
            </w:r>
          </w:p>
        </w:tc>
        <w:tc>
          <w:tcPr>
            <w:tcW w:w="663" w:type="pct"/>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分值构成</w:t>
            </w:r>
          </w:p>
        </w:tc>
        <w:tc>
          <w:tcPr>
            <w:tcW w:w="3780" w:type="pct"/>
            <w:vAlign w:val="center"/>
          </w:tcPr>
          <w:p>
            <w:pPr>
              <w:autoSpaceDE w:val="0"/>
              <w:autoSpaceDN w:val="0"/>
              <w:adjustRightInd w:val="0"/>
              <w:ind w:left="107"/>
              <w:jc w:val="left"/>
              <w:rPr>
                <w:rFonts w:ascii="宋体" w:hAnsi="宋体" w:eastAsia="宋体" w:cs="Times New Roman"/>
                <w:b/>
                <w:kern w:val="0"/>
                <w:szCs w:val="21"/>
                <w14:ligatures w14:val="none"/>
              </w:rPr>
            </w:pPr>
            <w:r>
              <w:rPr>
                <w:rFonts w:hint="eastAsia" w:ascii="宋体" w:hAnsi="宋体" w:eastAsia="宋体" w:cs="Times New Roman"/>
                <w:b/>
                <w:kern w:val="0"/>
                <w:szCs w:val="21"/>
                <w14:ligatures w14:val="none"/>
              </w:rPr>
              <w:t>第一信封（商务及技术文件）评分分值构成：</w:t>
            </w:r>
          </w:p>
          <w:p>
            <w:pPr>
              <w:autoSpaceDE w:val="0"/>
              <w:autoSpaceDN w:val="0"/>
              <w:adjustRightInd w:val="0"/>
              <w:ind w:left="107"/>
              <w:jc w:val="left"/>
              <w:rPr>
                <w:rFonts w:ascii="宋体" w:hAnsi="宋体" w:eastAsia="宋体" w:cs="宋?"/>
                <w:kern w:val="0"/>
                <w:szCs w:val="21"/>
                <w14:ligatures w14:val="none"/>
              </w:rPr>
            </w:pPr>
            <w:r>
              <w:rPr>
                <w:rFonts w:hint="eastAsia" w:ascii="宋体" w:hAnsi="宋体" w:eastAsia="宋体" w:cs="宋?"/>
                <w:kern w:val="0"/>
                <w:szCs w:val="21"/>
                <w14:ligatures w14:val="none"/>
              </w:rPr>
              <w:t>技术建议书：</w:t>
            </w:r>
            <w:r>
              <w:rPr>
                <w:rFonts w:ascii="宋体" w:hAnsi="宋体" w:eastAsia="宋体" w:cs="宋?"/>
                <w:kern w:val="0"/>
                <w:szCs w:val="21"/>
                <w14:ligatures w14:val="none"/>
              </w:rPr>
              <w:t>3</w:t>
            </w:r>
            <w:r>
              <w:rPr>
                <w:rFonts w:hint="eastAsia" w:ascii="宋体" w:hAnsi="宋体" w:eastAsia="宋体" w:cs="宋?"/>
                <w:kern w:val="0"/>
                <w:szCs w:val="21"/>
                <w14:ligatures w14:val="none"/>
              </w:rPr>
              <w:t>5</w:t>
            </w:r>
            <w:r>
              <w:rPr>
                <w:rFonts w:ascii="宋体" w:hAnsi="宋体" w:eastAsia="宋体" w:cs="宋?"/>
                <w:kern w:val="0"/>
                <w:szCs w:val="21"/>
                <w14:ligatures w14:val="none"/>
              </w:rPr>
              <w:t>分</w:t>
            </w:r>
          </w:p>
          <w:p>
            <w:pPr>
              <w:autoSpaceDE w:val="0"/>
              <w:autoSpaceDN w:val="0"/>
              <w:adjustRightInd w:val="0"/>
              <w:ind w:left="107"/>
              <w:jc w:val="left"/>
              <w:rPr>
                <w:rFonts w:ascii="宋体" w:hAnsi="宋体" w:eastAsia="宋体" w:cs="Times New Roman"/>
                <w:kern w:val="0"/>
                <w:szCs w:val="21"/>
                <w14:ligatures w14:val="none"/>
              </w:rPr>
            </w:pPr>
            <w:r>
              <w:rPr>
                <w:rFonts w:hint="eastAsia" w:ascii="宋体" w:hAnsi="宋体" w:eastAsia="宋体" w:cs="Times New Roman"/>
                <w:kern w:val="0"/>
                <w:szCs w:val="21"/>
                <w14:ligatures w14:val="none"/>
              </w:rPr>
              <w:t>主要人员：2</w:t>
            </w:r>
            <w:r>
              <w:rPr>
                <w:rFonts w:ascii="宋体" w:hAnsi="宋体" w:eastAsia="宋体" w:cs="Times New Roman"/>
                <w:kern w:val="0"/>
                <w:szCs w:val="21"/>
                <w14:ligatures w14:val="none"/>
              </w:rPr>
              <w:t>5</w:t>
            </w:r>
            <w:r>
              <w:rPr>
                <w:rFonts w:hint="eastAsia" w:ascii="宋体" w:hAnsi="宋体" w:eastAsia="宋体" w:cs="Times New Roman"/>
                <w:kern w:val="0"/>
                <w:szCs w:val="21"/>
                <w14:ligatures w14:val="none"/>
              </w:rPr>
              <w:t>分</w:t>
            </w:r>
          </w:p>
          <w:p>
            <w:pPr>
              <w:autoSpaceDE w:val="0"/>
              <w:autoSpaceDN w:val="0"/>
              <w:adjustRightInd w:val="0"/>
              <w:ind w:left="107"/>
              <w:jc w:val="left"/>
              <w:rPr>
                <w:rFonts w:ascii="宋体" w:hAnsi="宋体" w:eastAsia="宋体" w:cs="Times New Roman"/>
                <w:kern w:val="0"/>
                <w:szCs w:val="21"/>
                <w14:ligatures w14:val="none"/>
              </w:rPr>
            </w:pPr>
            <w:r>
              <w:rPr>
                <w:rFonts w:hint="eastAsia" w:ascii="宋体" w:hAnsi="宋体" w:eastAsia="宋体" w:cs="Times New Roman"/>
                <w:kern w:val="0"/>
                <w:szCs w:val="21"/>
                <w14:ligatures w14:val="none"/>
              </w:rPr>
              <w:t>其他因素：</w:t>
            </w:r>
            <w:r>
              <w:rPr>
                <w:rFonts w:ascii="宋体" w:hAnsi="宋体" w:eastAsia="宋体" w:cs="Times New Roman"/>
                <w:kern w:val="0"/>
                <w:szCs w:val="21"/>
                <w14:ligatures w14:val="none"/>
              </w:rPr>
              <w:t>30</w:t>
            </w:r>
            <w:r>
              <w:rPr>
                <w:rFonts w:hint="eastAsia" w:ascii="宋体" w:hAnsi="宋体" w:eastAsia="宋体" w:cs="Times New Roman"/>
                <w:kern w:val="0"/>
                <w:szCs w:val="21"/>
                <w14:ligatures w14:val="none"/>
              </w:rPr>
              <w:t>分</w:t>
            </w:r>
          </w:p>
          <w:p>
            <w:pPr>
              <w:autoSpaceDE w:val="0"/>
              <w:autoSpaceDN w:val="0"/>
              <w:adjustRightInd w:val="0"/>
              <w:ind w:left="107"/>
              <w:jc w:val="left"/>
              <w:rPr>
                <w:rFonts w:ascii="宋体" w:hAnsi="宋体" w:eastAsia="宋体" w:cs="Times New Roman"/>
                <w:kern w:val="0"/>
                <w:szCs w:val="21"/>
                <w14:ligatures w14:val="none"/>
              </w:rPr>
            </w:pPr>
          </w:p>
          <w:p>
            <w:pPr>
              <w:autoSpaceDE w:val="0"/>
              <w:autoSpaceDN w:val="0"/>
              <w:adjustRightInd w:val="0"/>
              <w:ind w:left="107"/>
              <w:jc w:val="left"/>
              <w:rPr>
                <w:rFonts w:ascii="宋体" w:hAnsi="宋体" w:eastAsia="宋体" w:cs="Times New Roman"/>
                <w:b/>
                <w:kern w:val="0"/>
                <w:szCs w:val="21"/>
                <w14:ligatures w14:val="none"/>
              </w:rPr>
            </w:pPr>
            <w:r>
              <w:rPr>
                <w:rFonts w:hint="eastAsia" w:ascii="宋体" w:hAnsi="宋体" w:eastAsia="宋体" w:cs="Times New Roman"/>
                <w:b/>
                <w:kern w:val="0"/>
                <w:szCs w:val="21"/>
                <w14:ligatures w14:val="none"/>
              </w:rPr>
              <w:t>第二信封（报价文件）评分分值构成：</w:t>
            </w:r>
          </w:p>
          <w:p>
            <w:pPr>
              <w:autoSpaceDE w:val="0"/>
              <w:autoSpaceDN w:val="0"/>
              <w:adjustRightInd w:val="0"/>
              <w:ind w:left="107"/>
              <w:jc w:val="left"/>
              <w:rPr>
                <w:rFonts w:ascii="宋体" w:hAnsi="宋体" w:eastAsia="宋体" w:cs="Times New Roman"/>
                <w:szCs w:val="21"/>
                <w14:ligatures w14:val="none"/>
              </w:rPr>
            </w:pPr>
            <w:r>
              <w:rPr>
                <w:rFonts w:hint="eastAsia" w:ascii="宋体" w:hAnsi="宋体" w:eastAsia="宋体" w:cs="Times New Roman"/>
                <w:szCs w:val="21"/>
                <w14:ligatures w14:val="none"/>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7" w:hRule="atLeast"/>
          <w:jc w:val="center"/>
        </w:trPr>
        <w:tc>
          <w:tcPr>
            <w:tcW w:w="557" w:type="pct"/>
            <w:vAlign w:val="center"/>
          </w:tcPr>
          <w:p>
            <w:pPr>
              <w:ind w:right="113"/>
              <w:jc w:val="center"/>
              <w:rPr>
                <w:rFonts w:ascii="宋体" w:hAnsi="宋体" w:eastAsia="宋体" w:cs="Times New Roman"/>
                <w:szCs w:val="21"/>
                <w14:ligatures w14:val="none"/>
              </w:rPr>
            </w:pPr>
            <w:r>
              <w:rPr>
                <w:rFonts w:hint="eastAsia" w:ascii="宋体" w:hAnsi="宋体" w:eastAsia="宋体" w:cs="Times New Roman"/>
                <w:szCs w:val="21"/>
                <w14:ligatures w14:val="none"/>
              </w:rPr>
              <w:t>2.2.2</w:t>
            </w:r>
          </w:p>
        </w:tc>
        <w:tc>
          <w:tcPr>
            <w:tcW w:w="663" w:type="pct"/>
            <w:vAlign w:val="center"/>
          </w:tcPr>
          <w:p>
            <w:pPr>
              <w:ind w:left="2"/>
              <w:jc w:val="center"/>
              <w:rPr>
                <w:rFonts w:ascii="宋体" w:hAnsi="宋体" w:eastAsia="宋体" w:cs="Times New Roman"/>
                <w:szCs w:val="21"/>
                <w14:ligatures w14:val="none"/>
              </w:rPr>
            </w:pPr>
            <w:r>
              <w:rPr>
                <w:rFonts w:hint="eastAsia" w:ascii="宋体" w:hAnsi="宋体" w:eastAsia="宋体" w:cs="Times New Roman"/>
                <w:szCs w:val="21"/>
                <w14:ligatures w14:val="none"/>
              </w:rPr>
              <w:t>评标基准价计算方法</w:t>
            </w:r>
          </w:p>
        </w:tc>
        <w:tc>
          <w:tcPr>
            <w:tcW w:w="3780" w:type="pct"/>
            <w:vAlign w:val="center"/>
          </w:tcPr>
          <w:p>
            <w:pPr>
              <w:adjustRightInd w:val="0"/>
              <w:snapToGrid w:val="0"/>
              <w:spacing w:line="320" w:lineRule="exact"/>
              <w:rPr>
                <w:rFonts w:ascii="宋体" w:hAnsi="宋体" w:eastAsia="宋体" w:cs="Times New Roman"/>
                <w:szCs w:val="24"/>
                <w14:ligatures w14:val="none"/>
              </w:rPr>
            </w:pPr>
            <w:r>
              <w:rPr>
                <w:rFonts w:hint="eastAsia" w:ascii="宋体" w:hAnsi="宋体" w:eastAsia="宋体" w:cs="Times New Roman"/>
                <w:szCs w:val="24"/>
                <w14:ligatures w14:val="none"/>
              </w:rPr>
              <w:t>评标基准价的计算：</w:t>
            </w:r>
          </w:p>
          <w:p>
            <w:pPr>
              <w:snapToGrid w:val="0"/>
              <w:spacing w:line="320" w:lineRule="exact"/>
              <w:ind w:firstLine="420" w:firstLineChars="200"/>
              <w:rPr>
                <w:rFonts w:ascii="宋体" w:hAnsi="宋体" w:eastAsia="宋体" w:cs="Times New Roman"/>
                <w:szCs w:val="24"/>
                <w14:ligatures w14:val="none"/>
              </w:rPr>
            </w:pPr>
            <w:r>
              <w:rPr>
                <w:rFonts w:ascii="宋体" w:hAnsi="宋体" w:eastAsia="宋体" w:cs="Times New Roman"/>
                <w:szCs w:val="21"/>
                <w14:ligatures w14:val="none"/>
              </w:rPr>
              <w:t>在第二个信封开标现场，招标人将按照第一信封开标现场</w:t>
            </w:r>
            <w:r>
              <w:rPr>
                <w:rFonts w:hint="eastAsia" w:ascii="宋体" w:hAnsi="宋体" w:eastAsia="宋体" w:cs="Times New Roman"/>
                <w:szCs w:val="24"/>
                <w14:ligatures w14:val="none"/>
              </w:rPr>
              <w:t>抽取的评标基准价计算方法及评标基准价计算参数当场计算并宣布评标基准价。</w:t>
            </w:r>
          </w:p>
          <w:p>
            <w:pPr>
              <w:snapToGrid w:val="0"/>
              <w:spacing w:line="32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（1）评标价的确定：评标价=投标函文字报价</w:t>
            </w:r>
          </w:p>
          <w:p>
            <w:pPr>
              <w:snapToGrid w:val="0"/>
              <w:spacing w:line="32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（2）评标价</w:t>
            </w:r>
            <w:r>
              <w:rPr>
                <w:rFonts w:hint="eastAsia" w:ascii="宋体" w:hAnsi="宋体" w:eastAsia="宋体" w:cs="Times New Roman"/>
                <w:szCs w:val="21"/>
                <w14:ligatures w14:val="none"/>
              </w:rPr>
              <w:t>平均值</w:t>
            </w:r>
            <w:r>
              <w:rPr>
                <w:rFonts w:hint="eastAsia" w:ascii="宋体" w:hAnsi="宋体" w:eastAsia="宋体" w:cs="Times New Roman"/>
                <w:szCs w:val="24"/>
                <w14:ligatures w14:val="none"/>
              </w:rPr>
              <w:t>的计算：</w:t>
            </w:r>
          </w:p>
          <w:p>
            <w:pPr>
              <w:snapToGrid w:val="0"/>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除按第二章“投标人须知”第5.2.4项规定开标现场被宣布为不进入评标基准价计算的投标报价之外，所有投标人评标价的算术平均值即为评标价平均值。</w:t>
            </w:r>
          </w:p>
          <w:p>
            <w:pPr>
              <w:snapToGrid w:val="0"/>
              <w:spacing w:line="320" w:lineRule="exact"/>
              <w:ind w:firstLine="420" w:firstLineChars="200"/>
              <w:rPr>
                <w:rFonts w:ascii="宋体" w:hAnsi="宋体" w:eastAsia="宋体" w:cs="Times New Roman"/>
                <w:szCs w:val="24"/>
                <w14:ligatures w14:val="none"/>
              </w:rPr>
            </w:pPr>
            <w:r>
              <w:rPr>
                <w:rFonts w:ascii="宋体" w:hAnsi="宋体" w:eastAsia="宋体" w:cs="Times New Roman"/>
                <w:szCs w:val="24"/>
                <w14:ligatures w14:val="none"/>
              </w:rPr>
              <w:t>（</w:t>
            </w:r>
            <w:r>
              <w:rPr>
                <w:rFonts w:hint="eastAsia" w:ascii="宋体" w:hAnsi="宋体" w:eastAsia="宋体" w:cs="Times New Roman"/>
                <w:szCs w:val="24"/>
                <w14:ligatures w14:val="none"/>
              </w:rPr>
              <w:t>3</w:t>
            </w:r>
            <w:r>
              <w:rPr>
                <w:rFonts w:ascii="宋体" w:hAnsi="宋体" w:eastAsia="宋体" w:cs="Times New Roman"/>
                <w:szCs w:val="24"/>
                <w14:ligatures w14:val="none"/>
              </w:rPr>
              <w:t>）</w:t>
            </w:r>
            <w:r>
              <w:rPr>
                <w:rFonts w:hint="eastAsia" w:ascii="宋体" w:hAnsi="宋体" w:eastAsia="宋体" w:cs="Times New Roman"/>
                <w:szCs w:val="24"/>
                <w14:ligatures w14:val="none"/>
              </w:rPr>
              <w:t>评标基准价的确定</w:t>
            </w:r>
          </w:p>
          <w:p>
            <w:pPr>
              <w:snapToGrid w:val="0"/>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方法一：将评标价平均值直接作为评标基准价。</w:t>
            </w:r>
          </w:p>
          <w:p>
            <w:pPr>
              <w:snapToGrid w:val="0"/>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方法二：将评标价去掉n1个最高评标价和n2个最低评标价后平均值直接作为评标基准价。</w:t>
            </w:r>
          </w:p>
          <w:p>
            <w:pPr>
              <w:snapToGrid w:val="0"/>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方法三：将评标价去掉n1个最高评标价和n2个最低评标价后平均值，乘以评标基准价系数K，作为评标基准价。</w:t>
            </w:r>
          </w:p>
          <w:p>
            <w:pPr>
              <w:snapToGrid w:val="0"/>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招标人设置评标基准价系数K（取1.00、0.995、0.99、0.985、0.98共 5 个数值），在开标现场随机抽取确定，并当成公布。</w:t>
            </w:r>
          </w:p>
          <w:p>
            <w:pPr>
              <w:snapToGrid w:val="0"/>
              <w:spacing w:line="32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注：N为评标价的个数；n1、n2 的取值：当 N﹤6 时，n1、n2 均取0；当6≤N≤10时，n1、n2均取1；当N﹥10时，n1、n2均取2。</w:t>
            </w:r>
          </w:p>
          <w:p>
            <w:pPr>
              <w:snapToGrid w:val="0"/>
              <w:spacing w:line="320" w:lineRule="exact"/>
              <w:ind w:firstLine="420" w:firstLineChars="200"/>
              <w:rPr>
                <w:rFonts w:ascii="宋体" w:hAnsi="宋体" w:eastAsia="宋体" w:cs="Times New Roman"/>
                <w:szCs w:val="24"/>
                <w14:ligatures w14:val="none"/>
              </w:rPr>
            </w:pPr>
            <w:r>
              <w:rPr>
                <w:rFonts w:hint="eastAsia" w:ascii="宋体" w:hAnsi="宋体" w:eastAsia="宋体" w:cs="Times New Roman"/>
                <w:szCs w:val="21"/>
                <w14:ligatures w14: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7" w:type="pct"/>
            <w:vAlign w:val="center"/>
          </w:tcPr>
          <w:p>
            <w:pPr>
              <w:ind w:right="113"/>
              <w:jc w:val="center"/>
              <w:rPr>
                <w:rFonts w:ascii="宋体" w:hAnsi="宋体" w:eastAsia="宋体" w:cs="Times New Roman"/>
                <w:szCs w:val="21"/>
                <w14:ligatures w14:val="none"/>
              </w:rPr>
            </w:pPr>
            <w:r>
              <w:rPr>
                <w:rFonts w:hint="eastAsia" w:ascii="宋体" w:hAnsi="宋体" w:eastAsia="宋体" w:cs="Times New Roman"/>
                <w:szCs w:val="21"/>
                <w14:ligatures w14:val="none"/>
              </w:rPr>
              <w:t>2.2.3</w:t>
            </w:r>
          </w:p>
        </w:tc>
        <w:tc>
          <w:tcPr>
            <w:tcW w:w="663" w:type="pct"/>
            <w:vAlign w:val="center"/>
          </w:tcPr>
          <w:p>
            <w:pPr>
              <w:ind w:left="-31" w:leftChars="-15" w:right="-77"/>
              <w:rPr>
                <w:rFonts w:ascii="宋体" w:hAnsi="宋体" w:eastAsia="宋体" w:cs="Times New Roman"/>
                <w:szCs w:val="21"/>
                <w14:ligatures w14:val="none"/>
              </w:rPr>
            </w:pPr>
            <w:r>
              <w:rPr>
                <w:rFonts w:hint="eastAsia" w:ascii="宋体" w:hAnsi="宋体" w:eastAsia="宋体" w:cs="Times New Roman"/>
                <w:szCs w:val="21"/>
                <w14:ligatures w14:val="none"/>
              </w:rPr>
              <w:t>评标价的偏差率计算公式</w:t>
            </w:r>
          </w:p>
        </w:tc>
        <w:tc>
          <w:tcPr>
            <w:tcW w:w="3780" w:type="pct"/>
            <w:vAlign w:val="center"/>
          </w:tcPr>
          <w:p>
            <w:pPr>
              <w:jc w:val="left"/>
              <w:rPr>
                <w:rFonts w:ascii="宋体" w:hAnsi="宋体" w:eastAsia="宋体" w:cs="Times New Roman"/>
                <w:szCs w:val="24"/>
                <w14:ligatures w14:val="none"/>
              </w:rPr>
            </w:pPr>
            <w:r>
              <w:rPr>
                <w:rFonts w:hint="eastAsia" w:ascii="宋体" w:hAnsi="宋体" w:eastAsia="宋体" w:cs="Times New Roman"/>
                <w:szCs w:val="24"/>
                <w14:ligatures w14:val="none"/>
              </w:rPr>
              <w:t>偏差率=100%×（投标人评标价-评标基准价）／评标基准价</w:t>
            </w:r>
          </w:p>
          <w:p>
            <w:pPr>
              <w:spacing w:line="380" w:lineRule="exact"/>
              <w:ind w:right="113"/>
              <w:rPr>
                <w:rFonts w:ascii="宋体" w:hAnsi="宋体" w:eastAsia="宋体" w:cs="Times New Roman"/>
                <w:szCs w:val="21"/>
                <w14:ligatures w14:val="none"/>
              </w:rPr>
            </w:pPr>
            <w:r>
              <w:rPr>
                <w:rFonts w:hint="eastAsia" w:ascii="宋体" w:hAnsi="宋体" w:eastAsia="宋体" w:cs="Times New Roman"/>
                <w:szCs w:val="24"/>
                <w14:ligatures w14:val="none"/>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557" w:type="pct"/>
            <w:vAlign w:val="center"/>
          </w:tcPr>
          <w:p>
            <w:pPr>
              <w:ind w:right="113"/>
              <w:jc w:val="center"/>
              <w:rPr>
                <w:rFonts w:ascii="宋体" w:hAnsi="宋体" w:eastAsia="宋体" w:cs="Times New Roman"/>
                <w:szCs w:val="21"/>
                <w14:ligatures w14:val="none"/>
              </w:rPr>
            </w:pPr>
            <w:r>
              <w:rPr>
                <w:rFonts w:hint="eastAsia" w:ascii="宋体" w:hAnsi="宋体" w:eastAsia="宋体" w:cs="Times New Roman"/>
                <w:szCs w:val="21"/>
                <w14:ligatures w14:val="none"/>
              </w:rPr>
              <w:t>3</w:t>
            </w:r>
            <w:r>
              <w:rPr>
                <w:rFonts w:ascii="宋体" w:hAnsi="宋体" w:eastAsia="宋体" w:cs="Times New Roman"/>
                <w:szCs w:val="21"/>
                <w14:ligatures w14:val="none"/>
              </w:rPr>
              <w:t>.6.1</w:t>
            </w:r>
          </w:p>
        </w:tc>
        <w:tc>
          <w:tcPr>
            <w:tcW w:w="663" w:type="pct"/>
            <w:vAlign w:val="center"/>
          </w:tcPr>
          <w:p>
            <w:pPr>
              <w:ind w:left="-31" w:leftChars="-15" w:right="-77"/>
              <w:rPr>
                <w:rFonts w:ascii="宋体" w:hAnsi="宋体" w:eastAsia="宋体" w:cs="Times New Roman"/>
                <w:szCs w:val="21"/>
                <w14:ligatures w14:val="none"/>
              </w:rPr>
            </w:pPr>
          </w:p>
        </w:tc>
        <w:tc>
          <w:tcPr>
            <w:tcW w:w="3780" w:type="pct"/>
            <w:vAlign w:val="center"/>
          </w:tcPr>
          <w:p>
            <w:pPr>
              <w:spacing w:line="340" w:lineRule="exact"/>
              <w:ind w:right="113"/>
              <w:rPr>
                <w:rFonts w:ascii="Times New Roman" w:hAnsi="Times New Roman" w:eastAsia="宋体" w:cs="Times New Roman"/>
                <w:szCs w:val="21"/>
                <w14:ligatures w14:val="none"/>
              </w:rPr>
            </w:pPr>
            <w:r>
              <w:rPr>
                <w:rFonts w:hint="eastAsia" w:ascii="宋体" w:hAnsi="宋体" w:eastAsia="宋体" w:cs="Times New Roman"/>
                <w:szCs w:val="21"/>
                <w14:ligatures w14:val="none"/>
              </w:rPr>
              <w:t>本款</w:t>
            </w:r>
            <w:r>
              <w:rPr>
                <w:rFonts w:hint="eastAsia" w:ascii="Times New Roman" w:hAnsi="Times New Roman" w:eastAsia="宋体" w:cs="Times New Roman"/>
                <w:szCs w:val="21"/>
                <w14:ligatures w14:val="none"/>
              </w:rPr>
              <w:t>修改为：</w:t>
            </w:r>
          </w:p>
          <w:p>
            <w:pPr>
              <w:adjustRightInd w:val="0"/>
              <w:snapToGrid w:val="0"/>
              <w:spacing w:line="300" w:lineRule="exact"/>
              <w:rPr>
                <w:rFonts w:ascii="宋体" w:hAnsi="宋体" w:eastAsia="宋体" w:cs="Times New Roman"/>
                <w:szCs w:val="24"/>
                <w14:ligatures w14:val="none"/>
              </w:rPr>
            </w:pPr>
            <w:r>
              <w:rPr>
                <w:rFonts w:hint="eastAsia" w:ascii="宋体" w:hAnsi="宋体" w:eastAsia="宋体" w:cs="Times New Roman"/>
                <w:szCs w:val="24"/>
                <w14:ligatures w14:val="none"/>
              </w:rPr>
              <w:t>（1）投标人名称和资质与“全国公路建设市场信用信息管理系统（http://glxy.mot.gov.cn/）”的复核结果一致；</w:t>
            </w:r>
          </w:p>
          <w:p>
            <w:pPr>
              <w:adjustRightInd w:val="0"/>
              <w:snapToGrid w:val="0"/>
              <w:spacing w:line="300" w:lineRule="exact"/>
              <w:rPr>
                <w:rFonts w:ascii="宋体" w:hAnsi="宋体" w:eastAsia="宋体" w:cs="Times New Roman"/>
                <w:szCs w:val="24"/>
                <w14:ligatures w14:val="none"/>
              </w:rPr>
            </w:pPr>
            <w:r>
              <w:rPr>
                <w:rFonts w:hint="eastAsia" w:ascii="宋体" w:hAnsi="宋体" w:eastAsia="宋体" w:cs="Times New Roman"/>
                <w:szCs w:val="24"/>
                <w14:ligatures w14:val="none"/>
              </w:rPr>
              <w:t>（2）投标人的类似项目业绩符合招标文件规定，所附相关项目详细信息网页截图复印件与“全国公路建设市场信用信息管理系统（http://glxy.mot.gov.cn/）”的复核结果一致，并满足招标文件资格审查条件要求；</w:t>
            </w:r>
          </w:p>
          <w:p>
            <w:pPr>
              <w:adjustRightInd w:val="0"/>
              <w:snapToGrid w:val="0"/>
              <w:spacing w:line="300" w:lineRule="exact"/>
              <w:rPr>
                <w:rFonts w:ascii="宋体" w:hAnsi="宋体" w:eastAsia="宋体" w:cs="Times New Roman"/>
                <w:szCs w:val="24"/>
                <w14:ligatures w14:val="none"/>
              </w:rPr>
            </w:pPr>
            <w:r>
              <w:rPr>
                <w:rFonts w:hint="eastAsia" w:ascii="宋体" w:hAnsi="宋体" w:eastAsia="宋体" w:cs="Times New Roman"/>
                <w:szCs w:val="24"/>
                <w14:ligatures w14:val="none"/>
              </w:rPr>
              <w:t>如投标人未提供相关网页截图或相关网页截图中的信息无法证实投标人满足招标文件规定的资格审查条件（业绩最低要求）或网页截图与“全国公路建设市场信用信息管理系统（http://glxy.mot.gov.cn）”的核查结果不一致，则相关业绩不予认定。</w:t>
            </w:r>
          </w:p>
          <w:p>
            <w:pPr>
              <w:adjustRightInd w:val="0"/>
              <w:snapToGrid w:val="0"/>
              <w:spacing w:line="300" w:lineRule="exact"/>
              <w:rPr>
                <w:rFonts w:ascii="宋体" w:hAnsi="宋体" w:eastAsia="宋体" w:cs="Times New Roman"/>
                <w:szCs w:val="24"/>
                <w14:ligatures w14:val="none"/>
              </w:rPr>
            </w:pPr>
            <w:r>
              <w:rPr>
                <w:rFonts w:hint="eastAsia" w:ascii="宋体" w:hAnsi="宋体" w:eastAsia="宋体" w:cs="Times New Roman"/>
                <w:szCs w:val="24"/>
                <w14:ligatures w14:val="none"/>
              </w:rPr>
              <w:t>（3）所附总监理工程师业绩的网页截图复印件与全国公路建设市场信用信息管理系统（http://glxy.mot.gov.cn/）的复核结果一致，并满足招标文件资格审查条件要求；</w:t>
            </w:r>
          </w:p>
          <w:p>
            <w:pPr>
              <w:adjustRightInd w:val="0"/>
              <w:snapToGrid w:val="0"/>
              <w:spacing w:line="300" w:lineRule="exact"/>
              <w:rPr>
                <w:rFonts w:ascii="宋体" w:hAnsi="宋体" w:eastAsia="宋体" w:cs="Times New Roman"/>
                <w:szCs w:val="24"/>
                <w14:ligatures w14:val="none"/>
              </w:rPr>
            </w:pPr>
            <w:r>
              <w:rPr>
                <w:rFonts w:hint="eastAsia" w:ascii="宋体" w:hAnsi="宋体" w:eastAsia="宋体" w:cs="Times New Roman"/>
                <w:szCs w:val="24"/>
                <w14:ligatures w14:val="none"/>
              </w:rPr>
              <w:t>如投标人未提供相关网页截图复印件或相关网页截图复印件中的信息无法证实投标人满足招标文件规定的资格审查条件（总监理工程师最低要求）或网页截图与“全国公路建设市场信用信息管理系统（http://glxy.mot.gov.cn）”的核查结果不一致，则相关业绩不予认定。</w:t>
            </w:r>
          </w:p>
          <w:p>
            <w:pPr>
              <w:adjustRightInd w:val="0"/>
              <w:snapToGrid w:val="0"/>
              <w:spacing w:line="300" w:lineRule="exact"/>
              <w:rPr>
                <w:rFonts w:ascii="宋体" w:hAnsi="宋体" w:eastAsia="宋体" w:cs="Times New Roman"/>
                <w:szCs w:val="24"/>
                <w14:ligatures w14:val="none"/>
              </w:rPr>
            </w:pPr>
            <w:r>
              <w:rPr>
                <w:rFonts w:hint="eastAsia" w:ascii="宋体" w:hAnsi="宋体" w:eastAsia="宋体" w:cs="Times New Roman"/>
                <w:szCs w:val="24"/>
                <w14:ligatures w14:val="none"/>
              </w:rPr>
              <w:t>（4）评标委员会评标时应对投标人的信用情况在“国家企业信用信息公示系统”和“信用中国”网站对投标人的信用情况进行查询，若投标人存在“国家企业信用信息公示系统”被列入严重违法失信企业名单（不含分公司）或在“信用中国”网站“被列入失信被执行人名单、经营异常名录、重大税收违法失信主体名单、政府采购严重违法失信名单”情形的（均不含分公司），评标委员会应否决其投标。</w:t>
            </w:r>
          </w:p>
          <w:p>
            <w:pPr>
              <w:adjustRightInd w:val="0"/>
              <w:snapToGrid w:val="0"/>
              <w:spacing w:line="340" w:lineRule="exact"/>
              <w:ind w:firstLine="420" w:firstLineChars="200"/>
              <w:rPr>
                <w:rFonts w:ascii="宋体" w:hAnsi="Times New Roman" w:eastAsia="宋体" w:cs="Times New Roman"/>
                <w:szCs w:val="24"/>
                <w14:ligatures w14:val="none"/>
              </w:rPr>
            </w:pPr>
            <w:r>
              <w:rPr>
                <w:rFonts w:hint="eastAsia" w:ascii="宋体" w:hAnsi="宋体" w:eastAsia="宋体" w:cs="Times New Roman"/>
                <w:szCs w:val="24"/>
                <w14:ligatures w14:val="none"/>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557" w:type="pct"/>
            <w:vAlign w:val="center"/>
          </w:tcPr>
          <w:p>
            <w:pPr>
              <w:ind w:right="113"/>
              <w:jc w:val="center"/>
              <w:rPr>
                <w:rFonts w:ascii="宋体" w:hAnsi="宋体" w:eastAsia="宋体" w:cs="Times New Roman"/>
                <w:szCs w:val="21"/>
                <w14:ligatures w14:val="none"/>
              </w:rPr>
            </w:pPr>
            <w:r>
              <w:rPr>
                <w:rFonts w:hint="eastAsia" w:ascii="宋体" w:hAnsi="宋体" w:eastAsia="宋体" w:cs="Times New Roman"/>
                <w:szCs w:val="21"/>
                <w14:ligatures w14:val="none"/>
              </w:rPr>
              <w:t>3.9.1</w:t>
            </w:r>
          </w:p>
        </w:tc>
        <w:tc>
          <w:tcPr>
            <w:tcW w:w="663" w:type="pct"/>
            <w:vAlign w:val="center"/>
          </w:tcPr>
          <w:p>
            <w:pPr>
              <w:ind w:left="-31" w:leftChars="-15" w:right="-77"/>
              <w:jc w:val="center"/>
              <w:rPr>
                <w:rFonts w:ascii="宋体" w:hAnsi="宋体" w:eastAsia="宋体" w:cs="Times New Roman"/>
                <w:szCs w:val="21"/>
                <w14:ligatures w14:val="none"/>
              </w:rPr>
            </w:pPr>
            <w:r>
              <w:rPr>
                <w:rFonts w:hint="eastAsia" w:ascii="宋体" w:hAnsi="宋体" w:eastAsia="宋体" w:cs="Times New Roman"/>
                <w:szCs w:val="21"/>
                <w14:ligatures w14:val="none"/>
              </w:rPr>
              <w:t>评标结果</w:t>
            </w:r>
          </w:p>
        </w:tc>
        <w:tc>
          <w:tcPr>
            <w:tcW w:w="3780" w:type="pct"/>
            <w:vAlign w:val="center"/>
          </w:tcPr>
          <w:p>
            <w:pPr>
              <w:spacing w:line="340" w:lineRule="exact"/>
              <w:ind w:right="113"/>
              <w:rPr>
                <w:rFonts w:ascii="宋体" w:hAnsi="宋体" w:eastAsia="宋体" w:cs="Times New Roman"/>
                <w:szCs w:val="21"/>
                <w14:ligatures w14:val="none"/>
              </w:rPr>
            </w:pPr>
            <w:r>
              <w:rPr>
                <w:rFonts w:hint="eastAsia" w:ascii="宋体" w:hAnsi="宋体" w:eastAsia="宋体" w:cs="Times New Roman"/>
                <w:szCs w:val="21"/>
                <w14:ligatures w14:val="none"/>
              </w:rPr>
              <w:t>本款补充：</w:t>
            </w:r>
          </w:p>
          <w:p>
            <w:pPr>
              <w:spacing w:line="340" w:lineRule="exact"/>
              <w:ind w:right="113" w:firstLine="426" w:firstLineChars="203"/>
              <w:rPr>
                <w:rFonts w:ascii="宋体" w:hAnsi="宋体" w:eastAsia="宋体" w:cs="Times New Roman"/>
                <w:szCs w:val="21"/>
                <w14:ligatures w14:val="none"/>
              </w:rPr>
            </w:pPr>
            <w:r>
              <w:rPr>
                <w:rFonts w:hint="eastAsia" w:ascii="宋体" w:hAnsi="宋体" w:eastAsia="宋体" w:cs="Times New Roman"/>
                <w:bCs/>
                <w:szCs w:val="21"/>
                <w14:ligatures w14:val="none"/>
              </w:rPr>
              <w:t>通过第一信封商务文件和技术文件评审的投标人少于</w:t>
            </w:r>
            <w:r>
              <w:rPr>
                <w:rFonts w:ascii="宋体" w:hAnsi="宋体" w:eastAsia="宋体" w:cs="Times New Roman"/>
                <w:bCs/>
                <w:szCs w:val="21"/>
                <w14:ligatures w14:val="none"/>
              </w:rPr>
              <w:t>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w:t>
            </w:r>
            <w:r>
              <w:rPr>
                <w:rFonts w:hint="eastAsia" w:ascii="宋体" w:hAnsi="宋体" w:eastAsia="宋体" w:cs="Times New Roman"/>
                <w:bCs/>
                <w:szCs w:val="21"/>
                <w14:ligatures w14:val="none"/>
              </w:rPr>
              <w:t>按照评标办法前附表“1.评标办法”的规定</w:t>
            </w:r>
            <w:r>
              <w:rPr>
                <w:rFonts w:ascii="宋体" w:hAnsi="宋体" w:eastAsia="宋体" w:cs="Times New Roman"/>
                <w:bCs/>
                <w:szCs w:val="21"/>
                <w14:ligatures w14:val="none"/>
              </w:rPr>
              <w:t>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5000" w:type="pct"/>
            <w:gridSpan w:val="3"/>
            <w:vAlign w:val="center"/>
          </w:tcPr>
          <w:p>
            <w:pPr>
              <w:spacing w:line="340" w:lineRule="exact"/>
              <w:ind w:right="113"/>
              <w:rPr>
                <w:rFonts w:ascii="宋体" w:hAnsi="宋体" w:eastAsia="宋体" w:cs="Times New Roman"/>
                <w:szCs w:val="21"/>
                <w14:ligatures w14:val="none"/>
              </w:rPr>
            </w:pPr>
            <w:r>
              <w:rPr>
                <w:rFonts w:hint="eastAsia" w:ascii="宋体" w:hAnsi="宋体" w:eastAsia="宋体" w:cs="Times New Roman"/>
                <w:szCs w:val="21"/>
                <w14:ligatures w14:val="none"/>
              </w:rPr>
              <w:t>需要补充的其他内容：</w:t>
            </w:r>
            <w:r>
              <w:rPr>
                <w:rFonts w:hint="eastAsia" w:ascii="宋体" w:hAnsi="宋体" w:eastAsia="宋体" w:cs="Times New Roman"/>
                <w:bCs/>
                <w:szCs w:val="21"/>
                <w14:ligatures w14:val="none"/>
              </w:rPr>
              <w:t>本项目的第三方试验检测单位，或与本项目的第三方试验检测单位的单位负责人为同一人、或存在参股或者管理关系的不同单位参加本项目的投标的，不再被推荐为中标候选人。</w:t>
            </w:r>
          </w:p>
        </w:tc>
      </w:tr>
    </w:tbl>
    <w:p>
      <w:pPr>
        <w:jc w:val="right"/>
        <w:rPr>
          <w:rFonts w:ascii="宋体" w:hAnsi="宋体" w:eastAsia="宋体" w:cs="Times New Roman"/>
          <w:sz w:val="24"/>
          <w:szCs w:val="24"/>
          <w14:ligatures w14:val="none"/>
        </w:rPr>
      </w:pPr>
    </w:p>
    <w:p>
      <w:pPr>
        <w:jc w:val="right"/>
        <w:rPr>
          <w:rFonts w:ascii="宋体" w:hAnsi="宋体" w:eastAsia="宋体" w:cs="Times New Roman"/>
          <w:szCs w:val="21"/>
          <w14:ligatures w14:val="none"/>
        </w:rPr>
      </w:pPr>
      <w:r>
        <w:rPr>
          <w:rFonts w:ascii="宋体" w:hAnsi="宋体" w:eastAsia="宋体" w:cs="Times New Roman"/>
          <w:sz w:val="24"/>
          <w:szCs w:val="24"/>
          <w14:ligatures w14:val="none"/>
        </w:rPr>
        <w:br w:type="page"/>
      </w:r>
      <w:r>
        <w:rPr>
          <w:rFonts w:hint="eastAsia" w:ascii="宋体" w:hAnsi="宋体" w:eastAsia="宋体" w:cs="Times New Roman"/>
          <w:sz w:val="24"/>
          <w:szCs w:val="24"/>
          <w14:ligatures w14:val="none"/>
        </w:rPr>
        <w:t>续上表</w:t>
      </w:r>
    </w:p>
    <w:tbl>
      <w:tblPr>
        <w:tblStyle w:val="2"/>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39"/>
        <w:gridCol w:w="604"/>
        <w:gridCol w:w="1314"/>
        <w:gridCol w:w="4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156" w:type="dxa"/>
            <w:gridSpan w:val="5"/>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评分因素与权重分值</w:t>
            </w:r>
          </w:p>
        </w:tc>
        <w:tc>
          <w:tcPr>
            <w:tcW w:w="5496" w:type="dxa"/>
            <w:gridSpan w:val="2"/>
            <w:vMerge w:val="restart"/>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条款号</w:t>
            </w:r>
          </w:p>
        </w:tc>
        <w:tc>
          <w:tcPr>
            <w:tcW w:w="741"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评分因素</w:t>
            </w:r>
          </w:p>
        </w:tc>
        <w:tc>
          <w:tcPr>
            <w:tcW w:w="831" w:type="dxa"/>
            <w:tcBorders>
              <w:top w:val="single" w:color="auto" w:sz="4" w:space="0"/>
              <w:left w:val="single" w:color="auto" w:sz="4" w:space="0"/>
              <w:bottom w:val="single" w:color="auto" w:sz="4" w:space="0"/>
              <w:right w:val="single" w:color="auto" w:sz="4" w:space="0"/>
            </w:tcBorders>
            <w:vAlign w:val="center"/>
          </w:tcPr>
          <w:p>
            <w:pPr>
              <w:spacing w:line="160" w:lineRule="atLeast"/>
              <w:ind w:left="-40" w:leftChars="-19" w:right="-31" w:rightChars="-15" w:firstLine="1"/>
              <w:jc w:val="center"/>
              <w:rPr>
                <w:rFonts w:ascii="宋体" w:hAnsi="宋体" w:eastAsia="宋体" w:cs="Courier New"/>
                <w:szCs w:val="21"/>
                <w14:ligatures w14:val="none"/>
              </w:rPr>
            </w:pPr>
            <w:r>
              <w:rPr>
                <w:rFonts w:hint="eastAsia" w:ascii="宋体" w:hAnsi="宋体" w:eastAsia="宋体" w:cs="Courier New"/>
                <w:szCs w:val="21"/>
                <w14:ligatures w14:val="none"/>
              </w:rPr>
              <w:t>评分因素 权重分值</w:t>
            </w:r>
          </w:p>
        </w:tc>
        <w:tc>
          <w:tcPr>
            <w:tcW w:w="1239"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eastAsia="宋体" w:cs="Courier New"/>
                <w:szCs w:val="21"/>
                <w14:ligatures w14:val="none"/>
              </w:rPr>
            </w:pPr>
            <w:r>
              <w:rPr>
                <w:rFonts w:ascii="宋体" w:hAnsi="宋体" w:eastAsia="宋体" w:cs="宋体"/>
                <w:szCs w:val="21"/>
                <w:shd w:val="clear" w:color="auto" w:fill="FFFFFF"/>
                <w:lang w:val="zh-CN" w:bidi="zh-CN"/>
                <w14:ligatures w14:val="none"/>
              </w:rPr>
              <w:t>各评分因素细分项</w:t>
            </w:r>
          </w:p>
        </w:tc>
        <w:tc>
          <w:tcPr>
            <w:tcW w:w="604" w:type="dxa"/>
            <w:tcBorders>
              <w:left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分值</w:t>
            </w:r>
          </w:p>
        </w:tc>
        <w:tc>
          <w:tcPr>
            <w:tcW w:w="5496" w:type="dxa"/>
            <w:gridSpan w:val="2"/>
            <w:vMerge w:val="continue"/>
            <w:vAlign w:val="center"/>
          </w:tcPr>
          <w:p>
            <w:pPr>
              <w:spacing w:line="160" w:lineRule="atLeast"/>
              <w:jc w:val="center"/>
              <w:rPr>
                <w:rFonts w:ascii="宋体" w:hAnsi="宋体" w:eastAsia="宋体" w:cs="Courier New"/>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restart"/>
            <w:tcBorders>
              <w:top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2.2.4（1）</w:t>
            </w:r>
          </w:p>
        </w:tc>
        <w:tc>
          <w:tcPr>
            <w:tcW w:w="741" w:type="dxa"/>
            <w:vMerge w:val="restart"/>
            <w:tcBorders>
              <w:top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技术建议书</w:t>
            </w:r>
          </w:p>
        </w:tc>
        <w:tc>
          <w:tcPr>
            <w:tcW w:w="831" w:type="dxa"/>
            <w:vMerge w:val="restart"/>
            <w:tcBorders>
              <w:top w:val="single" w:color="auto" w:sz="4" w:space="0"/>
            </w:tcBorders>
            <w:vAlign w:val="center"/>
          </w:tcPr>
          <w:p>
            <w:pPr>
              <w:spacing w:line="160" w:lineRule="atLeast"/>
              <w:jc w:val="center"/>
              <w:rPr>
                <w:rFonts w:ascii="宋体" w:hAnsi="宋体" w:eastAsia="宋体" w:cs="Courier New"/>
                <w:szCs w:val="21"/>
                <w14:ligatures w14:val="none"/>
              </w:rPr>
            </w:pPr>
            <w:r>
              <w:rPr>
                <w:rFonts w:ascii="宋体" w:hAnsi="宋体" w:eastAsia="宋体" w:cs="Courier New"/>
                <w:szCs w:val="21"/>
                <w14:ligatures w14:val="none"/>
              </w:rPr>
              <w:t>3</w:t>
            </w:r>
            <w:r>
              <w:rPr>
                <w:rFonts w:hint="eastAsia" w:ascii="宋体" w:hAnsi="宋体" w:eastAsia="宋体" w:cs="Courier New"/>
                <w:szCs w:val="21"/>
                <w14:ligatures w14:val="none"/>
              </w:rPr>
              <w:t>5分</w:t>
            </w:r>
          </w:p>
        </w:tc>
        <w:tc>
          <w:tcPr>
            <w:tcW w:w="1239" w:type="dxa"/>
            <w:vMerge w:val="restart"/>
            <w:tcBorders>
              <w:top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监理大纲（或监理方案）和措施</w:t>
            </w:r>
          </w:p>
        </w:tc>
        <w:tc>
          <w:tcPr>
            <w:tcW w:w="604" w:type="dxa"/>
            <w:vMerge w:val="restart"/>
            <w:vAlign w:val="center"/>
          </w:tcPr>
          <w:p>
            <w:pPr>
              <w:spacing w:line="160" w:lineRule="atLeast"/>
              <w:ind w:left="33" w:leftChars="-48" w:right="-31" w:rightChars="-15" w:hanging="134" w:hangingChars="64"/>
              <w:jc w:val="center"/>
              <w:rPr>
                <w:rFonts w:ascii="宋体" w:hAnsi="宋体" w:eastAsia="宋体" w:cs="Courier New"/>
                <w:szCs w:val="21"/>
                <w14:ligatures w14:val="none"/>
              </w:rPr>
            </w:pPr>
            <w:r>
              <w:rPr>
                <w:rFonts w:ascii="宋体" w:hAnsi="宋体" w:eastAsia="宋体" w:cs="Courier New"/>
                <w:szCs w:val="21"/>
                <w14:ligatures w14:val="none"/>
              </w:rPr>
              <w:t>20</w:t>
            </w:r>
            <w:r>
              <w:rPr>
                <w:rFonts w:hint="eastAsia" w:ascii="宋体" w:hAnsi="宋体" w:eastAsia="宋体" w:cs="Courier New"/>
                <w:szCs w:val="21"/>
                <w14:ligatures w14:val="none"/>
              </w:rPr>
              <w:t>分</w:t>
            </w:r>
          </w:p>
        </w:tc>
        <w:tc>
          <w:tcPr>
            <w:tcW w:w="1314" w:type="dxa"/>
            <w:vMerge w:val="restart"/>
            <w:vAlign w:val="center"/>
          </w:tcPr>
          <w:p>
            <w:pPr>
              <w:adjustRightInd w:val="0"/>
              <w:snapToGrid w:val="0"/>
              <w:rPr>
                <w:rFonts w:ascii="宋体" w:hAnsi="Times New Roman" w:eastAsia="宋体" w:cs="Times New Roman"/>
                <w:spacing w:val="-10"/>
                <w:szCs w:val="21"/>
                <w14:ligatures w14:val="none"/>
              </w:rPr>
            </w:pPr>
            <w:r>
              <w:rPr>
                <w:rFonts w:hint="eastAsia" w:ascii="宋体" w:hAnsi="Times New Roman" w:eastAsia="宋体" w:cs="Times New Roman"/>
                <w:spacing w:val="-10"/>
                <w:szCs w:val="21"/>
                <w14:ligatures w14:val="none"/>
              </w:rPr>
              <w:t>对本招标项目监理工作范围和任务理解(</w:t>
            </w:r>
            <w:r>
              <w:rPr>
                <w:rFonts w:ascii="宋体" w:hAnsi="Times New Roman" w:eastAsia="宋体" w:cs="Times New Roman"/>
                <w:spacing w:val="-10"/>
                <w:szCs w:val="21"/>
                <w14:ligatures w14:val="none"/>
              </w:rPr>
              <w:t>5</w:t>
            </w:r>
            <w:r>
              <w:rPr>
                <w:rFonts w:hint="eastAsia" w:ascii="宋体" w:hAnsi="Times New Roman" w:eastAsia="宋体" w:cs="Times New Roman"/>
                <w:spacing w:val="-10"/>
                <w:szCs w:val="21"/>
                <w14:ligatures w14:val="none"/>
              </w:rPr>
              <w:t>分)</w:t>
            </w:r>
          </w:p>
        </w:tc>
        <w:tc>
          <w:tcPr>
            <w:tcW w:w="4182" w:type="dxa"/>
            <w:vAlign w:val="center"/>
          </w:tcPr>
          <w:p>
            <w:pPr>
              <w:adjustRightInd w:val="0"/>
              <w:snapToGrid w:val="0"/>
              <w:rPr>
                <w:rFonts w:ascii="宋体" w:hAnsi="Times New Roman" w:eastAsia="宋体" w:cs="Times New Roman"/>
                <w:szCs w:val="21"/>
                <w14:ligatures w14:val="none"/>
              </w:rPr>
            </w:pPr>
            <w:r>
              <w:rPr>
                <w:rFonts w:hint="eastAsia" w:ascii="宋体" w:hAnsi="Times New Roman" w:eastAsia="宋体" w:cs="Times New Roman"/>
                <w:szCs w:val="21"/>
                <w14:ligatures w14:val="none"/>
              </w:rPr>
              <w:t>理解准确，思路清晰，全面、合理，符合项目要求，得</w:t>
            </w:r>
            <w:r>
              <w:rPr>
                <w:rFonts w:ascii="宋体" w:hAnsi="Times New Roman" w:eastAsia="宋体" w:cs="Times New Roman"/>
                <w:szCs w:val="21"/>
                <w14:ligatures w14:val="none"/>
              </w:rPr>
              <w:t>4</w:t>
            </w:r>
            <w:r>
              <w:rPr>
                <w:rFonts w:hint="eastAsia" w:ascii="宋体" w:hAnsi="Times New Roman" w:eastAsia="宋体" w:cs="Times New Roman"/>
                <w:szCs w:val="21"/>
                <w14:ligatures w14:val="none"/>
              </w:rPr>
              <w:t>-</w:t>
            </w:r>
            <w:r>
              <w:rPr>
                <w:rFonts w:ascii="宋体" w:hAnsi="Times New Roman" w:eastAsia="宋体" w:cs="Times New Roman"/>
                <w:szCs w:val="21"/>
                <w14:ligatures w14:val="none"/>
              </w:rPr>
              <w:t>5</w:t>
            </w:r>
            <w:r>
              <w:rPr>
                <w:rFonts w:hint="eastAsia" w:ascii="宋体" w:hAnsi="Times New Roman" w:eastAsia="宋体" w:cs="Times New Roman"/>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vAlign w:val="center"/>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vMerge w:val="continue"/>
            <w:vAlign w:val="center"/>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ind w:left="33" w:leftChars="-48" w:right="-31" w:rightChars="-15" w:hanging="134" w:hangingChars="64"/>
              <w:jc w:val="center"/>
              <w:rPr>
                <w:rFonts w:ascii="宋体" w:hAnsi="宋体" w:eastAsia="宋体" w:cs="Courier New"/>
                <w:szCs w:val="21"/>
                <w14:ligatures w14:val="none"/>
              </w:rPr>
            </w:pPr>
          </w:p>
        </w:tc>
        <w:tc>
          <w:tcPr>
            <w:tcW w:w="1314" w:type="dxa"/>
            <w:vMerge w:val="continue"/>
            <w:vAlign w:val="center"/>
          </w:tcPr>
          <w:p>
            <w:pPr>
              <w:spacing w:line="300" w:lineRule="exact"/>
              <w:jc w:val="center"/>
              <w:rPr>
                <w:rFonts w:ascii="宋体" w:hAnsi="宋体" w:eastAsia="宋体" w:cs="Courier New"/>
                <w:szCs w:val="21"/>
                <w14:ligatures w14:val="none"/>
              </w:rPr>
            </w:pPr>
          </w:p>
        </w:tc>
        <w:tc>
          <w:tcPr>
            <w:tcW w:w="4182" w:type="dxa"/>
            <w:vAlign w:val="center"/>
          </w:tcPr>
          <w:p>
            <w:pPr>
              <w:jc w:val="left"/>
              <w:rPr>
                <w:rFonts w:ascii="宋体" w:hAnsi="宋体" w:eastAsia="宋体" w:cs="Courier New"/>
                <w:spacing w:val="-4"/>
                <w:szCs w:val="21"/>
                <w14:ligatures w14:val="none"/>
              </w:rPr>
            </w:pPr>
            <w:r>
              <w:rPr>
                <w:rFonts w:hint="eastAsia" w:ascii="宋体" w:hAnsi="Times New Roman" w:eastAsia="宋体" w:cs="Courier New"/>
                <w:szCs w:val="21"/>
                <w14:ligatures w14:val="none"/>
              </w:rPr>
              <w:t>理解较准确，思路较清晰，得</w:t>
            </w:r>
            <w:r>
              <w:rPr>
                <w:rFonts w:ascii="宋体" w:hAnsi="Times New Roman" w:eastAsia="宋体" w:cs="Courier New"/>
                <w:szCs w:val="21"/>
                <w14:ligatures w14:val="none"/>
              </w:rPr>
              <w:t>3</w:t>
            </w:r>
            <w:r>
              <w:rPr>
                <w:rFonts w:hint="eastAsia" w:ascii="宋体" w:hAnsi="Times New Roman" w:eastAsia="宋体" w:cs="Courier New"/>
                <w:szCs w:val="21"/>
                <w14:ligatures w14:val="none"/>
              </w:rPr>
              <w:t>-</w:t>
            </w:r>
            <w:r>
              <w:rPr>
                <w:rFonts w:ascii="宋体" w:hAnsi="Times New Roman" w:eastAsia="宋体" w:cs="Courier New"/>
                <w:szCs w:val="21"/>
                <w14:ligatures w14:val="none"/>
              </w:rPr>
              <w:t>4</w:t>
            </w:r>
            <w:r>
              <w:rPr>
                <w:rFonts w:hint="eastAsia" w:ascii="宋体" w:hAnsi="Times New Roman" w:eastAsia="宋体" w:cs="Courier New"/>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vAlign w:val="center"/>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vMerge w:val="continue"/>
            <w:vAlign w:val="center"/>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ind w:left="33" w:leftChars="-48" w:right="-31" w:rightChars="-15" w:hanging="134" w:hangingChars="64"/>
              <w:jc w:val="center"/>
              <w:rPr>
                <w:rFonts w:ascii="宋体" w:hAnsi="宋体" w:eastAsia="宋体" w:cs="Courier New"/>
                <w:szCs w:val="21"/>
                <w14:ligatures w14:val="none"/>
              </w:rPr>
            </w:pPr>
          </w:p>
        </w:tc>
        <w:tc>
          <w:tcPr>
            <w:tcW w:w="1314" w:type="dxa"/>
            <w:vMerge w:val="continue"/>
            <w:vAlign w:val="center"/>
          </w:tcPr>
          <w:p>
            <w:pPr>
              <w:spacing w:line="300" w:lineRule="exact"/>
              <w:jc w:val="center"/>
              <w:rPr>
                <w:rFonts w:ascii="宋体" w:hAnsi="宋体" w:eastAsia="宋体" w:cs="Courier New"/>
                <w:szCs w:val="21"/>
                <w14:ligatures w14:val="none"/>
              </w:rPr>
            </w:pPr>
          </w:p>
        </w:tc>
        <w:tc>
          <w:tcPr>
            <w:tcW w:w="4182" w:type="dxa"/>
            <w:vAlign w:val="center"/>
          </w:tcPr>
          <w:p>
            <w:pPr>
              <w:jc w:val="left"/>
              <w:rPr>
                <w:rFonts w:ascii="宋体" w:hAnsi="宋体" w:eastAsia="宋体" w:cs="Courier New"/>
                <w:szCs w:val="21"/>
                <w14:ligatures w14:val="none"/>
              </w:rPr>
            </w:pPr>
            <w:r>
              <w:rPr>
                <w:rFonts w:hint="eastAsia" w:ascii="宋体" w:hAnsi="Times New Roman" w:eastAsia="宋体" w:cs="Courier New"/>
                <w:szCs w:val="21"/>
                <w14:ligatures w14:val="none"/>
              </w:rPr>
              <w:t>理解基本准确，得</w:t>
            </w:r>
            <w:r>
              <w:rPr>
                <w:rFonts w:ascii="宋体" w:hAnsi="Times New Roman" w:eastAsia="宋体" w:cs="Courier New"/>
                <w:szCs w:val="21"/>
                <w14:ligatures w14:val="none"/>
              </w:rPr>
              <w:t>3</w:t>
            </w:r>
            <w:r>
              <w:rPr>
                <w:rFonts w:hint="eastAsia" w:ascii="宋体" w:hAnsi="Times New Roman" w:eastAsia="宋体" w:cs="Courier New"/>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vAlign w:val="center"/>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vMerge w:val="continue"/>
            <w:vAlign w:val="center"/>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ind w:left="33" w:leftChars="-48" w:right="-31" w:rightChars="-15" w:hanging="134" w:hangingChars="64"/>
              <w:jc w:val="center"/>
              <w:rPr>
                <w:rFonts w:ascii="宋体" w:hAnsi="宋体" w:eastAsia="宋体" w:cs="Courier New"/>
                <w:szCs w:val="21"/>
                <w14:ligatures w14:val="none"/>
              </w:rPr>
            </w:pPr>
          </w:p>
        </w:tc>
        <w:tc>
          <w:tcPr>
            <w:tcW w:w="1314" w:type="dxa"/>
            <w:vMerge w:val="restart"/>
            <w:vAlign w:val="center"/>
          </w:tcPr>
          <w:p>
            <w:pPr>
              <w:jc w:val="left"/>
              <w:rPr>
                <w:rFonts w:ascii="宋体" w:hAnsi="宋体" w:eastAsia="宋体" w:cs="Courier New"/>
                <w:szCs w:val="21"/>
                <w14:ligatures w14:val="none"/>
              </w:rPr>
            </w:pPr>
            <w:r>
              <w:rPr>
                <w:rFonts w:hint="eastAsia" w:ascii="宋体" w:hAnsi="宋体" w:eastAsia="宋体" w:cs="Courier New"/>
                <w:szCs w:val="21"/>
                <w14:ligatures w14:val="none"/>
              </w:rPr>
              <w:t>监理方案及措施（</w:t>
            </w:r>
            <w:r>
              <w:rPr>
                <w:rFonts w:ascii="宋体" w:hAnsi="宋体" w:eastAsia="宋体" w:cs="Courier New"/>
                <w:szCs w:val="21"/>
                <w14:ligatures w14:val="none"/>
              </w:rPr>
              <w:t>10</w:t>
            </w:r>
            <w:r>
              <w:rPr>
                <w:rFonts w:hint="eastAsia" w:ascii="宋体" w:hAnsi="宋体" w:eastAsia="宋体" w:cs="Courier New"/>
                <w:szCs w:val="21"/>
                <w14:ligatures w14:val="none"/>
              </w:rPr>
              <w:t>分）</w:t>
            </w:r>
          </w:p>
        </w:tc>
        <w:tc>
          <w:tcPr>
            <w:tcW w:w="4182" w:type="dxa"/>
            <w:vAlign w:val="center"/>
          </w:tcPr>
          <w:p>
            <w:pPr>
              <w:jc w:val="left"/>
              <w:rPr>
                <w:rFonts w:ascii="宋体" w:hAnsi="宋体" w:eastAsia="宋体" w:cs="Courier New"/>
                <w:szCs w:val="21"/>
                <w14:ligatures w14:val="none"/>
              </w:rPr>
            </w:pPr>
            <w:r>
              <w:rPr>
                <w:rFonts w:hint="eastAsia" w:ascii="宋体" w:hAnsi="宋体" w:eastAsia="宋体" w:cs="Courier New"/>
                <w:szCs w:val="21"/>
                <w14:ligatures w14:val="none"/>
              </w:rPr>
              <w:t>方案详尽，措施具体全面合理，可行性强，得</w:t>
            </w:r>
            <w:r>
              <w:rPr>
                <w:rFonts w:ascii="宋体" w:hAnsi="宋体" w:eastAsia="宋体" w:cs="Courier New"/>
                <w:szCs w:val="21"/>
                <w14:ligatures w14:val="none"/>
              </w:rPr>
              <w:t>8</w:t>
            </w:r>
            <w:r>
              <w:rPr>
                <w:rFonts w:hint="eastAsia" w:ascii="宋体" w:hAnsi="宋体" w:eastAsia="宋体" w:cs="Courier New"/>
                <w:szCs w:val="21"/>
                <w14:ligatures w14:val="none"/>
              </w:rPr>
              <w:t>-</w:t>
            </w:r>
            <w:r>
              <w:rPr>
                <w:rFonts w:ascii="宋体" w:hAnsi="宋体" w:eastAsia="宋体" w:cs="Courier New"/>
                <w:szCs w:val="21"/>
                <w14:ligatures w14:val="none"/>
              </w:rPr>
              <w:t>10</w:t>
            </w:r>
            <w:r>
              <w:rPr>
                <w:rFonts w:hint="eastAsia" w:ascii="宋体" w:hAnsi="宋体" w:eastAsia="宋体" w:cs="Courier New"/>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vAlign w:val="center"/>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vMerge w:val="continue"/>
            <w:vAlign w:val="center"/>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ind w:left="33" w:leftChars="-48" w:right="-31" w:rightChars="-15" w:hanging="134" w:hangingChars="64"/>
              <w:jc w:val="center"/>
              <w:rPr>
                <w:rFonts w:ascii="宋体" w:hAnsi="宋体" w:eastAsia="宋体" w:cs="Courier New"/>
                <w:szCs w:val="21"/>
                <w14:ligatures w14:val="none"/>
              </w:rPr>
            </w:pPr>
          </w:p>
        </w:tc>
        <w:tc>
          <w:tcPr>
            <w:tcW w:w="1314" w:type="dxa"/>
            <w:vMerge w:val="continue"/>
            <w:vAlign w:val="center"/>
          </w:tcPr>
          <w:p>
            <w:pPr>
              <w:jc w:val="left"/>
              <w:rPr>
                <w:rFonts w:ascii="宋体" w:hAnsi="宋体" w:eastAsia="宋体" w:cs="Courier New"/>
                <w:szCs w:val="21"/>
                <w14:ligatures w14:val="none"/>
              </w:rPr>
            </w:pPr>
          </w:p>
        </w:tc>
        <w:tc>
          <w:tcPr>
            <w:tcW w:w="4182" w:type="dxa"/>
            <w:vAlign w:val="center"/>
          </w:tcPr>
          <w:p>
            <w:pPr>
              <w:jc w:val="left"/>
              <w:rPr>
                <w:rFonts w:ascii="宋体" w:hAnsi="宋体" w:eastAsia="宋体" w:cs="Courier New"/>
                <w:szCs w:val="21"/>
                <w14:ligatures w14:val="none"/>
              </w:rPr>
            </w:pPr>
            <w:r>
              <w:rPr>
                <w:rFonts w:hint="eastAsia" w:ascii="宋体" w:hAnsi="宋体" w:eastAsia="宋体" w:cs="Courier New"/>
                <w:szCs w:val="21"/>
                <w14:ligatures w14:val="none"/>
              </w:rPr>
              <w:t>方案较详尽，措施合理，可行性较好，得</w:t>
            </w:r>
            <w:r>
              <w:rPr>
                <w:rFonts w:ascii="宋体" w:hAnsi="宋体" w:eastAsia="宋体" w:cs="Courier New"/>
                <w:szCs w:val="21"/>
                <w14:ligatures w14:val="none"/>
              </w:rPr>
              <w:t>6</w:t>
            </w:r>
            <w:r>
              <w:rPr>
                <w:rFonts w:hint="eastAsia" w:ascii="宋体" w:hAnsi="宋体" w:eastAsia="宋体" w:cs="Courier New"/>
                <w:szCs w:val="21"/>
                <w14:ligatures w14:val="none"/>
              </w:rPr>
              <w:t>-</w:t>
            </w:r>
            <w:r>
              <w:rPr>
                <w:rFonts w:ascii="宋体" w:hAnsi="宋体" w:eastAsia="宋体" w:cs="Courier New"/>
                <w:szCs w:val="21"/>
                <w14:ligatures w14:val="none"/>
              </w:rPr>
              <w:t>8</w:t>
            </w:r>
            <w:r>
              <w:rPr>
                <w:rFonts w:hint="eastAsia" w:ascii="宋体" w:hAnsi="宋体" w:eastAsia="宋体" w:cs="Courier New"/>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vAlign w:val="center"/>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vMerge w:val="continue"/>
            <w:vAlign w:val="center"/>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ind w:left="33" w:leftChars="-48" w:right="-31" w:rightChars="-15" w:hanging="134" w:hangingChars="64"/>
              <w:jc w:val="center"/>
              <w:rPr>
                <w:rFonts w:ascii="宋体" w:hAnsi="宋体" w:eastAsia="宋体" w:cs="Courier New"/>
                <w:szCs w:val="21"/>
                <w14:ligatures w14:val="none"/>
              </w:rPr>
            </w:pPr>
          </w:p>
        </w:tc>
        <w:tc>
          <w:tcPr>
            <w:tcW w:w="1314" w:type="dxa"/>
            <w:vMerge w:val="continue"/>
            <w:vAlign w:val="center"/>
          </w:tcPr>
          <w:p>
            <w:pPr>
              <w:jc w:val="left"/>
              <w:rPr>
                <w:rFonts w:ascii="宋体" w:hAnsi="宋体" w:eastAsia="宋体" w:cs="Courier New"/>
                <w:szCs w:val="21"/>
                <w14:ligatures w14:val="none"/>
              </w:rPr>
            </w:pPr>
          </w:p>
        </w:tc>
        <w:tc>
          <w:tcPr>
            <w:tcW w:w="4182" w:type="dxa"/>
            <w:vAlign w:val="center"/>
          </w:tcPr>
          <w:p>
            <w:pPr>
              <w:jc w:val="left"/>
              <w:rPr>
                <w:rFonts w:ascii="宋体" w:hAnsi="宋体" w:eastAsia="宋体" w:cs="Courier New"/>
                <w:szCs w:val="21"/>
                <w14:ligatures w14:val="none"/>
              </w:rPr>
            </w:pPr>
            <w:r>
              <w:rPr>
                <w:rFonts w:hint="eastAsia" w:ascii="宋体" w:hAnsi="宋体" w:eastAsia="宋体" w:cs="Courier New"/>
                <w:szCs w:val="21"/>
                <w14:ligatures w14:val="none"/>
              </w:rPr>
              <w:t>方案一般，措施基本全面，可行性一般，得</w:t>
            </w:r>
            <w:r>
              <w:rPr>
                <w:rFonts w:ascii="宋体" w:hAnsi="宋体" w:eastAsia="宋体" w:cs="Courier New"/>
                <w:szCs w:val="21"/>
                <w14:ligatures w14:val="none"/>
              </w:rPr>
              <w:t>6</w:t>
            </w:r>
            <w:r>
              <w:rPr>
                <w:rFonts w:hint="eastAsia" w:ascii="宋体" w:hAnsi="宋体" w:eastAsia="宋体" w:cs="Courier New"/>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vAlign w:val="center"/>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vMerge w:val="continue"/>
            <w:vAlign w:val="center"/>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ind w:left="33" w:leftChars="-48" w:right="-31" w:rightChars="-15" w:hanging="134" w:hangingChars="64"/>
              <w:jc w:val="center"/>
              <w:rPr>
                <w:rFonts w:ascii="宋体" w:hAnsi="宋体" w:eastAsia="宋体" w:cs="Courier New"/>
                <w:szCs w:val="21"/>
                <w14:ligatures w14:val="none"/>
              </w:rPr>
            </w:pPr>
          </w:p>
        </w:tc>
        <w:tc>
          <w:tcPr>
            <w:tcW w:w="1314" w:type="dxa"/>
            <w:vMerge w:val="restart"/>
            <w:vAlign w:val="center"/>
          </w:tcPr>
          <w:p>
            <w:pPr>
              <w:adjustRightInd w:val="0"/>
              <w:snapToGrid w:val="0"/>
              <w:rPr>
                <w:rFonts w:ascii="宋体" w:hAnsi="Times New Roman" w:eastAsia="宋体" w:cs="Times New Roman"/>
                <w:spacing w:val="-10"/>
                <w:szCs w:val="21"/>
                <w14:ligatures w14:val="none"/>
              </w:rPr>
            </w:pPr>
            <w:r>
              <w:rPr>
                <w:rFonts w:hint="eastAsia" w:ascii="宋体" w:hAnsi="Times New Roman" w:eastAsia="宋体" w:cs="Times New Roman"/>
                <w:szCs w:val="21"/>
                <w14:ligatures w14:val="none"/>
              </w:rPr>
              <w:t>监理工作程序(</w:t>
            </w:r>
            <w:r>
              <w:rPr>
                <w:rFonts w:ascii="宋体" w:hAnsi="Times New Roman" w:eastAsia="宋体" w:cs="Times New Roman"/>
                <w:szCs w:val="21"/>
                <w14:ligatures w14:val="none"/>
              </w:rPr>
              <w:t>5</w:t>
            </w:r>
            <w:r>
              <w:rPr>
                <w:rFonts w:hint="eastAsia" w:ascii="宋体" w:hAnsi="Times New Roman" w:eastAsia="宋体" w:cs="Times New Roman"/>
                <w:szCs w:val="21"/>
                <w14:ligatures w14:val="none"/>
              </w:rPr>
              <w:t>分)</w:t>
            </w:r>
          </w:p>
        </w:tc>
        <w:tc>
          <w:tcPr>
            <w:tcW w:w="4182" w:type="dxa"/>
            <w:vAlign w:val="center"/>
          </w:tcPr>
          <w:p>
            <w:pPr>
              <w:adjustRightInd w:val="0"/>
              <w:snapToGrid w:val="0"/>
              <w:rPr>
                <w:rFonts w:ascii="宋体" w:hAnsi="Times New Roman" w:eastAsia="宋体" w:cs="Times New Roman"/>
                <w:szCs w:val="21"/>
                <w14:ligatures w14:val="none"/>
              </w:rPr>
            </w:pPr>
            <w:r>
              <w:rPr>
                <w:rFonts w:hint="eastAsia" w:ascii="宋体" w:hAnsi="Times New Roman" w:eastAsia="宋体" w:cs="Times New Roman"/>
                <w:szCs w:val="21"/>
                <w14:ligatures w14:val="none"/>
              </w:rPr>
              <w:t>内容齐全，阶段划分合理、正确，可实施性强，得</w:t>
            </w:r>
            <w:r>
              <w:rPr>
                <w:rFonts w:ascii="宋体" w:hAnsi="Times New Roman" w:eastAsia="宋体" w:cs="Times New Roman"/>
                <w:szCs w:val="21"/>
                <w14:ligatures w14:val="none"/>
              </w:rPr>
              <w:t>4</w:t>
            </w:r>
            <w:r>
              <w:rPr>
                <w:rFonts w:hint="eastAsia" w:ascii="宋体" w:hAnsi="Times New Roman" w:eastAsia="宋体" w:cs="Times New Roman"/>
                <w:szCs w:val="21"/>
                <w14:ligatures w14:val="none"/>
              </w:rPr>
              <w:t>-</w:t>
            </w:r>
            <w:r>
              <w:rPr>
                <w:rFonts w:ascii="宋体" w:hAnsi="Times New Roman" w:eastAsia="宋体" w:cs="Times New Roman"/>
                <w:szCs w:val="21"/>
                <w14:ligatures w14:val="none"/>
              </w:rPr>
              <w:t>5</w:t>
            </w:r>
            <w:r>
              <w:rPr>
                <w:rFonts w:hint="eastAsia" w:ascii="宋体" w:hAnsi="Times New Roman" w:eastAsia="宋体" w:cs="Times New Roman"/>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tcPr>
          <w:p>
            <w:pPr>
              <w:spacing w:line="160" w:lineRule="atLeast"/>
              <w:jc w:val="center"/>
              <w:rPr>
                <w:rFonts w:ascii="宋体" w:hAnsi="宋体" w:eastAsia="宋体" w:cs="Courier New"/>
                <w:szCs w:val="21"/>
                <w14:ligatures w14:val="none"/>
              </w:rPr>
            </w:pPr>
          </w:p>
        </w:tc>
        <w:tc>
          <w:tcPr>
            <w:tcW w:w="1239" w:type="dxa"/>
            <w:vMerge w:val="continue"/>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ind w:left="33" w:leftChars="-48" w:right="-31" w:rightChars="-15" w:hanging="134" w:hangingChars="64"/>
              <w:jc w:val="center"/>
              <w:rPr>
                <w:rFonts w:ascii="宋体" w:hAnsi="宋体" w:eastAsia="宋体" w:cs="Courier New"/>
                <w:szCs w:val="21"/>
                <w14:ligatures w14:val="none"/>
              </w:rPr>
            </w:pPr>
          </w:p>
        </w:tc>
        <w:tc>
          <w:tcPr>
            <w:tcW w:w="1314" w:type="dxa"/>
            <w:vMerge w:val="continue"/>
            <w:vAlign w:val="center"/>
          </w:tcPr>
          <w:p>
            <w:pPr>
              <w:spacing w:line="300" w:lineRule="exact"/>
              <w:jc w:val="left"/>
              <w:rPr>
                <w:rFonts w:ascii="宋体" w:hAnsi="宋体" w:eastAsia="宋体" w:cs="Courier New"/>
                <w:szCs w:val="21"/>
                <w14:ligatures w14:val="none"/>
              </w:rPr>
            </w:pPr>
          </w:p>
        </w:tc>
        <w:tc>
          <w:tcPr>
            <w:tcW w:w="4182" w:type="dxa"/>
            <w:vAlign w:val="center"/>
          </w:tcPr>
          <w:p>
            <w:pPr>
              <w:jc w:val="left"/>
              <w:rPr>
                <w:rFonts w:ascii="宋体" w:hAnsi="宋体" w:eastAsia="宋体" w:cs="Courier New"/>
                <w:szCs w:val="21"/>
                <w14:ligatures w14:val="none"/>
              </w:rPr>
            </w:pPr>
            <w:r>
              <w:rPr>
                <w:rFonts w:hint="eastAsia" w:ascii="宋体" w:hAnsi="Times New Roman" w:eastAsia="宋体" w:cs="Courier New"/>
                <w:szCs w:val="21"/>
                <w14:ligatures w14:val="none"/>
              </w:rPr>
              <w:t>内容较齐全，阶段划分较合理，可实施性较好，得</w:t>
            </w:r>
            <w:r>
              <w:rPr>
                <w:rFonts w:ascii="宋体" w:hAnsi="Times New Roman" w:eastAsia="宋体" w:cs="Courier New"/>
                <w:szCs w:val="21"/>
                <w14:ligatures w14:val="none"/>
              </w:rPr>
              <w:t>3</w:t>
            </w:r>
            <w:r>
              <w:rPr>
                <w:rFonts w:hint="eastAsia" w:ascii="宋体" w:hAnsi="Times New Roman" w:eastAsia="宋体" w:cs="Courier New"/>
                <w:szCs w:val="21"/>
                <w14:ligatures w14:val="none"/>
              </w:rPr>
              <w:t>-</w:t>
            </w:r>
            <w:r>
              <w:rPr>
                <w:rFonts w:ascii="宋体" w:hAnsi="Times New Roman" w:eastAsia="宋体" w:cs="Courier New"/>
                <w:szCs w:val="21"/>
                <w14:ligatures w14:val="none"/>
              </w:rPr>
              <w:t>4</w:t>
            </w:r>
            <w:r>
              <w:rPr>
                <w:rFonts w:hint="eastAsia" w:ascii="宋体" w:hAnsi="Times New Roman" w:eastAsia="宋体" w:cs="Courier New"/>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tcPr>
          <w:p>
            <w:pPr>
              <w:spacing w:line="160" w:lineRule="atLeast"/>
              <w:jc w:val="center"/>
              <w:rPr>
                <w:rFonts w:ascii="宋体" w:hAnsi="宋体" w:eastAsia="宋体" w:cs="Courier New"/>
                <w:szCs w:val="21"/>
                <w14:ligatures w14:val="none"/>
              </w:rPr>
            </w:pPr>
          </w:p>
        </w:tc>
        <w:tc>
          <w:tcPr>
            <w:tcW w:w="1239" w:type="dxa"/>
            <w:vMerge w:val="continue"/>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ind w:left="33" w:leftChars="-48" w:right="-31" w:rightChars="-15" w:hanging="134" w:hangingChars="64"/>
              <w:jc w:val="center"/>
              <w:rPr>
                <w:rFonts w:ascii="宋体" w:hAnsi="宋体" w:eastAsia="宋体" w:cs="Courier New"/>
                <w:szCs w:val="21"/>
                <w14:ligatures w14:val="none"/>
              </w:rPr>
            </w:pPr>
          </w:p>
        </w:tc>
        <w:tc>
          <w:tcPr>
            <w:tcW w:w="1314" w:type="dxa"/>
            <w:vMerge w:val="continue"/>
            <w:vAlign w:val="center"/>
          </w:tcPr>
          <w:p>
            <w:pPr>
              <w:spacing w:line="300" w:lineRule="exact"/>
              <w:jc w:val="left"/>
              <w:rPr>
                <w:rFonts w:ascii="宋体" w:hAnsi="宋体" w:eastAsia="宋体" w:cs="Courier New"/>
                <w:szCs w:val="21"/>
                <w14:ligatures w14:val="none"/>
              </w:rPr>
            </w:pPr>
          </w:p>
        </w:tc>
        <w:tc>
          <w:tcPr>
            <w:tcW w:w="4182" w:type="dxa"/>
            <w:vAlign w:val="center"/>
          </w:tcPr>
          <w:p>
            <w:pPr>
              <w:jc w:val="left"/>
              <w:rPr>
                <w:rFonts w:ascii="宋体" w:hAnsi="宋体" w:eastAsia="宋体" w:cs="Courier New"/>
                <w:szCs w:val="21"/>
                <w14:ligatures w14:val="none"/>
              </w:rPr>
            </w:pPr>
            <w:r>
              <w:rPr>
                <w:rFonts w:hint="eastAsia" w:ascii="宋体" w:hAnsi="Times New Roman" w:eastAsia="宋体" w:cs="Courier New"/>
                <w:szCs w:val="21"/>
                <w14:ligatures w14:val="none"/>
              </w:rPr>
              <w:t>内容基本齐全，阶段划分基本合理，可实施性一般，得</w:t>
            </w:r>
            <w:r>
              <w:rPr>
                <w:rFonts w:ascii="宋体" w:hAnsi="Times New Roman" w:eastAsia="宋体" w:cs="Courier New"/>
                <w:szCs w:val="21"/>
                <w14:ligatures w14:val="none"/>
              </w:rPr>
              <w:t>3</w:t>
            </w:r>
            <w:r>
              <w:rPr>
                <w:rFonts w:hint="eastAsia" w:ascii="宋体" w:hAnsi="Times New Roman" w:eastAsia="宋体" w:cs="Courier New"/>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vMerge w:val="restart"/>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本工程监理工作的重点与难点分析</w:t>
            </w:r>
          </w:p>
        </w:tc>
        <w:tc>
          <w:tcPr>
            <w:tcW w:w="604" w:type="dxa"/>
            <w:vMerge w:val="restart"/>
            <w:vAlign w:val="center"/>
          </w:tcPr>
          <w:p>
            <w:pPr>
              <w:spacing w:line="160" w:lineRule="atLeast"/>
              <w:ind w:left="33" w:leftChars="-48" w:right="-31" w:rightChars="-15" w:hanging="134" w:hangingChars="64"/>
              <w:jc w:val="center"/>
              <w:rPr>
                <w:rFonts w:ascii="宋体" w:hAnsi="宋体" w:eastAsia="宋体" w:cs="Courier New"/>
                <w:szCs w:val="21"/>
                <w14:ligatures w14:val="none"/>
              </w:rPr>
            </w:pPr>
            <w:r>
              <w:rPr>
                <w:rFonts w:hint="eastAsia" w:ascii="宋体" w:hAnsi="宋体" w:eastAsia="宋体" w:cs="Courier New"/>
                <w:szCs w:val="21"/>
                <w14:ligatures w14:val="none"/>
              </w:rPr>
              <w:t>10分</w:t>
            </w:r>
          </w:p>
        </w:tc>
        <w:tc>
          <w:tcPr>
            <w:tcW w:w="5496" w:type="dxa"/>
            <w:gridSpan w:val="2"/>
            <w:vAlign w:val="center"/>
          </w:tcPr>
          <w:p>
            <w:pPr>
              <w:adjustRightInd w:val="0"/>
              <w:snapToGrid w:val="0"/>
              <w:rPr>
                <w:rFonts w:ascii="宋体" w:hAnsi="Times New Roman" w:eastAsia="宋体" w:cs="Times New Roman"/>
                <w:szCs w:val="21"/>
                <w14:ligatures w14:val="none"/>
              </w:rPr>
            </w:pPr>
            <w:r>
              <w:rPr>
                <w:rFonts w:hint="eastAsia" w:ascii="宋体" w:hAnsi="Times New Roman" w:eastAsia="宋体" w:cs="Times New Roman"/>
                <w:szCs w:val="21"/>
                <w14:ligatures w14:val="none"/>
              </w:rPr>
              <w:t>分析透彻，对难点、重点把握准确；处理措施科学合理，有效可行，得8-10分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tcPr>
          <w:p>
            <w:pPr>
              <w:spacing w:line="160" w:lineRule="atLeast"/>
              <w:jc w:val="center"/>
              <w:rPr>
                <w:rFonts w:ascii="宋体" w:hAnsi="宋体" w:eastAsia="宋体" w:cs="Courier New"/>
                <w:szCs w:val="21"/>
                <w14:ligatures w14:val="none"/>
              </w:rPr>
            </w:pPr>
          </w:p>
        </w:tc>
        <w:tc>
          <w:tcPr>
            <w:tcW w:w="1239" w:type="dxa"/>
            <w:vMerge w:val="continue"/>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jc w:val="center"/>
              <w:rPr>
                <w:rFonts w:ascii="宋体" w:hAnsi="宋体" w:eastAsia="宋体" w:cs="Courier New"/>
                <w:szCs w:val="21"/>
                <w14:ligatures w14:val="none"/>
              </w:rPr>
            </w:pPr>
          </w:p>
        </w:tc>
        <w:tc>
          <w:tcPr>
            <w:tcW w:w="5496" w:type="dxa"/>
            <w:gridSpan w:val="2"/>
            <w:vAlign w:val="center"/>
          </w:tcPr>
          <w:p>
            <w:pPr>
              <w:adjustRightInd w:val="0"/>
              <w:snapToGrid w:val="0"/>
              <w:rPr>
                <w:rFonts w:ascii="宋体" w:hAnsi="Times New Roman" w:eastAsia="宋体" w:cs="Times New Roman"/>
                <w:szCs w:val="21"/>
                <w14:ligatures w14:val="none"/>
              </w:rPr>
            </w:pPr>
            <w:r>
              <w:rPr>
                <w:rFonts w:hint="eastAsia" w:ascii="宋体" w:hAnsi="Times New Roman" w:eastAsia="宋体" w:cs="Times New Roman"/>
                <w:szCs w:val="21"/>
                <w14:ligatures w14:val="none"/>
              </w:rPr>
              <w:t>分析较透彻，对难点、重点把握较准确；处理措施合理，可行，得6-8分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tcPr>
          <w:p>
            <w:pPr>
              <w:spacing w:line="160" w:lineRule="atLeast"/>
              <w:jc w:val="center"/>
              <w:rPr>
                <w:rFonts w:ascii="宋体" w:hAnsi="宋体" w:eastAsia="宋体" w:cs="Courier New"/>
                <w:szCs w:val="21"/>
                <w14:ligatures w14:val="none"/>
              </w:rPr>
            </w:pPr>
          </w:p>
        </w:tc>
        <w:tc>
          <w:tcPr>
            <w:tcW w:w="1239" w:type="dxa"/>
            <w:vMerge w:val="continue"/>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jc w:val="center"/>
              <w:rPr>
                <w:rFonts w:ascii="宋体" w:hAnsi="宋体" w:eastAsia="宋体" w:cs="Courier New"/>
                <w:szCs w:val="21"/>
                <w14:ligatures w14:val="none"/>
              </w:rPr>
            </w:pPr>
          </w:p>
        </w:tc>
        <w:tc>
          <w:tcPr>
            <w:tcW w:w="5496" w:type="dxa"/>
            <w:gridSpan w:val="2"/>
            <w:vAlign w:val="center"/>
          </w:tcPr>
          <w:p>
            <w:pPr>
              <w:adjustRightInd w:val="0"/>
              <w:snapToGrid w:val="0"/>
              <w:rPr>
                <w:rFonts w:ascii="宋体" w:hAnsi="Times New Roman" w:eastAsia="宋体" w:cs="Times New Roman"/>
                <w:szCs w:val="21"/>
                <w14:ligatures w14:val="none"/>
              </w:rPr>
            </w:pPr>
            <w:r>
              <w:rPr>
                <w:rFonts w:hint="eastAsia" w:ascii="宋体" w:hAnsi="Times New Roman" w:eastAsia="宋体" w:cs="Times New Roman"/>
                <w:szCs w:val="21"/>
                <w14:ligatures w14:val="none"/>
              </w:rPr>
              <w:t>分析一般，对难点、重点把握一般；处理措施基本合理，基本可行，得</w:t>
            </w:r>
            <w:r>
              <w:rPr>
                <w:rFonts w:ascii="宋体" w:hAnsi="Times New Roman" w:eastAsia="宋体" w:cs="Times New Roman"/>
                <w:szCs w:val="21"/>
                <w14:ligatures w14:val="none"/>
              </w:rPr>
              <w:t>6</w:t>
            </w:r>
            <w:r>
              <w:rPr>
                <w:rFonts w:hint="eastAsia" w:ascii="宋体" w:hAnsi="Times New Roman" w:eastAsia="宋体" w:cs="Times New Roman"/>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vMerge w:val="restart"/>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对本工程的建议</w:t>
            </w:r>
          </w:p>
        </w:tc>
        <w:tc>
          <w:tcPr>
            <w:tcW w:w="604" w:type="dxa"/>
            <w:vMerge w:val="restart"/>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5分</w:t>
            </w:r>
          </w:p>
        </w:tc>
        <w:tc>
          <w:tcPr>
            <w:tcW w:w="5496" w:type="dxa"/>
            <w:gridSpan w:val="2"/>
            <w:vAlign w:val="center"/>
          </w:tcPr>
          <w:p>
            <w:pPr>
              <w:adjustRightInd w:val="0"/>
              <w:snapToGrid w:val="0"/>
              <w:rPr>
                <w:rFonts w:ascii="宋体" w:hAnsi="Times New Roman" w:eastAsia="宋体" w:cs="Times New Roman"/>
                <w:szCs w:val="21"/>
                <w14:ligatures w14:val="none"/>
              </w:rPr>
            </w:pPr>
            <w:r>
              <w:rPr>
                <w:rFonts w:hint="eastAsia" w:ascii="宋体" w:hAnsi="Times New Roman" w:eastAsia="宋体" w:cs="Times New Roman"/>
                <w:szCs w:val="21"/>
                <w14:ligatures w14:val="none"/>
              </w:rPr>
              <w:t>建议措施具体全面、可靠、合理，可实施性强，</w:t>
            </w:r>
            <w:r>
              <w:rPr>
                <w:rFonts w:ascii="宋体" w:hAnsi="Times New Roman" w:eastAsia="宋体" w:cs="Times New Roman"/>
                <w:szCs w:val="21"/>
                <w14:ligatures w14:val="none"/>
              </w:rPr>
              <w:t>4</w:t>
            </w:r>
            <w:r>
              <w:rPr>
                <w:rFonts w:hint="eastAsia" w:ascii="宋体" w:hAnsi="Times New Roman" w:eastAsia="宋体" w:cs="Times New Roman"/>
                <w:szCs w:val="21"/>
                <w14:ligatures w14:val="none"/>
              </w:rPr>
              <w:t>-</w:t>
            </w:r>
            <w:r>
              <w:rPr>
                <w:rFonts w:ascii="宋体" w:hAnsi="Times New Roman" w:eastAsia="宋体" w:cs="Times New Roman"/>
                <w:szCs w:val="21"/>
                <w14:ligatures w14:val="none"/>
              </w:rPr>
              <w:t>5</w:t>
            </w:r>
            <w:r>
              <w:rPr>
                <w:rFonts w:hint="eastAsia" w:ascii="宋体" w:hAnsi="Times New Roman" w:eastAsia="宋体" w:cs="Times New Roman"/>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tcPr>
          <w:p>
            <w:pPr>
              <w:spacing w:line="160" w:lineRule="atLeast"/>
              <w:jc w:val="center"/>
              <w:rPr>
                <w:rFonts w:ascii="宋体" w:hAnsi="宋体" w:eastAsia="宋体" w:cs="Courier New"/>
                <w:szCs w:val="21"/>
                <w14:ligatures w14:val="none"/>
              </w:rPr>
            </w:pPr>
          </w:p>
        </w:tc>
        <w:tc>
          <w:tcPr>
            <w:tcW w:w="1239" w:type="dxa"/>
            <w:vMerge w:val="continue"/>
            <w:vAlign w:val="center"/>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jc w:val="center"/>
              <w:rPr>
                <w:rFonts w:ascii="宋体" w:hAnsi="宋体" w:eastAsia="宋体" w:cs="Courier New"/>
                <w:szCs w:val="21"/>
                <w14:ligatures w14:val="none"/>
              </w:rPr>
            </w:pPr>
          </w:p>
        </w:tc>
        <w:tc>
          <w:tcPr>
            <w:tcW w:w="5496" w:type="dxa"/>
            <w:gridSpan w:val="2"/>
            <w:vAlign w:val="center"/>
          </w:tcPr>
          <w:p>
            <w:pPr>
              <w:adjustRightInd w:val="0"/>
              <w:snapToGrid w:val="0"/>
              <w:rPr>
                <w:rFonts w:ascii="宋体" w:hAnsi="Times New Roman" w:eastAsia="宋体" w:cs="Times New Roman"/>
                <w:szCs w:val="21"/>
                <w14:ligatures w14:val="none"/>
              </w:rPr>
            </w:pPr>
            <w:r>
              <w:rPr>
                <w:rFonts w:hint="eastAsia" w:ascii="宋体" w:hAnsi="Times New Roman" w:eastAsia="宋体" w:cs="Times New Roman"/>
                <w:szCs w:val="21"/>
                <w14:ligatures w14:val="none"/>
              </w:rPr>
              <w:t>建议措施全面、合理，可实施性较好，得</w:t>
            </w:r>
            <w:r>
              <w:rPr>
                <w:rFonts w:ascii="宋体" w:hAnsi="Times New Roman" w:eastAsia="宋体" w:cs="Times New Roman"/>
                <w:szCs w:val="21"/>
                <w14:ligatures w14:val="none"/>
              </w:rPr>
              <w:t>3</w:t>
            </w:r>
            <w:r>
              <w:rPr>
                <w:rFonts w:hint="eastAsia" w:ascii="宋体" w:hAnsi="Times New Roman" w:eastAsia="宋体" w:cs="Times New Roman"/>
                <w:szCs w:val="21"/>
                <w14:ligatures w14:val="none"/>
              </w:rPr>
              <w:t>-</w:t>
            </w:r>
            <w:r>
              <w:rPr>
                <w:rFonts w:ascii="宋体" w:hAnsi="Times New Roman" w:eastAsia="宋体" w:cs="Times New Roman"/>
                <w:szCs w:val="21"/>
                <w14:ligatures w14:val="none"/>
              </w:rPr>
              <w:t>4</w:t>
            </w:r>
            <w:r>
              <w:rPr>
                <w:rFonts w:hint="eastAsia" w:ascii="宋体" w:hAnsi="Times New Roman" w:eastAsia="宋体" w:cs="Times New Roman"/>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Pr>
          <w:p>
            <w:pPr>
              <w:spacing w:line="160" w:lineRule="atLeast"/>
              <w:jc w:val="center"/>
              <w:rPr>
                <w:rFonts w:ascii="宋体" w:hAnsi="宋体" w:eastAsia="宋体" w:cs="Courier New"/>
                <w:szCs w:val="21"/>
                <w14:ligatures w14:val="none"/>
              </w:rPr>
            </w:pPr>
          </w:p>
        </w:tc>
        <w:tc>
          <w:tcPr>
            <w:tcW w:w="741" w:type="dxa"/>
            <w:vMerge w:val="continue"/>
          </w:tcPr>
          <w:p>
            <w:pPr>
              <w:spacing w:line="160" w:lineRule="atLeast"/>
              <w:jc w:val="center"/>
              <w:rPr>
                <w:rFonts w:ascii="宋体" w:hAnsi="宋体" w:eastAsia="宋体" w:cs="Courier New"/>
                <w:szCs w:val="21"/>
                <w14:ligatures w14:val="none"/>
              </w:rPr>
            </w:pPr>
          </w:p>
        </w:tc>
        <w:tc>
          <w:tcPr>
            <w:tcW w:w="831" w:type="dxa"/>
            <w:vMerge w:val="continue"/>
          </w:tcPr>
          <w:p>
            <w:pPr>
              <w:spacing w:line="160" w:lineRule="atLeast"/>
              <w:jc w:val="center"/>
              <w:rPr>
                <w:rFonts w:ascii="宋体" w:hAnsi="宋体" w:eastAsia="宋体" w:cs="Courier New"/>
                <w:szCs w:val="21"/>
                <w14:ligatures w14:val="none"/>
              </w:rPr>
            </w:pPr>
          </w:p>
        </w:tc>
        <w:tc>
          <w:tcPr>
            <w:tcW w:w="1239" w:type="dxa"/>
            <w:vMerge w:val="continue"/>
            <w:vAlign w:val="center"/>
          </w:tcPr>
          <w:p>
            <w:pPr>
              <w:spacing w:line="160" w:lineRule="atLeast"/>
              <w:jc w:val="center"/>
              <w:rPr>
                <w:rFonts w:ascii="宋体" w:hAnsi="宋体" w:eastAsia="宋体" w:cs="Courier New"/>
                <w:szCs w:val="21"/>
                <w14:ligatures w14:val="none"/>
              </w:rPr>
            </w:pPr>
          </w:p>
        </w:tc>
        <w:tc>
          <w:tcPr>
            <w:tcW w:w="604" w:type="dxa"/>
            <w:vMerge w:val="continue"/>
            <w:vAlign w:val="center"/>
          </w:tcPr>
          <w:p>
            <w:pPr>
              <w:spacing w:line="160" w:lineRule="atLeast"/>
              <w:jc w:val="center"/>
              <w:rPr>
                <w:rFonts w:ascii="宋体" w:hAnsi="宋体" w:eastAsia="宋体" w:cs="Courier New"/>
                <w:szCs w:val="21"/>
                <w14:ligatures w14:val="none"/>
              </w:rPr>
            </w:pPr>
          </w:p>
        </w:tc>
        <w:tc>
          <w:tcPr>
            <w:tcW w:w="5496" w:type="dxa"/>
            <w:gridSpan w:val="2"/>
            <w:vAlign w:val="center"/>
          </w:tcPr>
          <w:p>
            <w:pPr>
              <w:adjustRightInd w:val="0"/>
              <w:snapToGrid w:val="0"/>
              <w:rPr>
                <w:rFonts w:ascii="宋体" w:hAnsi="Times New Roman" w:eastAsia="宋体" w:cs="Times New Roman"/>
                <w:szCs w:val="21"/>
                <w14:ligatures w14:val="none"/>
              </w:rPr>
            </w:pPr>
            <w:r>
              <w:rPr>
                <w:rFonts w:hint="eastAsia" w:ascii="宋体" w:hAnsi="Times New Roman" w:eastAsia="宋体" w:cs="Times New Roman"/>
                <w:szCs w:val="21"/>
                <w14:ligatures w14:val="none"/>
              </w:rPr>
              <w:t>建议措施基本全面、合理，可实施性一般，得</w:t>
            </w:r>
            <w:r>
              <w:rPr>
                <w:rFonts w:ascii="宋体" w:hAnsi="Times New Roman" w:eastAsia="宋体" w:cs="Times New Roman"/>
                <w:szCs w:val="21"/>
                <w14:ligatures w14:val="none"/>
              </w:rPr>
              <w:t>3</w:t>
            </w:r>
            <w:r>
              <w:rPr>
                <w:rFonts w:hint="eastAsia" w:ascii="宋体" w:hAnsi="Times New Roman" w:eastAsia="宋体" w:cs="Times New Roman"/>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41" w:type="dxa"/>
            <w:tcBorders>
              <w:top w:val="nil"/>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2.2.4（2）</w:t>
            </w:r>
          </w:p>
        </w:tc>
        <w:tc>
          <w:tcPr>
            <w:tcW w:w="741" w:type="dxa"/>
            <w:tcBorders>
              <w:top w:val="nil"/>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主要人员</w:t>
            </w:r>
          </w:p>
        </w:tc>
        <w:tc>
          <w:tcPr>
            <w:tcW w:w="831" w:type="dxa"/>
            <w:tcBorders>
              <w:top w:val="nil"/>
              <w:bottom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2</w:t>
            </w:r>
            <w:r>
              <w:rPr>
                <w:rFonts w:ascii="宋体" w:hAnsi="宋体" w:eastAsia="宋体" w:cs="Courier New"/>
                <w:szCs w:val="21"/>
                <w14:ligatures w14:val="none"/>
              </w:rPr>
              <w:t>5</w:t>
            </w:r>
            <w:r>
              <w:rPr>
                <w:rFonts w:hint="eastAsia" w:ascii="宋体" w:hAnsi="宋体" w:eastAsia="宋体" w:cs="Courier New"/>
                <w:szCs w:val="21"/>
                <w14:ligatures w14:val="none"/>
              </w:rPr>
              <w:t>分</w:t>
            </w:r>
          </w:p>
        </w:tc>
        <w:tc>
          <w:tcPr>
            <w:tcW w:w="1239" w:type="dxa"/>
            <w:tcBorders>
              <w:bottom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宋体"/>
                <w:sz w:val="20"/>
                <w:szCs w:val="20"/>
                <w:shd w:val="clear" w:color="auto" w:fill="FFFFFF"/>
                <w:lang w:val="zh-CN" w:bidi="zh-CN"/>
                <w14:ligatures w14:val="none"/>
              </w:rPr>
              <w:t>总监理工程师任职资格与</w:t>
            </w:r>
            <w:r>
              <w:rPr>
                <w:rFonts w:ascii="宋体" w:hAnsi="宋体" w:eastAsia="宋体" w:cs="宋体"/>
                <w:sz w:val="20"/>
                <w:szCs w:val="20"/>
                <w:shd w:val="clear" w:color="auto" w:fill="FFFFFF"/>
                <w:lang w:val="zh-CN" w:bidi="zh-CN"/>
                <w14:ligatures w14:val="none"/>
              </w:rPr>
              <w:t>业绩</w:t>
            </w:r>
          </w:p>
        </w:tc>
        <w:tc>
          <w:tcPr>
            <w:tcW w:w="604" w:type="dxa"/>
            <w:tcBorders>
              <w:bottom w:val="single" w:color="auto" w:sz="4" w:space="0"/>
            </w:tcBorders>
            <w:vAlign w:val="center"/>
          </w:tcPr>
          <w:p>
            <w:pPr>
              <w:spacing w:line="160" w:lineRule="atLeast"/>
              <w:jc w:val="center"/>
              <w:rPr>
                <w:rFonts w:ascii="宋体" w:hAnsi="宋体" w:eastAsia="宋体" w:cs="Courier New"/>
                <w:szCs w:val="21"/>
                <w14:ligatures w14:val="none"/>
              </w:rPr>
            </w:pPr>
            <w:r>
              <w:rPr>
                <w:rFonts w:ascii="宋体" w:hAnsi="宋体" w:eastAsia="宋体" w:cs="Courier New"/>
                <w:szCs w:val="21"/>
                <w14:ligatures w14:val="none"/>
              </w:rPr>
              <w:t>25</w:t>
            </w:r>
            <w:r>
              <w:rPr>
                <w:rFonts w:hint="eastAsia" w:ascii="宋体" w:hAnsi="宋体" w:eastAsia="宋体" w:cs="Courier New"/>
                <w:szCs w:val="21"/>
                <w14:ligatures w14:val="none"/>
              </w:rPr>
              <w:t>分</w:t>
            </w:r>
          </w:p>
        </w:tc>
        <w:tc>
          <w:tcPr>
            <w:tcW w:w="5496" w:type="dxa"/>
            <w:gridSpan w:val="2"/>
            <w:tcBorders>
              <w:bottom w:val="single" w:color="auto" w:sz="4" w:space="0"/>
            </w:tcBorders>
            <w:vAlign w:val="center"/>
          </w:tcPr>
          <w:p>
            <w:pPr>
              <w:jc w:val="left"/>
              <w:rPr>
                <w:rFonts w:ascii="宋体" w:hAnsi="宋体" w:eastAsia="宋体" w:cs="Times New Roman"/>
                <w:szCs w:val="21"/>
                <w14:ligatures w14:val="none"/>
              </w:rPr>
            </w:pPr>
            <w:r>
              <w:rPr>
                <w:rFonts w:hint="eastAsia" w:ascii="宋体" w:hAnsi="宋体" w:eastAsia="宋体" w:cs="Times New Roman"/>
                <w:szCs w:val="21"/>
                <w14:ligatures w14:val="none"/>
              </w:rPr>
              <w:t>满足资格审查条件要求得1</w:t>
            </w:r>
            <w:r>
              <w:rPr>
                <w:rFonts w:ascii="宋体" w:hAnsi="宋体" w:eastAsia="宋体" w:cs="Times New Roman"/>
                <w:szCs w:val="21"/>
                <w14:ligatures w14:val="none"/>
              </w:rPr>
              <w:t>5</w:t>
            </w:r>
            <w:r>
              <w:rPr>
                <w:rFonts w:hint="eastAsia" w:ascii="宋体" w:hAnsi="宋体" w:eastAsia="宋体" w:cs="Times New Roman"/>
                <w:szCs w:val="21"/>
                <w14:ligatures w14:val="none"/>
              </w:rPr>
              <w:t>分；</w:t>
            </w:r>
          </w:p>
          <w:p>
            <w:pPr>
              <w:jc w:val="left"/>
              <w:rPr>
                <w:rFonts w:ascii="宋体" w:hAnsi="宋体" w:eastAsia="宋体" w:cs="Times New Roman"/>
                <w:szCs w:val="21"/>
                <w14:ligatures w14:val="none"/>
              </w:rPr>
            </w:pPr>
            <w:r>
              <w:rPr>
                <w:rFonts w:hint="eastAsia" w:ascii="宋体" w:hAnsi="Times New Roman" w:eastAsia="宋体" w:cs="Times New Roman"/>
                <w:szCs w:val="21"/>
                <w14:ligatures w14:val="none"/>
              </w:rPr>
              <w:t>总监理工程师近5年（2018年5月1日至投标截止时间，以交工时间为准）每增加1项高速公路（新建或改扩建或养护）工程（含路面工程）或1项高速公路（新建或改扩建或养护）工程（含桥梁工程）的总监理工程师或驻地监理工程师业绩加</w:t>
            </w:r>
            <w:r>
              <w:rPr>
                <w:rFonts w:ascii="宋体" w:hAnsi="Times New Roman" w:eastAsia="宋体" w:cs="Times New Roman"/>
                <w:szCs w:val="21"/>
                <w14:ligatures w14:val="none"/>
              </w:rPr>
              <w:t>10</w:t>
            </w:r>
            <w:r>
              <w:rPr>
                <w:rFonts w:hint="eastAsia" w:ascii="宋体" w:hAnsi="Times New Roman" w:eastAsia="宋体" w:cs="Times New Roman"/>
                <w:szCs w:val="21"/>
                <w14:ligatures w14:val="none"/>
              </w:rPr>
              <w:t>分，最多加10分。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41" w:type="dxa"/>
            <w:tcBorders>
              <w:top w:val="nil"/>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2.2.4（3）</w:t>
            </w:r>
          </w:p>
        </w:tc>
        <w:tc>
          <w:tcPr>
            <w:tcW w:w="741" w:type="dxa"/>
            <w:tcBorders>
              <w:top w:val="nil"/>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评标价</w:t>
            </w:r>
          </w:p>
        </w:tc>
        <w:tc>
          <w:tcPr>
            <w:tcW w:w="831" w:type="dxa"/>
            <w:tcBorders>
              <w:top w:val="nil"/>
              <w:bottom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10分</w:t>
            </w:r>
          </w:p>
        </w:tc>
        <w:tc>
          <w:tcPr>
            <w:tcW w:w="7339" w:type="dxa"/>
            <w:gridSpan w:val="4"/>
            <w:tcBorders>
              <w:bottom w:val="single" w:color="auto" w:sz="4" w:space="0"/>
            </w:tcBorders>
            <w:vAlign w:val="center"/>
          </w:tcPr>
          <w:p>
            <w:pPr>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评标价得分计算公式：</w:t>
            </w:r>
          </w:p>
          <w:p>
            <w:pPr>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（1）如果投标人的评标价＞评标基准价，则评标价得分=F-偏差率×100×E1；</w:t>
            </w:r>
          </w:p>
          <w:p>
            <w:pPr>
              <w:spacing w:line="360" w:lineRule="exact"/>
              <w:rPr>
                <w:rFonts w:ascii="宋体" w:hAnsi="宋体" w:eastAsia="宋体" w:cs="Times New Roman"/>
                <w:szCs w:val="21"/>
                <w14:ligatures w14:val="none"/>
              </w:rPr>
            </w:pPr>
            <w:r>
              <w:rPr>
                <w:rFonts w:hint="eastAsia" w:ascii="宋体" w:hAnsi="宋体" w:eastAsia="宋体" w:cs="Times New Roman"/>
                <w:szCs w:val="21"/>
                <w14:ligatures w14:val="none"/>
              </w:rPr>
              <w:t>（2）如果投标人的评标价≤评标基准价，则评标价得分=F+偏差率×100×E2。</w:t>
            </w:r>
          </w:p>
          <w:p>
            <w:pPr>
              <w:jc w:val="left"/>
              <w:rPr>
                <w:rFonts w:ascii="宋体" w:hAnsi="宋体" w:eastAsia="宋体" w:cs="Times New Roman"/>
                <w:szCs w:val="21"/>
                <w14:ligatures w14:val="none"/>
              </w:rPr>
            </w:pPr>
            <w:r>
              <w:rPr>
                <w:rFonts w:hint="eastAsia" w:ascii="宋体" w:hAnsi="宋体" w:eastAsia="宋体" w:cs="Times New Roman"/>
                <w:szCs w:val="21"/>
                <w14:ligatures w14:val="none"/>
              </w:rPr>
              <w:t>其中，F=10，E1=0.2，E2=0.1；评标价最低得分为0分。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741" w:type="dxa"/>
            <w:vMerge w:val="restart"/>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2.2.4（4）</w:t>
            </w:r>
          </w:p>
        </w:tc>
        <w:tc>
          <w:tcPr>
            <w:tcW w:w="741" w:type="dxa"/>
            <w:vMerge w:val="restart"/>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其他因素</w:t>
            </w:r>
          </w:p>
        </w:tc>
        <w:tc>
          <w:tcPr>
            <w:tcW w:w="831" w:type="dxa"/>
            <w:vMerge w:val="restart"/>
            <w:tcBorders>
              <w:top w:val="single" w:color="auto" w:sz="4" w:space="0"/>
            </w:tcBorders>
            <w:vAlign w:val="center"/>
          </w:tcPr>
          <w:p>
            <w:pPr>
              <w:spacing w:line="160" w:lineRule="atLeast"/>
              <w:jc w:val="center"/>
              <w:rPr>
                <w:rFonts w:ascii="宋体" w:hAnsi="宋体" w:eastAsia="宋体" w:cs="Courier New"/>
                <w:szCs w:val="21"/>
                <w14:ligatures w14:val="none"/>
              </w:rPr>
            </w:pPr>
            <w:r>
              <w:rPr>
                <w:rFonts w:ascii="宋体" w:hAnsi="宋体" w:eastAsia="宋体" w:cs="Courier New"/>
                <w:szCs w:val="21"/>
                <w14:ligatures w14:val="none"/>
              </w:rPr>
              <w:t>30</w:t>
            </w:r>
            <w:r>
              <w:rPr>
                <w:rFonts w:hint="eastAsia" w:ascii="宋体" w:hAnsi="宋体" w:eastAsia="宋体" w:cs="Courier New"/>
                <w:szCs w:val="21"/>
                <w14:ligatures w14:val="none"/>
              </w:rPr>
              <w:t>分</w:t>
            </w:r>
          </w:p>
        </w:tc>
        <w:tc>
          <w:tcPr>
            <w:tcW w:w="1239" w:type="dxa"/>
            <w:tcBorders>
              <w:top w:val="single" w:color="auto" w:sz="4" w:space="0"/>
              <w:bottom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企业业绩</w:t>
            </w:r>
          </w:p>
        </w:tc>
        <w:tc>
          <w:tcPr>
            <w:tcW w:w="604" w:type="dxa"/>
            <w:tcBorders>
              <w:top w:val="single" w:color="auto" w:sz="4" w:space="0"/>
              <w:bottom w:val="single" w:color="auto" w:sz="4" w:space="0"/>
            </w:tcBorders>
            <w:vAlign w:val="center"/>
          </w:tcPr>
          <w:p>
            <w:pPr>
              <w:spacing w:line="160" w:lineRule="atLeast"/>
              <w:jc w:val="center"/>
              <w:rPr>
                <w:rFonts w:ascii="宋体" w:hAnsi="宋体" w:eastAsia="宋体" w:cs="Courier New"/>
                <w:szCs w:val="21"/>
                <w14:ligatures w14:val="none"/>
              </w:rPr>
            </w:pPr>
            <w:r>
              <w:rPr>
                <w:rFonts w:ascii="宋体" w:hAnsi="宋体" w:eastAsia="宋体" w:cs="Courier New"/>
                <w:szCs w:val="21"/>
                <w14:ligatures w14:val="none"/>
              </w:rPr>
              <w:t>25</w:t>
            </w:r>
            <w:r>
              <w:rPr>
                <w:rFonts w:hint="eastAsia" w:ascii="宋体" w:hAnsi="宋体" w:eastAsia="宋体" w:cs="Courier New"/>
                <w:szCs w:val="21"/>
                <w14:ligatures w14:val="none"/>
              </w:rPr>
              <w:t>分</w:t>
            </w:r>
          </w:p>
        </w:tc>
        <w:tc>
          <w:tcPr>
            <w:tcW w:w="5496" w:type="dxa"/>
            <w:gridSpan w:val="2"/>
            <w:tcBorders>
              <w:top w:val="single" w:color="auto" w:sz="4" w:space="0"/>
              <w:bottom w:val="single" w:color="auto" w:sz="4" w:space="0"/>
            </w:tcBorders>
            <w:vAlign w:val="center"/>
          </w:tcPr>
          <w:p>
            <w:pPr>
              <w:rPr>
                <w:rFonts w:ascii="宋体" w:hAnsi="宋体" w:eastAsia="宋体" w:cs="Times New Roman"/>
                <w:szCs w:val="21"/>
                <w14:ligatures w14:val="none"/>
              </w:rPr>
            </w:pPr>
            <w:r>
              <w:rPr>
                <w:rFonts w:hint="eastAsia" w:ascii="宋体" w:hAnsi="宋体" w:eastAsia="宋体" w:cs="Times New Roman"/>
                <w:szCs w:val="21"/>
                <w14:ligatures w14:val="none"/>
              </w:rPr>
              <w:t>满足资格审查条件要求得1</w:t>
            </w:r>
            <w:r>
              <w:rPr>
                <w:rFonts w:ascii="宋体" w:hAnsi="宋体" w:eastAsia="宋体" w:cs="Times New Roman"/>
                <w:szCs w:val="21"/>
                <w14:ligatures w14:val="none"/>
              </w:rPr>
              <w:t>5</w:t>
            </w:r>
            <w:r>
              <w:rPr>
                <w:rFonts w:hint="eastAsia" w:ascii="宋体" w:hAnsi="宋体" w:eastAsia="宋体" w:cs="Times New Roman"/>
                <w:szCs w:val="21"/>
                <w14:ligatures w14:val="none"/>
              </w:rPr>
              <w:t>分；</w:t>
            </w:r>
          </w:p>
          <w:p>
            <w:pPr>
              <w:rPr>
                <w:rFonts w:ascii="宋体" w:hAnsi="宋体" w:eastAsia="宋体" w:cs="Times New Roman"/>
                <w:b/>
                <w:bCs/>
                <w:szCs w:val="21"/>
                <w14:ligatures w14:val="none"/>
              </w:rPr>
            </w:pPr>
            <w:r>
              <w:rPr>
                <w:rFonts w:hint="eastAsia" w:ascii="宋体" w:hAnsi="Times New Roman" w:eastAsia="宋体" w:cs="Times New Roman"/>
                <w:szCs w:val="21"/>
                <w14:ligatures w14:val="none"/>
              </w:rPr>
              <w:t>投标人近5年（2018年5月1日至投标截止时间，以交工时间为准）每增加1项高速公路（新建或改扩建或养护）工程（含路面工程）或1项高速公路（新建或改扩建或养护）工程（含桥梁工程）施工监理业绩加</w:t>
            </w:r>
            <w:r>
              <w:rPr>
                <w:rFonts w:ascii="宋体" w:hAnsi="Times New Roman" w:eastAsia="宋体" w:cs="Times New Roman"/>
                <w:szCs w:val="21"/>
                <w14:ligatures w14:val="none"/>
              </w:rPr>
              <w:t>5</w:t>
            </w:r>
            <w:r>
              <w:rPr>
                <w:rFonts w:hint="eastAsia" w:ascii="宋体" w:hAnsi="Times New Roman" w:eastAsia="宋体" w:cs="Times New Roman"/>
                <w:szCs w:val="21"/>
                <w14:ligatures w14:val="none"/>
              </w:rPr>
              <w:t>分，最多加1</w:t>
            </w:r>
            <w:r>
              <w:rPr>
                <w:rFonts w:ascii="宋体" w:hAnsi="Times New Roman" w:eastAsia="宋体" w:cs="Times New Roman"/>
                <w:szCs w:val="21"/>
                <w14:ligatures w14:val="none"/>
              </w:rPr>
              <w:t>0</w:t>
            </w:r>
            <w:r>
              <w:rPr>
                <w:rFonts w:hint="eastAsia" w:ascii="宋体" w:hAnsi="Times New Roman" w:eastAsia="宋体" w:cs="Times New Roman"/>
                <w:szCs w:val="21"/>
                <w14:ligatures w14:val="none"/>
              </w:rPr>
              <w:t>分。注：上述2种业绩可包含在一个单项合同中。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41" w:type="dxa"/>
            <w:vMerge w:val="continue"/>
            <w:vAlign w:val="center"/>
          </w:tcPr>
          <w:p>
            <w:pPr>
              <w:spacing w:line="160" w:lineRule="atLeast"/>
              <w:jc w:val="center"/>
              <w:rPr>
                <w:rFonts w:ascii="宋体" w:hAnsi="宋体" w:eastAsia="宋体" w:cs="Courier New"/>
                <w:szCs w:val="21"/>
                <w14:ligatures w14:val="none"/>
              </w:rPr>
            </w:pPr>
          </w:p>
        </w:tc>
        <w:tc>
          <w:tcPr>
            <w:tcW w:w="741" w:type="dxa"/>
            <w:vMerge w:val="continue"/>
            <w:vAlign w:val="center"/>
          </w:tcPr>
          <w:p>
            <w:pPr>
              <w:spacing w:line="160" w:lineRule="atLeast"/>
              <w:jc w:val="center"/>
              <w:rPr>
                <w:rFonts w:ascii="宋体" w:hAnsi="宋体" w:eastAsia="宋体" w:cs="Courier New"/>
                <w:szCs w:val="21"/>
                <w14:ligatures w14:val="none"/>
              </w:rPr>
            </w:pPr>
          </w:p>
        </w:tc>
        <w:tc>
          <w:tcPr>
            <w:tcW w:w="831" w:type="dxa"/>
            <w:vMerge w:val="continue"/>
            <w:vAlign w:val="center"/>
          </w:tcPr>
          <w:p>
            <w:pPr>
              <w:spacing w:line="160" w:lineRule="atLeast"/>
              <w:jc w:val="center"/>
              <w:rPr>
                <w:rFonts w:ascii="宋体" w:hAnsi="宋体" w:eastAsia="宋体" w:cs="Courier New"/>
                <w:szCs w:val="21"/>
                <w14:ligatures w14:val="none"/>
              </w:rPr>
            </w:pPr>
          </w:p>
        </w:tc>
        <w:tc>
          <w:tcPr>
            <w:tcW w:w="1239" w:type="dxa"/>
            <w:tcBorders>
              <w:top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履约信誉</w:t>
            </w:r>
          </w:p>
        </w:tc>
        <w:tc>
          <w:tcPr>
            <w:tcW w:w="604" w:type="dxa"/>
            <w:tcBorders>
              <w:top w:val="single" w:color="auto" w:sz="4" w:space="0"/>
            </w:tcBorders>
            <w:vAlign w:val="center"/>
          </w:tcPr>
          <w:p>
            <w:pPr>
              <w:spacing w:line="160" w:lineRule="atLeast"/>
              <w:jc w:val="center"/>
              <w:rPr>
                <w:rFonts w:ascii="宋体" w:hAnsi="宋体" w:eastAsia="宋体" w:cs="Courier New"/>
                <w:szCs w:val="21"/>
                <w14:ligatures w14:val="none"/>
              </w:rPr>
            </w:pPr>
            <w:r>
              <w:rPr>
                <w:rFonts w:hint="eastAsia" w:ascii="宋体" w:hAnsi="宋体" w:eastAsia="宋体" w:cs="Courier New"/>
                <w:szCs w:val="21"/>
                <w14:ligatures w14:val="none"/>
              </w:rPr>
              <w:t>5分</w:t>
            </w:r>
          </w:p>
        </w:tc>
        <w:tc>
          <w:tcPr>
            <w:tcW w:w="5496" w:type="dxa"/>
            <w:gridSpan w:val="2"/>
            <w:tcBorders>
              <w:top w:val="single" w:color="auto" w:sz="4" w:space="0"/>
            </w:tcBorders>
            <w:vAlign w:val="center"/>
          </w:tcPr>
          <w:p>
            <w:pPr>
              <w:rPr>
                <w:rFonts w:ascii="宋体" w:hAnsi="宋体" w:eastAsia="宋体" w:cs="Times New Roman"/>
                <w:szCs w:val="21"/>
                <w14:ligatures w14:val="none"/>
              </w:rPr>
            </w:pPr>
            <w:r>
              <w:rPr>
                <w:rFonts w:hint="eastAsia" w:ascii="宋体" w:hAnsi="宋体" w:eastAsia="宋体" w:cs="Times New Roman"/>
                <w:szCs w:val="21"/>
                <w14:ligatures w14:val="none"/>
              </w:rPr>
              <w:t>满足资格审查条件要求得</w:t>
            </w:r>
            <w:r>
              <w:rPr>
                <w:rFonts w:ascii="宋体" w:hAnsi="宋体" w:eastAsia="宋体" w:cs="Times New Roman"/>
                <w:szCs w:val="21"/>
                <w14:ligatures w14:val="none"/>
              </w:rPr>
              <w:t>5</w:t>
            </w:r>
            <w:r>
              <w:rPr>
                <w:rFonts w:hint="eastAsia" w:ascii="宋体" w:hAnsi="宋体" w:eastAsia="宋体" w:cs="Times New Roman"/>
                <w:szCs w:val="21"/>
                <w14:ligatures w14:val="none"/>
              </w:rPr>
              <w:t>分。</w:t>
            </w:r>
          </w:p>
        </w:tc>
      </w:tr>
    </w:tbl>
    <w:p>
      <w:pPr>
        <w:ind w:firstLine="428" w:firstLineChars="204"/>
        <w:rPr>
          <w:rFonts w:ascii="宋体" w:hAnsi="宋体" w:eastAsia="宋体" w:cs="Courier New"/>
          <w:szCs w:val="21"/>
          <w14:ligatures w14:val="none"/>
        </w:rPr>
      </w:pPr>
    </w:p>
    <w:p>
      <w:pPr>
        <w:ind w:left="840" w:hanging="840" w:hangingChars="400"/>
        <w:rPr>
          <w:rFonts w:ascii="宋体" w:hAnsi="宋体" w:eastAsia="宋体" w:cs="Courier New"/>
          <w:szCs w:val="21"/>
          <w14:ligatures w14:val="none"/>
        </w:rPr>
      </w:pPr>
      <w:r>
        <w:rPr>
          <w:rFonts w:hint="eastAsia" w:ascii="宋体" w:hAnsi="宋体" w:eastAsia="宋体" w:cs="Courier New"/>
          <w:szCs w:val="21"/>
          <w14:ligatures w14:val="none"/>
        </w:rPr>
        <w:t>注：1、评审因素得分应以评标委员会各成员的打分平均值确定。</w:t>
      </w:r>
    </w:p>
    <w:p>
      <w:pPr>
        <w:ind w:left="840" w:leftChars="200" w:hanging="420" w:hangingChars="200"/>
        <w:rPr>
          <w:rFonts w:ascii="宋体" w:hAnsi="宋体" w:eastAsia="宋体" w:cs="Courier New"/>
          <w:szCs w:val="21"/>
          <w14:ligatures w14:val="none"/>
        </w:rPr>
      </w:pPr>
      <w:r>
        <w:rPr>
          <w:rFonts w:hint="eastAsia" w:ascii="宋体" w:hAnsi="宋体" w:eastAsia="宋体" w:cs="Courier New"/>
          <w:szCs w:val="21"/>
          <w14:ligatures w14:val="none"/>
        </w:rPr>
        <w:t>2、技术建议书各评分因素细分项的细分项缺项则该项得0分。</w:t>
      </w:r>
    </w:p>
    <w:p>
      <w:pPr>
        <w:ind w:firstLine="420" w:firstLineChars="200"/>
        <w:rPr>
          <w:rFonts w:ascii="宋体" w:hAnsi="宋体" w:eastAsia="宋体" w:cs="Times New Roman"/>
          <w:szCs w:val="21"/>
          <w14:ligatures w14:val="none"/>
        </w:rPr>
      </w:pPr>
      <w:r>
        <w:rPr>
          <w:rFonts w:hint="eastAsia" w:ascii="宋体" w:hAnsi="宋体" w:eastAsia="宋体" w:cs="Courier New"/>
          <w:szCs w:val="21"/>
          <w14:ligatures w14:val="none"/>
        </w:rPr>
        <w:t>3、技术建议书评分时保留1位小数，评标价得分计算时保留两位小数。</w:t>
      </w:r>
    </w:p>
    <w:bookmarkEnd w:id="18"/>
    <w:p>
      <w:pPr>
        <w:keepNext/>
        <w:keepLines/>
        <w:snapToGrid w:val="0"/>
        <w:spacing w:before="120" w:after="120"/>
        <w:outlineLvl w:val="2"/>
        <w:rPr>
          <w:rFonts w:ascii="宋体" w:hAnsi="宋体" w:eastAsia="宋体" w:cs="Times New Roman"/>
          <w:b/>
          <w:bCs/>
          <w:sz w:val="24"/>
          <w:szCs w:val="24"/>
          <w14:ligatures w14:val="none"/>
        </w:rPr>
      </w:pPr>
      <w:r>
        <w:rPr>
          <w:rFonts w:ascii="宋体" w:hAnsi="宋体" w:eastAsia="宋体" w:cs="Times New Roman"/>
          <w:b/>
          <w:bCs/>
          <w:sz w:val="32"/>
          <w:szCs w:val="21"/>
          <w14:ligatures w14:val="none"/>
        </w:rPr>
        <w:br w:type="page"/>
      </w:r>
      <w:bookmarkStart w:id="19" w:name="_Toc66984523"/>
      <w:r>
        <w:rPr>
          <w:rFonts w:hint="eastAsia" w:ascii="宋体" w:hAnsi="宋体" w:eastAsia="宋体" w:cs="Times New Roman"/>
          <w:b/>
          <w:bCs/>
          <w:sz w:val="24"/>
          <w:szCs w:val="24"/>
          <w14:ligatures w14:val="none"/>
        </w:rPr>
        <w:t>附件</w:t>
      </w:r>
      <w:r>
        <w:rPr>
          <w:rFonts w:ascii="宋体" w:hAnsi="宋体" w:eastAsia="宋体" w:cs="Times New Roman"/>
          <w:b/>
          <w:bCs/>
          <w:sz w:val="24"/>
          <w:szCs w:val="24"/>
          <w14:ligatures w14:val="none"/>
        </w:rPr>
        <w:t>3</w:t>
      </w:r>
      <w:r>
        <w:rPr>
          <w:rFonts w:hint="eastAsia" w:ascii="宋体" w:hAnsi="宋体" w:eastAsia="宋体" w:cs="Times New Roman"/>
          <w:b/>
          <w:bCs/>
          <w:sz w:val="24"/>
          <w:szCs w:val="24"/>
          <w14:ligatures w14:val="none"/>
        </w:rPr>
        <w:t>：随机确定评标基准价计算方法及评标基准价计算参数的规则与程序</w:t>
      </w:r>
      <w:bookmarkEnd w:id="19"/>
    </w:p>
    <w:p>
      <w:pPr>
        <w:ind w:firstLine="420" w:firstLineChars="200"/>
        <w:rPr>
          <w:rFonts w:ascii="宋体" w:hAnsi="宋体" w:eastAsia="宋体" w:cs="Times New Roman"/>
          <w:szCs w:val="24"/>
          <w14:ligatures w14:val="none"/>
        </w:rPr>
      </w:pPr>
    </w:p>
    <w:p>
      <w:pPr>
        <w:snapToGrid w:val="0"/>
        <w:spacing w:line="360" w:lineRule="auto"/>
        <w:ind w:firstLine="422" w:firstLineChars="200"/>
        <w:rPr>
          <w:rFonts w:ascii="宋体" w:hAnsi="宋体" w:eastAsia="宋体" w:cs="Times New Roman"/>
          <w:b/>
          <w:bCs/>
          <w:szCs w:val="21"/>
          <w14:ligatures w14:val="none"/>
        </w:rPr>
      </w:pPr>
      <w:r>
        <w:rPr>
          <w:rFonts w:hint="eastAsia" w:ascii="宋体" w:hAnsi="宋体" w:eastAsia="宋体" w:cs="Times New Roman"/>
          <w:b/>
          <w:bCs/>
          <w:szCs w:val="21"/>
          <w14:ligatures w14:val="none"/>
        </w:rPr>
        <w:t>一、随机确定评标基准价计算方法及评标基准价计算参数的规则与程序</w:t>
      </w:r>
    </w:p>
    <w:p>
      <w:pPr>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参与随机确定评标基准价计算方法及评标基准价计算参数的各方当事人（以下简称“各方”）应当严格遵守以下规则：</w:t>
      </w:r>
    </w:p>
    <w:p>
      <w:pPr>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（一）各方必须严格遵守公开、公平、公正和诚实信用原则；</w:t>
      </w:r>
    </w:p>
    <w:p>
      <w:pPr>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（二）随机确定评标基准价计算方法及评标基准价计算参数的活动由招标人主持在相关部门的监督下进行，由公证机关对全过程进行公证，招标人做好影像记录，并存档备查；</w:t>
      </w:r>
    </w:p>
    <w:p>
      <w:pPr>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（三）用于随机抽取的器具由招标人提供；</w:t>
      </w:r>
    </w:p>
    <w:p>
      <w:pPr>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（四）各方必须严格遵守现场纪律，确保随机确定评标基准价计算方法的活动有序进行。</w:t>
      </w:r>
    </w:p>
    <w:p>
      <w:pPr>
        <w:snapToGrid w:val="0"/>
        <w:spacing w:line="360" w:lineRule="auto"/>
        <w:ind w:firstLine="422" w:firstLineChars="200"/>
        <w:rPr>
          <w:rFonts w:ascii="宋体" w:hAnsi="宋体" w:eastAsia="宋体" w:cs="Times New Roman"/>
          <w:b/>
          <w:bCs/>
          <w:szCs w:val="21"/>
          <w14:ligatures w14:val="none"/>
        </w:rPr>
      </w:pPr>
      <w:r>
        <w:rPr>
          <w:rFonts w:hint="eastAsia" w:ascii="宋体" w:hAnsi="宋体" w:eastAsia="宋体" w:cs="Times New Roman"/>
          <w:b/>
          <w:bCs/>
          <w:szCs w:val="21"/>
          <w14:ligatures w14:val="none"/>
        </w:rPr>
        <w:t>二、随机确定评标基准价计算方法及评标基准价系数</w:t>
      </w:r>
    </w:p>
    <w:p>
      <w:pPr>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 xml:space="preserve">1、确定随机抽取代码球 </w:t>
      </w:r>
    </w:p>
    <w:p>
      <w:pPr>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用抽取器具随机确定抽取代码球一套，作为本次抽取随机确定评标基准价计算方法及评标基准价系数的代码球。</w:t>
      </w:r>
    </w:p>
    <w:p>
      <w:pPr>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2、随机抽取评标基准价计算方法</w:t>
      </w:r>
    </w:p>
    <w:p>
      <w:pPr>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本次招标共设置3种评标基准价计算方法（详见评标办法），在投标文件第一信封（商务及技术文件）开标现场，使用抽取器具随机确定一种评标基准价计算方法，作为本次评标的评标基准价计算方法。将编号为1～3的代码球放入抽取器具，由抽取器具随机抽取1个代码球，抽到几号将使用其对应的评标基准价计算方法。</w:t>
      </w:r>
    </w:p>
    <w:p>
      <w:pPr>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1号球代表评标基准价计算方法一；2号球代表评标基准价计算方法二；3号球代表评标基准价计算方法三。</w:t>
      </w:r>
    </w:p>
    <w:p>
      <w:pPr>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3、随机抽取评标基准价系数</w:t>
      </w:r>
    </w:p>
    <w:p>
      <w:pPr>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评标基准价系数K值的取值范围为1.0</w:t>
      </w:r>
      <w:r>
        <w:rPr>
          <w:rFonts w:ascii="宋体" w:hAnsi="宋体" w:eastAsia="宋体" w:cs="Times New Roman"/>
          <w:szCs w:val="21"/>
          <w14:ligatures w14:val="none"/>
        </w:rPr>
        <w:t>0</w:t>
      </w:r>
      <w:r>
        <w:rPr>
          <w:rFonts w:hint="eastAsia" w:ascii="宋体" w:hAnsi="宋体" w:eastAsia="宋体" w:cs="Times New Roman"/>
          <w:szCs w:val="21"/>
          <w14:ligatures w14:val="none"/>
        </w:rPr>
        <w:t>、</w:t>
      </w:r>
      <w:r>
        <w:rPr>
          <w:rFonts w:hint="eastAsia" w:ascii="宋体" w:hAnsi="宋体" w:eastAsia="宋体" w:cs="Times New Roman"/>
          <w:szCs w:val="24"/>
          <w14:ligatures w14:val="none"/>
        </w:rPr>
        <w:t>0.995、0.99、</w:t>
      </w:r>
      <w:r>
        <w:rPr>
          <w:rFonts w:ascii="宋体" w:hAnsi="宋体" w:eastAsia="宋体" w:cs="Times New Roman"/>
          <w:szCs w:val="24"/>
          <w14:ligatures w14:val="none"/>
        </w:rPr>
        <w:t>0.9</w:t>
      </w:r>
      <w:r>
        <w:rPr>
          <w:rFonts w:hint="eastAsia" w:ascii="宋体" w:hAnsi="宋体" w:eastAsia="宋体" w:cs="Times New Roman"/>
          <w:szCs w:val="24"/>
          <w14:ligatures w14:val="none"/>
        </w:rPr>
        <w:t>85、</w:t>
      </w:r>
      <w:r>
        <w:rPr>
          <w:rFonts w:ascii="宋体" w:hAnsi="宋体" w:eastAsia="宋体" w:cs="Times New Roman"/>
          <w:szCs w:val="24"/>
          <w14:ligatures w14:val="none"/>
        </w:rPr>
        <w:t>0.</w:t>
      </w:r>
      <w:r>
        <w:rPr>
          <w:rFonts w:hint="eastAsia" w:ascii="宋体" w:hAnsi="宋体" w:eastAsia="宋体" w:cs="Times New Roman"/>
          <w:szCs w:val="24"/>
          <w14:ligatures w14:val="none"/>
        </w:rPr>
        <w:t>98</w:t>
      </w:r>
      <w:r>
        <w:rPr>
          <w:rFonts w:hint="eastAsia" w:ascii="宋体" w:hAnsi="宋体" w:eastAsia="宋体" w:cs="Times New Roman"/>
          <w:szCs w:val="21"/>
          <w14:ligatures w14:val="none"/>
        </w:rPr>
        <w:t>，将编号为1～</w:t>
      </w:r>
      <w:r>
        <w:rPr>
          <w:rFonts w:ascii="宋体" w:hAnsi="宋体" w:eastAsia="宋体" w:cs="Times New Roman"/>
          <w:szCs w:val="21"/>
          <w14:ligatures w14:val="none"/>
        </w:rPr>
        <w:t>5</w:t>
      </w:r>
      <w:r>
        <w:rPr>
          <w:rFonts w:hint="eastAsia" w:ascii="宋体" w:hAnsi="宋体" w:eastAsia="宋体" w:cs="Times New Roman"/>
          <w:szCs w:val="21"/>
          <w14:ligatures w14:val="none"/>
        </w:rPr>
        <w:t>的代码球放入抽取器具，由抽取器具随机抽取1个代码球，抽到几号将使用其对应的K值。</w:t>
      </w:r>
    </w:p>
    <w:p>
      <w:pPr>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1号球代表K值为1.00，2号球代表K值为0.995，3号球代表K值为0.99，4号球代表K值为0.985，5号球代表K值为0.98。</w:t>
      </w:r>
    </w:p>
    <w:p>
      <w:pPr>
        <w:snapToGrid w:val="0"/>
        <w:spacing w:line="360" w:lineRule="auto"/>
        <w:ind w:firstLine="422" w:firstLineChars="200"/>
        <w:rPr>
          <w:rFonts w:ascii="宋体" w:hAnsi="宋体" w:eastAsia="宋体" w:cs="Times New Roman"/>
          <w:b/>
          <w:bCs/>
          <w:szCs w:val="21"/>
          <w14:ligatures w14:val="none"/>
        </w:rPr>
      </w:pPr>
      <w:r>
        <w:rPr>
          <w:rFonts w:hint="eastAsia" w:ascii="宋体" w:hAnsi="宋体" w:eastAsia="宋体" w:cs="Times New Roman"/>
          <w:b/>
          <w:bCs/>
          <w:szCs w:val="21"/>
          <w14:ligatures w14:val="none"/>
        </w:rPr>
        <w:t>4、如果抽取的评标基准价计算方法为方法一或方法二，则不需要抽取评标基准价系数K。</w:t>
      </w:r>
    </w:p>
    <w:p>
      <w:pPr>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三、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书面确认。故障排除或更换抽取器具后，招标人应宣布继续后续的抽取程序。</w:t>
      </w:r>
    </w:p>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CA236FE"/>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2023-05-26T07:32:22Z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78724F35F4C14ABF86A21046069351B7</vt:lpwstr>
  </property>
</Properties>
</file>