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11" w:name="_GoBack"/>
      <w:bookmarkEnd w:id="11"/>
      <w:bookmarkStart w:id="0" w:name="_Toc134650210"/>
      <w:bookmarkStart w:id="1" w:name="OLE_LINK1"/>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rPr>
      </w:pPr>
      <w:r>
        <w:rPr>
          <w:rFonts w:hint="eastAsia" w:ascii="宋体" w:hAnsi="宋体"/>
          <w:b/>
        </w:rPr>
        <w:t>附录1  资格审查条件（资质最低要求）</w:t>
      </w:r>
    </w:p>
    <w:p>
      <w:pPr>
        <w:jc w:val="center"/>
        <w:rPr>
          <w:rFonts w:ascii="宋体" w:hAnsi="宋体"/>
          <w:b/>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rPr>
            </w:pPr>
            <w:r>
              <w:rPr>
                <w:rFonts w:hint="eastAsia" w:ascii="宋体" w:hAnsi="宋体"/>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42" w:type="dxa"/>
            <w:vAlign w:val="center"/>
          </w:tcPr>
          <w:p>
            <w:pPr>
              <w:ind w:firstLine="420" w:firstLineChars="200"/>
              <w:rPr>
                <w:rFonts w:ascii="宋体" w:hAnsi="宋体"/>
                <w:strike/>
              </w:rPr>
            </w:pPr>
            <w:bookmarkStart w:id="2" w:name="_Hlk66268845"/>
            <w:r>
              <w:rPr>
                <w:rFonts w:hint="eastAsia" w:ascii="宋体" w:hAnsi="宋体"/>
              </w:rPr>
              <w:t>投标人（以联合体形式投标的包含联合体各成员）具有独立法人资格，持有有效的营业执照</w:t>
            </w:r>
            <w:r>
              <w:rPr>
                <w:rFonts w:hint="eastAsia" w:ascii="宋体" w:hAnsi="宋体"/>
                <w:kern w:val="0"/>
                <w:szCs w:val="21"/>
              </w:rPr>
              <w:t>。</w:t>
            </w:r>
            <w:bookmarkEnd w:id="2"/>
          </w:p>
        </w:tc>
      </w:tr>
    </w:tbl>
    <w:p>
      <w:pPr>
        <w:rPr>
          <w:rFonts w:ascii="宋体" w:hAnsi="宋体"/>
        </w:rPr>
      </w:pPr>
    </w:p>
    <w:p>
      <w:pPr>
        <w:jc w:val="center"/>
        <w:rPr>
          <w:rFonts w:ascii="宋体" w:hAnsi="宋体"/>
          <w:b/>
        </w:rPr>
      </w:pPr>
      <w:r>
        <w:rPr>
          <w:rFonts w:hint="eastAsia" w:ascii="宋体" w:hAnsi="宋体"/>
          <w:b/>
        </w:rPr>
        <w:t>附录2  资格审查条件（业绩最低要求）</w:t>
      </w:r>
    </w:p>
    <w:p>
      <w:pPr>
        <w:jc w:val="center"/>
        <w:rPr>
          <w:rFonts w:ascii="宋体" w:hAnsi="宋体"/>
          <w:b/>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642" w:type="dxa"/>
            <w:vAlign w:val="center"/>
          </w:tcPr>
          <w:p>
            <w:pPr>
              <w:snapToGrid w:val="0"/>
              <w:spacing w:line="360" w:lineRule="exact"/>
              <w:ind w:firstLine="420" w:firstLineChars="200"/>
              <w:rPr>
                <w:rFonts w:ascii="宋体" w:hAnsi="宋体"/>
              </w:rPr>
            </w:pPr>
            <w:bookmarkStart w:id="3" w:name="_Hlk66268902"/>
            <w:r>
              <w:rPr>
                <w:rFonts w:hint="eastAsia" w:ascii="宋体" w:hAnsi="宋体"/>
                <w:kern w:val="0"/>
              </w:rPr>
              <w:t>投标人（以联合体形式投标的以联合体牵头人为准）近5年（2018年5月1日至投标截止时间，以项目建议书批复（通过验收）或可行性研究报告批复或项目申请报告核准时间为准）至少独立完成过一条里程长度不少于50公里的新建（或改扩建）高速公路工程的项目建议书或可行性研究报告的编制业绩。</w:t>
            </w:r>
            <w:bookmarkEnd w:id="3"/>
          </w:p>
        </w:tc>
      </w:tr>
    </w:tbl>
    <w:p>
      <w:pPr>
        <w:rPr>
          <w:rFonts w:ascii="宋体" w:hAnsi="宋体"/>
        </w:rPr>
      </w:pPr>
    </w:p>
    <w:p>
      <w:pPr>
        <w:jc w:val="center"/>
        <w:rPr>
          <w:rFonts w:ascii="宋体" w:hAnsi="宋体"/>
          <w:b/>
        </w:rPr>
      </w:pPr>
      <w:r>
        <w:rPr>
          <w:rFonts w:hint="eastAsia" w:ascii="宋体" w:hAnsi="宋体"/>
          <w:b/>
        </w:rPr>
        <w:t>附录3  资格审查条件（信誉最低要求）</w:t>
      </w:r>
    </w:p>
    <w:p>
      <w:pPr>
        <w:jc w:val="center"/>
        <w:rPr>
          <w:rFonts w:ascii="宋体" w:hAnsi="宋体"/>
          <w:b/>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rPr>
            </w:pPr>
            <w:r>
              <w:rPr>
                <w:rFonts w:hint="eastAsia" w:ascii="宋体" w:hAnsi="宋体"/>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ind w:firstLine="420" w:firstLineChars="200"/>
              <w:rPr>
                <w:rFonts w:ascii="宋体" w:hAnsi="宋体"/>
                <w:szCs w:val="21"/>
              </w:rPr>
            </w:pPr>
            <w:r>
              <w:rPr>
                <w:rFonts w:hint="eastAsia" w:ascii="宋体" w:hAnsi="宋体"/>
              </w:rPr>
              <w:t>投标人（以联合体形式投标的包含联合体各成员）</w:t>
            </w:r>
            <w:r>
              <w:rPr>
                <w:rFonts w:hint="eastAsia" w:ascii="宋体" w:hAnsi="宋体"/>
                <w:szCs w:val="21"/>
              </w:rPr>
              <w:t>在近一年（2022年5月1日至投标截止时间）不曾在高速公路前期咨询项目中</w:t>
            </w:r>
            <w:r>
              <w:rPr>
                <w:rFonts w:ascii="宋体" w:hAnsi="宋体"/>
                <w:szCs w:val="21"/>
              </w:rPr>
              <w:t>违约被逐或因投标人自身的原因而使合同被解除</w:t>
            </w:r>
            <w:r>
              <w:rPr>
                <w:rFonts w:hint="eastAsia" w:ascii="宋体" w:hAnsi="宋体"/>
                <w:szCs w:val="21"/>
              </w:rPr>
              <w:t>。</w:t>
            </w:r>
          </w:p>
        </w:tc>
      </w:tr>
    </w:tbl>
    <w:p>
      <w:pPr>
        <w:rPr>
          <w:rFonts w:ascii="宋体" w:hAnsi="宋体"/>
        </w:rPr>
      </w:pPr>
    </w:p>
    <w:p>
      <w:pPr>
        <w:jc w:val="center"/>
        <w:rPr>
          <w:rFonts w:ascii="宋体" w:hAnsi="宋体"/>
          <w:b/>
        </w:rPr>
      </w:pPr>
    </w:p>
    <w:p>
      <w:pPr>
        <w:jc w:val="center"/>
        <w:rPr>
          <w:rFonts w:ascii="宋体" w:hAnsi="宋体"/>
          <w:b/>
        </w:rPr>
      </w:pPr>
      <w:r>
        <w:rPr>
          <w:rFonts w:hint="eastAsia" w:ascii="宋体" w:hAnsi="宋体"/>
          <w:b/>
        </w:rPr>
        <w:t>附录4  资格审查条件（项目负责人最低要求）</w:t>
      </w:r>
    </w:p>
    <w:p>
      <w:pPr>
        <w:jc w:val="center"/>
        <w:rPr>
          <w:rFonts w:ascii="宋体" w:hAnsi="宋体"/>
          <w:b/>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850"/>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434" w:type="dxa"/>
            <w:vAlign w:val="center"/>
          </w:tcPr>
          <w:p>
            <w:pPr>
              <w:jc w:val="center"/>
              <w:rPr>
                <w:rFonts w:ascii="宋体" w:hAnsi="宋体"/>
              </w:rPr>
            </w:pPr>
            <w:r>
              <w:rPr>
                <w:rFonts w:hint="eastAsia" w:ascii="宋体" w:hAnsi="宋体"/>
              </w:rPr>
              <w:t>人员</w:t>
            </w:r>
          </w:p>
        </w:tc>
        <w:tc>
          <w:tcPr>
            <w:tcW w:w="850" w:type="dxa"/>
            <w:vAlign w:val="center"/>
          </w:tcPr>
          <w:p>
            <w:pPr>
              <w:jc w:val="center"/>
              <w:rPr>
                <w:rFonts w:ascii="宋体" w:hAnsi="宋体"/>
              </w:rPr>
            </w:pPr>
            <w:r>
              <w:rPr>
                <w:rFonts w:hint="eastAsia" w:ascii="宋体" w:hAnsi="宋体"/>
              </w:rPr>
              <w:t>数量</w:t>
            </w:r>
          </w:p>
        </w:tc>
        <w:tc>
          <w:tcPr>
            <w:tcW w:w="5387" w:type="dxa"/>
            <w:vAlign w:val="center"/>
          </w:tcPr>
          <w:p>
            <w:pPr>
              <w:jc w:val="center"/>
              <w:rPr>
                <w:rFonts w:ascii="宋体" w:hAnsi="宋体"/>
              </w:rPr>
            </w:pPr>
            <w:r>
              <w:rPr>
                <w:rFonts w:hint="eastAsia" w:ascii="宋体" w:hAnsi="宋体"/>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434" w:type="dxa"/>
            <w:vAlign w:val="center"/>
          </w:tcPr>
          <w:p>
            <w:pPr>
              <w:jc w:val="center"/>
              <w:rPr>
                <w:rFonts w:ascii="宋体" w:hAnsi="宋体"/>
              </w:rPr>
            </w:pPr>
            <w:r>
              <w:rPr>
                <w:rFonts w:hint="eastAsia" w:ascii="宋体" w:hAnsi="宋体"/>
              </w:rPr>
              <w:t>雄郑高速项目负责人</w:t>
            </w:r>
          </w:p>
          <w:p>
            <w:pPr>
              <w:jc w:val="center"/>
              <w:rPr>
                <w:rFonts w:ascii="宋体" w:hAnsi="宋体"/>
              </w:rPr>
            </w:pPr>
            <w:r>
              <w:rPr>
                <w:rFonts w:hint="eastAsia" w:ascii="宋体" w:hAnsi="宋体"/>
              </w:rPr>
              <w:t>（兼任项目总负责人）</w:t>
            </w:r>
          </w:p>
        </w:tc>
        <w:tc>
          <w:tcPr>
            <w:tcW w:w="850" w:type="dxa"/>
            <w:vAlign w:val="center"/>
          </w:tcPr>
          <w:p>
            <w:pPr>
              <w:jc w:val="center"/>
              <w:rPr>
                <w:rFonts w:ascii="宋体" w:hAnsi="宋体"/>
                <w:szCs w:val="21"/>
              </w:rPr>
            </w:pPr>
            <w:r>
              <w:rPr>
                <w:rFonts w:hint="eastAsia" w:ascii="宋体" w:hAnsi="宋体"/>
                <w:szCs w:val="21"/>
              </w:rPr>
              <w:t>1</w:t>
            </w:r>
          </w:p>
        </w:tc>
        <w:tc>
          <w:tcPr>
            <w:tcW w:w="5387" w:type="dxa"/>
            <w:vMerge w:val="restart"/>
            <w:vAlign w:val="center"/>
          </w:tcPr>
          <w:p>
            <w:pPr>
              <w:rPr>
                <w:rFonts w:ascii="宋体" w:hAnsi="宋体"/>
                <w:szCs w:val="21"/>
              </w:rPr>
            </w:pPr>
            <w:bookmarkStart w:id="4" w:name="_Hlk66268924"/>
            <w:r>
              <w:rPr>
                <w:rFonts w:hint="eastAsia" w:ascii="宋体" w:hAnsi="宋体"/>
                <w:szCs w:val="21"/>
              </w:rPr>
              <w:t>高级及以上工程师职称；</w:t>
            </w:r>
          </w:p>
          <w:p>
            <w:pPr>
              <w:rPr>
                <w:rFonts w:ascii="宋体" w:hAnsi="宋体"/>
                <w:szCs w:val="21"/>
              </w:rPr>
            </w:pPr>
            <w:r>
              <w:rPr>
                <w:rFonts w:hint="eastAsia" w:ascii="宋体" w:hAnsi="宋体"/>
                <w:szCs w:val="21"/>
              </w:rPr>
              <w:t>近5年（2018年5月1日至投标截止时间，以项目建议书批复（通过验收）或可行性研究报告批复或项目申请报告核准时间为准）作为项目负责人至少负责过</w:t>
            </w:r>
            <w:r>
              <w:rPr>
                <w:rFonts w:hint="eastAsia" w:ascii="宋体" w:hAnsi="宋体"/>
                <w:kern w:val="0"/>
              </w:rPr>
              <w:t>一条里程长度不少于50公里的新建（或改扩建）高速公路工程的项目建议书或可行性研究报告的编制工作</w:t>
            </w:r>
            <w:r>
              <w:rPr>
                <w:rFonts w:hint="eastAsia" w:ascii="宋体" w:hAnsi="宋体"/>
                <w:szCs w:val="21"/>
              </w:rPr>
              <w:t>。</w:t>
            </w:r>
            <w:bookmarkEnd w:id="4"/>
          </w:p>
          <w:p>
            <w:pPr>
              <w:rPr>
                <w:rFonts w:ascii="宋体" w:hAnsi="宋体"/>
                <w:szCs w:val="21"/>
              </w:rPr>
            </w:pPr>
            <w:r>
              <w:rPr>
                <w:rFonts w:hint="eastAsia" w:ascii="宋体" w:hAnsi="宋体"/>
                <w:szCs w:val="21"/>
              </w:rPr>
              <w:t>以联合体形式投标的，项目总负责人须由牵头人拟派。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434" w:type="dxa"/>
            <w:vAlign w:val="center"/>
          </w:tcPr>
          <w:p>
            <w:pPr>
              <w:jc w:val="center"/>
              <w:rPr>
                <w:rFonts w:ascii="宋体" w:hAnsi="宋体"/>
              </w:rPr>
            </w:pPr>
            <w:r>
              <w:rPr>
                <w:rFonts w:hint="eastAsia" w:ascii="宋体" w:hAnsi="宋体"/>
              </w:rPr>
              <w:t>秦沈高速项目负责人</w:t>
            </w:r>
          </w:p>
        </w:tc>
        <w:tc>
          <w:tcPr>
            <w:tcW w:w="850" w:type="dxa"/>
            <w:vAlign w:val="center"/>
          </w:tcPr>
          <w:p>
            <w:pPr>
              <w:jc w:val="center"/>
              <w:rPr>
                <w:rFonts w:ascii="宋体" w:hAnsi="宋体"/>
                <w:szCs w:val="21"/>
              </w:rPr>
            </w:pPr>
            <w:r>
              <w:rPr>
                <w:rFonts w:hint="eastAsia" w:ascii="宋体" w:hAnsi="宋体"/>
                <w:szCs w:val="21"/>
              </w:rPr>
              <w:t>1</w:t>
            </w:r>
          </w:p>
        </w:tc>
        <w:tc>
          <w:tcPr>
            <w:tcW w:w="5387" w:type="dxa"/>
            <w:vMerge w:val="continue"/>
            <w:vAlign w:val="center"/>
          </w:tcPr>
          <w:p>
            <w:pPr>
              <w:rPr>
                <w:rFonts w:ascii="宋体" w:hAnsi="宋体"/>
                <w:szCs w:val="21"/>
              </w:rPr>
            </w:pPr>
          </w:p>
        </w:tc>
      </w:tr>
    </w:tbl>
    <w:p>
      <w:pPr>
        <w:rPr>
          <w:rFonts w:ascii="宋体" w:hAnsi="宋体"/>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5" w:name="_Toc134650211"/>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5"/>
    </w:p>
    <w:p>
      <w:pPr>
        <w:pStyle w:val="2"/>
        <w:snapToGrid w:val="0"/>
        <w:spacing w:before="120" w:after="120" w:line="240" w:lineRule="auto"/>
        <w:rPr>
          <w:sz w:val="24"/>
          <w:szCs w:val="24"/>
        </w:rPr>
      </w:pPr>
      <w:bookmarkStart w:id="6" w:name="_Toc66337244"/>
      <w:bookmarkStart w:id="7" w:name="_Toc66984522"/>
      <w:bookmarkStart w:id="8" w:name="_Toc65857110"/>
      <w:bookmarkStart w:id="9" w:name="_Toc65820978"/>
      <w:bookmarkStart w:id="10" w:name="_Toc134650212"/>
      <w:r>
        <w:rPr>
          <w:rFonts w:hint="eastAsia"/>
          <w:sz w:val="24"/>
          <w:szCs w:val="24"/>
        </w:rPr>
        <w:t>评标办法前附表</w:t>
      </w:r>
      <w:bookmarkEnd w:id="6"/>
      <w:bookmarkEnd w:id="7"/>
      <w:bookmarkEnd w:id="8"/>
      <w:bookmarkEnd w:id="9"/>
      <w:bookmarkEnd w:id="10"/>
    </w:p>
    <w:tbl>
      <w:tblPr>
        <w:tblStyle w:val="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6"/>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2"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但投标报价低于其成本的除外。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的业绩累计里程多的优先。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210" w:firstLineChars="100"/>
              <w:rPr>
                <w:rFonts w:ascii="宋体" w:hAnsi="宋体"/>
                <w:szCs w:val="21"/>
              </w:rPr>
            </w:pPr>
            <w:r>
              <w:rPr>
                <w:rFonts w:hint="eastAsia" w:ascii="宋体" w:hAnsi="宋体"/>
                <w:szCs w:val="21"/>
              </w:rPr>
              <w:t>a．投标函按招标文件规定填报了招标人名称、项目名称、标段号（如有）、补遗书编号（如有）、项目负责人姓名、职称、服务期限、质量要求；</w:t>
            </w:r>
          </w:p>
          <w:p>
            <w:pPr>
              <w:tabs>
                <w:tab w:val="left" w:pos="3060"/>
              </w:tabs>
              <w:spacing w:line="320" w:lineRule="exact"/>
              <w:ind w:firstLine="210" w:firstLineChars="1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（2）投标文件上法定代表人或其授权代理人的签字、投标人的单位章盖章齐全，符合招标文件规定。要求盖单位章和（或）法定代表人或其委托代理人签字的，投标人均应使用CA 数字证书加盖投标人的单位电子印章和（或）法定代表人或其委托代理人的个人电子印章或电子签名章。</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210" w:firstLineChars="1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210" w:firstLineChars="1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形式提交，投标人应在递交投标文件截止时间之前，将投标保证金由投标人的基本账户转入招标人指定账户；</w:t>
            </w:r>
          </w:p>
          <w:p>
            <w:pPr>
              <w:tabs>
                <w:tab w:val="left" w:pos="3060"/>
              </w:tabs>
              <w:spacing w:line="320" w:lineRule="exact"/>
              <w:ind w:firstLine="210" w:firstLineChars="100"/>
              <w:rPr>
                <w:rFonts w:ascii="宋体" w:hAnsi="宋体"/>
                <w:szCs w:val="21"/>
              </w:rPr>
            </w:pPr>
            <w:r>
              <w:rPr>
                <w:rFonts w:hint="eastAsia" w:ascii="宋体" w:hAnsi="宋体"/>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210" w:firstLineChars="100"/>
              <w:rPr>
                <w:rFonts w:ascii="宋体" w:hAnsi="宋体"/>
                <w:szCs w:val="21"/>
              </w:rPr>
            </w:pPr>
            <w:r>
              <w:rPr>
                <w:rFonts w:hint="eastAsia" w:ascii="宋体" w:hAnsi="宋体"/>
                <w:szCs w:val="21"/>
              </w:rPr>
              <w:t>d．若投标保证金采用电子保证保险或电子担保保函形式提交，投标人应满足招标文件要求。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）投标人以联合体形式投标时，联合体满足招标文件的要求：投标人按照招标文件提供的格式和要求签订了联合体协议书，明确各方承担连带责任，并明确了联合体牵头人。</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210" w:firstLineChars="100"/>
              <w:rPr>
                <w:rFonts w:ascii="宋体" w:hAnsi="宋体"/>
                <w:szCs w:val="21"/>
              </w:rPr>
            </w:pPr>
            <w:r>
              <w:rPr>
                <w:rFonts w:hint="eastAsia" w:ascii="宋体" w:hAnsi="宋体"/>
                <w:szCs w:val="21"/>
              </w:rPr>
              <w:t>a．投标函按招标文件规定填报了招标人名称、项目名称、标段号（如有）、补遗书编号（如有）、投标价（包括大写金额和小写金额）；</w:t>
            </w:r>
          </w:p>
          <w:p>
            <w:pPr>
              <w:tabs>
                <w:tab w:val="left" w:pos="3060"/>
              </w:tabs>
              <w:spacing w:line="320" w:lineRule="exact"/>
              <w:ind w:firstLine="210" w:firstLineChars="1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210" w:firstLineChars="1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（2）投标文件上法定代表人或其授权代理人的签字、投标人的单位章盖章齐全，符合招标文件规定。要求盖单位章和（或）法定代表人或其委托代理人签字的，投标人均应使用河北CA 数字证书加盖投标人的单位电子印章和（或）法定代表人或其委托代理人的个人电子印章或电子签名章。</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）投标报价中的报价未超过招标文件设定的最高投标限价。</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）投标报价中报价的大写金额能够确定具体数值。</w:t>
            </w:r>
          </w:p>
          <w:p>
            <w:pPr>
              <w:tabs>
                <w:tab w:val="left" w:pos="3060"/>
              </w:tabs>
              <w:spacing w:line="320" w:lineRule="exact"/>
              <w:ind w:firstLine="105" w:firstLineChars="50"/>
              <w:rPr>
                <w:rFonts w:ascii="宋体" w:hAnsi="宋体"/>
                <w:b/>
                <w:szCs w:val="21"/>
              </w:rPr>
            </w:pPr>
            <w:r>
              <w:rPr>
                <w:rFonts w:hint="eastAsia" w:ascii="宋体" w:hAnsi="宋体"/>
                <w:szCs w:val="21"/>
              </w:rPr>
              <w:t>（</w:t>
            </w:r>
            <w:r>
              <w:rPr>
                <w:rFonts w:ascii="宋体" w:hAnsi="宋体"/>
                <w:szCs w:val="21"/>
              </w:rPr>
              <w:t>5</w:t>
            </w:r>
            <w:r>
              <w:rPr>
                <w:rFonts w:hint="eastAsia" w:ascii="宋体" w:hAnsi="宋体"/>
                <w:szCs w:val="21"/>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tcPr>
          <w:p>
            <w:pPr>
              <w:tabs>
                <w:tab w:val="left" w:pos="3060"/>
              </w:tabs>
              <w:spacing w:line="320" w:lineRule="exact"/>
              <w:rPr>
                <w:rFonts w:ascii="宋体" w:hAnsi="宋体"/>
                <w:szCs w:val="21"/>
              </w:rPr>
            </w:pPr>
            <w:r>
              <w:rPr>
                <w:rFonts w:hint="eastAsia" w:ascii="宋体" w:hAnsi="宋体"/>
                <w:szCs w:val="21"/>
              </w:rPr>
              <w:t>（1）投标人具备有效的营业执照、组织机构代码证（三证合一的除外）、基本账户开户许可证（或基本存款账户信息）；</w:t>
            </w:r>
          </w:p>
          <w:p>
            <w:pPr>
              <w:tabs>
                <w:tab w:val="left" w:pos="3060"/>
              </w:tabs>
              <w:spacing w:line="320" w:lineRule="exact"/>
              <w:rPr>
                <w:rFonts w:ascii="宋体" w:hAnsi="宋体"/>
                <w:szCs w:val="21"/>
              </w:rPr>
            </w:pPr>
            <w:r>
              <w:rPr>
                <w:rFonts w:hint="eastAsia" w:ascii="宋体" w:hAnsi="宋体"/>
                <w:szCs w:val="21"/>
              </w:rPr>
              <w:t>（2）投标人的资质等级符合招标文件规定；</w:t>
            </w:r>
          </w:p>
          <w:p>
            <w:pPr>
              <w:tabs>
                <w:tab w:val="left" w:pos="3060"/>
              </w:tabs>
              <w:spacing w:line="320" w:lineRule="exact"/>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rPr>
                <w:rFonts w:ascii="宋体" w:hAnsi="宋体"/>
                <w:szCs w:val="21"/>
              </w:rPr>
            </w:pPr>
            <w:r>
              <w:rPr>
                <w:rFonts w:hint="eastAsia" w:ascii="宋体" w:hAnsi="宋体"/>
                <w:szCs w:val="21"/>
              </w:rPr>
              <w:t>（4）投标人的信誉符合招标文件规定；</w:t>
            </w:r>
          </w:p>
          <w:p>
            <w:pPr>
              <w:tabs>
                <w:tab w:val="left" w:pos="3060"/>
              </w:tabs>
              <w:spacing w:line="320" w:lineRule="exact"/>
              <w:rPr>
                <w:rFonts w:ascii="宋体" w:hAnsi="宋体"/>
                <w:szCs w:val="21"/>
              </w:rPr>
            </w:pPr>
            <w:r>
              <w:rPr>
                <w:rFonts w:hint="eastAsia" w:ascii="宋体" w:hAnsi="宋体"/>
                <w:szCs w:val="21"/>
              </w:rPr>
              <w:t>（5）投标人的项目负责人资格符合招标文件规定；</w:t>
            </w:r>
          </w:p>
          <w:p>
            <w:pPr>
              <w:tabs>
                <w:tab w:val="left" w:pos="3060"/>
              </w:tabs>
              <w:spacing w:line="320" w:lineRule="exact"/>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rPr>
                <w:rFonts w:ascii="宋体" w:hAnsi="宋体"/>
                <w:szCs w:val="21"/>
              </w:rPr>
            </w:pPr>
            <w:r>
              <w:rPr>
                <w:rFonts w:hint="eastAsia" w:ascii="宋体" w:hAnsi="宋体"/>
                <w:szCs w:val="21"/>
              </w:rPr>
              <w:t>（7）以联合体形式参与投标的，联合体各方均未再以自己名义单独或参加其他联合体的投标。独立参与投标的，投标人未同时参加联合体在同一标段中投标。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评标委员会评标时应对投标人的信用情况在“国家企业信用信息公示系统”和“信用中国”网站对投标人（联合体所有成员）的信用情况进行查询，若投标人（或联合体成员）存在“国家企业信用信息公示系统”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846" w:type="dxa"/>
            <w:vAlign w:val="center"/>
          </w:tcPr>
          <w:p>
            <w:pPr>
              <w:jc w:val="center"/>
              <w:rPr>
                <w:rFonts w:ascii="宋体" w:hAnsi="宋体"/>
              </w:rPr>
            </w:pPr>
            <w:r>
              <w:rPr>
                <w:rFonts w:hint="eastAsia" w:ascii="宋体" w:hAnsi="宋体"/>
              </w:rPr>
              <w:t>3.9.1</w:t>
            </w:r>
          </w:p>
        </w:tc>
        <w:tc>
          <w:tcPr>
            <w:tcW w:w="1134" w:type="dxa"/>
            <w:vAlign w:val="center"/>
          </w:tcPr>
          <w:p>
            <w:pPr>
              <w:ind w:left="-31" w:leftChars="-15" w:right="-77"/>
              <w:jc w:val="center"/>
              <w:rPr>
                <w:rFonts w:ascii="宋体" w:hAnsi="宋体"/>
                <w:szCs w:val="21"/>
              </w:rPr>
            </w:pPr>
            <w:r>
              <w:rPr>
                <w:rFonts w:hint="eastAsia" w:ascii="宋体" w:hAnsi="宋体"/>
                <w:szCs w:val="21"/>
              </w:rPr>
              <w:t>评标结果</w:t>
            </w:r>
          </w:p>
        </w:tc>
        <w:tc>
          <w:tcPr>
            <w:tcW w:w="7648" w:type="dxa"/>
            <w:vAlign w:val="center"/>
          </w:tcPr>
          <w:p>
            <w:pPr>
              <w:spacing w:line="340" w:lineRule="exact"/>
              <w:ind w:right="113" w:firstLine="426" w:firstLineChars="20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按照评标办法前附表“1.评标办法”的规定</w:t>
            </w:r>
            <w:r>
              <w:rPr>
                <w:rFonts w:ascii="宋体" w:hAnsi="宋体"/>
                <w:bCs/>
                <w:szCs w:val="21"/>
              </w:rPr>
              <w:t>推荐中标候选人。</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2"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对招标项目的理解</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10分</w:t>
            </w:r>
          </w:p>
        </w:tc>
        <w:tc>
          <w:tcPr>
            <w:tcW w:w="4820" w:type="dxa"/>
            <w:tcBorders>
              <w:top w:val="single" w:color="auto" w:sz="4" w:space="0"/>
              <w:left w:val="single" w:color="auto" w:sz="4" w:space="0"/>
            </w:tcBorders>
            <w:vAlign w:val="center"/>
          </w:tcPr>
          <w:p>
            <w:pPr>
              <w:pStyle w:val="3"/>
              <w:spacing w:line="300" w:lineRule="exact"/>
              <w:jc w:val="left"/>
              <w:rPr>
                <w:rFonts w:hAnsi="宋体"/>
                <w:szCs w:val="21"/>
              </w:rPr>
            </w:pPr>
            <w:r>
              <w:rPr>
                <w:rFonts w:hint="eastAsia" w:hAnsi="宋体"/>
                <w:szCs w:val="21"/>
              </w:rPr>
              <w:t>对本项目名称、所在地区、建设规模、主要工作内容、服务期承诺等阐述基本全面，得</w:t>
            </w:r>
            <w:r>
              <w:rPr>
                <w:rFonts w:hAnsi="宋体"/>
                <w:szCs w:val="21"/>
              </w:rPr>
              <w:t>6</w:t>
            </w:r>
            <w:r>
              <w:rPr>
                <w:rFonts w:hint="eastAsia" w:hAnsi="宋体"/>
                <w:szCs w:val="21"/>
              </w:rPr>
              <w:t>分；</w:t>
            </w:r>
          </w:p>
          <w:p>
            <w:pPr>
              <w:pStyle w:val="3"/>
              <w:spacing w:line="300" w:lineRule="exact"/>
              <w:jc w:val="left"/>
              <w:rPr>
                <w:rFonts w:hAnsi="宋体"/>
                <w:szCs w:val="21"/>
              </w:rPr>
            </w:pPr>
            <w:r>
              <w:rPr>
                <w:rFonts w:hint="eastAsia" w:hAnsi="宋体"/>
                <w:szCs w:val="21"/>
              </w:rPr>
              <w:t>对本项目名称、所在地区、建设规模、主要工作内容、工期承诺等阐述全面，无漏项，得</w:t>
            </w:r>
            <w:r>
              <w:rPr>
                <w:rFonts w:hAnsi="宋体"/>
                <w:szCs w:val="21"/>
              </w:rPr>
              <w:t>6-8</w:t>
            </w:r>
            <w:r>
              <w:rPr>
                <w:rFonts w:hint="eastAsia" w:hAnsi="宋体"/>
                <w:szCs w:val="21"/>
              </w:rPr>
              <w:t>分；</w:t>
            </w:r>
          </w:p>
          <w:p>
            <w:pPr>
              <w:pStyle w:val="3"/>
              <w:spacing w:line="300" w:lineRule="exact"/>
              <w:jc w:val="left"/>
              <w:rPr>
                <w:rFonts w:hAnsi="宋体"/>
                <w:szCs w:val="21"/>
              </w:rPr>
            </w:pPr>
            <w:r>
              <w:rPr>
                <w:rFonts w:hint="eastAsia" w:hAnsi="宋体"/>
                <w:szCs w:val="21"/>
              </w:rPr>
              <w:t>对本项目名称、所在地区、建设规模、主要工作内容、工期承诺等阐述全面、合理，符合项目要求，得</w:t>
            </w:r>
            <w:r>
              <w:rPr>
                <w:rFonts w:hAnsi="宋体"/>
                <w:szCs w:val="21"/>
              </w:rPr>
              <w:t>8</w:t>
            </w:r>
            <w:r>
              <w:rPr>
                <w:rFonts w:hint="eastAsia" w:hAnsi="宋体"/>
                <w:szCs w:val="21"/>
              </w:rPr>
              <w:t>-</w:t>
            </w:r>
            <w:r>
              <w:rPr>
                <w:rFonts w:hAnsi="宋体"/>
                <w:szCs w:val="21"/>
              </w:rPr>
              <w:t>10</w:t>
            </w:r>
            <w:r>
              <w:rPr>
                <w:rFonts w:hint="eastAsia"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73"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pacing w:line="160" w:lineRule="atLeast"/>
              <w:jc w:val="center"/>
              <w:rPr>
                <w:rFonts w:hAnsi="宋体"/>
                <w:szCs w:val="21"/>
              </w:rPr>
            </w:pPr>
            <w:r>
              <w:rPr>
                <w:rFonts w:hint="eastAsia" w:hAnsi="宋体"/>
                <w:szCs w:val="21"/>
              </w:rPr>
              <w:t>招标项目“项目建议书编制”的特点、关键技术问题的认识及其对策措施</w:t>
            </w:r>
          </w:p>
        </w:tc>
        <w:tc>
          <w:tcPr>
            <w:tcW w:w="850" w:type="dxa"/>
            <w:tcBorders>
              <w:left w:val="single" w:color="auto" w:sz="4" w:space="0"/>
              <w:right w:val="single" w:color="auto" w:sz="4" w:space="0"/>
            </w:tcBorders>
            <w:vAlign w:val="center"/>
          </w:tcPr>
          <w:p>
            <w:pPr>
              <w:pStyle w:val="3"/>
              <w:spacing w:line="160" w:lineRule="atLeast"/>
              <w:ind w:left="33" w:leftChars="-48" w:right="-31" w:rightChars="-15" w:hanging="134" w:hangingChars="64"/>
              <w:jc w:val="center"/>
              <w:rPr>
                <w:rFonts w:hAnsi="宋体"/>
                <w:szCs w:val="21"/>
              </w:rPr>
            </w:pPr>
            <w:r>
              <w:rPr>
                <w:rFonts w:hint="eastAsia" w:hAnsi="宋体"/>
                <w:szCs w:val="21"/>
              </w:rPr>
              <w:t>1</w:t>
            </w:r>
            <w:r>
              <w:rPr>
                <w:rFonts w:hAnsi="宋体"/>
                <w:szCs w:val="21"/>
              </w:rPr>
              <w:t>5</w:t>
            </w:r>
            <w:r>
              <w:rPr>
                <w:rFonts w:hint="eastAsia" w:hAnsi="宋体"/>
                <w:szCs w:val="21"/>
              </w:rPr>
              <w:t>分</w:t>
            </w:r>
          </w:p>
        </w:tc>
        <w:tc>
          <w:tcPr>
            <w:tcW w:w="4820" w:type="dxa"/>
            <w:tcBorders>
              <w:left w:val="single" w:color="auto" w:sz="4" w:space="0"/>
            </w:tcBorders>
            <w:vAlign w:val="center"/>
          </w:tcPr>
          <w:p>
            <w:pPr>
              <w:pStyle w:val="3"/>
              <w:jc w:val="left"/>
              <w:rPr>
                <w:rFonts w:hAnsi="宋体"/>
                <w:szCs w:val="21"/>
              </w:rPr>
            </w:pPr>
            <w:r>
              <w:rPr>
                <w:rFonts w:hint="eastAsia" w:hAnsi="宋体"/>
                <w:szCs w:val="21"/>
              </w:rPr>
              <w:t>“项目建议书编制”的特点和关键技术问题的针对性一般，技术建议基本可行，得</w:t>
            </w:r>
            <w:r>
              <w:rPr>
                <w:rFonts w:hAnsi="宋体"/>
                <w:szCs w:val="21"/>
              </w:rPr>
              <w:t>9</w:t>
            </w:r>
            <w:r>
              <w:rPr>
                <w:rFonts w:hint="eastAsia" w:hAnsi="宋体"/>
                <w:szCs w:val="21"/>
              </w:rPr>
              <w:t>分；</w:t>
            </w:r>
          </w:p>
          <w:p>
            <w:pPr>
              <w:pStyle w:val="3"/>
              <w:spacing w:line="300" w:lineRule="exact"/>
              <w:jc w:val="left"/>
              <w:rPr>
                <w:rFonts w:hAnsi="宋体"/>
                <w:szCs w:val="21"/>
              </w:rPr>
            </w:pPr>
            <w:r>
              <w:rPr>
                <w:rFonts w:hint="eastAsia" w:hAnsi="宋体"/>
                <w:szCs w:val="21"/>
              </w:rPr>
              <w:t>“项目建议书编制”的特点和关键技术问题针对性较强，技术建议可行，得</w:t>
            </w:r>
            <w:r>
              <w:rPr>
                <w:rFonts w:hAnsi="宋体"/>
                <w:szCs w:val="21"/>
              </w:rPr>
              <w:t>9</w:t>
            </w:r>
            <w:r>
              <w:rPr>
                <w:rFonts w:hint="eastAsia" w:hAnsi="宋体"/>
                <w:szCs w:val="21"/>
              </w:rPr>
              <w:t>-</w:t>
            </w:r>
            <w:r>
              <w:rPr>
                <w:rFonts w:hAnsi="宋体"/>
                <w:szCs w:val="21"/>
              </w:rPr>
              <w:t>12</w:t>
            </w:r>
            <w:r>
              <w:rPr>
                <w:rFonts w:hint="eastAsia" w:hAnsi="宋体"/>
                <w:szCs w:val="21"/>
              </w:rPr>
              <w:t>分；</w:t>
            </w:r>
          </w:p>
          <w:p>
            <w:pPr>
              <w:pStyle w:val="3"/>
              <w:spacing w:line="300" w:lineRule="exact"/>
              <w:jc w:val="left"/>
              <w:rPr>
                <w:rFonts w:hAnsi="宋体"/>
                <w:szCs w:val="21"/>
              </w:rPr>
            </w:pPr>
            <w:r>
              <w:rPr>
                <w:rFonts w:hint="eastAsia" w:hAnsi="宋体"/>
                <w:szCs w:val="21"/>
              </w:rPr>
              <w:t>“项目建议书编制”的特点针对性强，关键技术问题对策明确、合理，技术建议科学、有效、可行；具有降低工程造价和新技术、新工艺、新材料的合理技术方案及具体措施，得</w:t>
            </w:r>
            <w:r>
              <w:rPr>
                <w:rFonts w:hAnsi="宋体"/>
                <w:szCs w:val="21"/>
              </w:rPr>
              <w:t>12</w:t>
            </w:r>
            <w:r>
              <w:rPr>
                <w:rFonts w:hint="eastAsia" w:hAnsi="宋体"/>
                <w:szCs w:val="21"/>
              </w:rPr>
              <w:t>-1</w:t>
            </w:r>
            <w:r>
              <w:rPr>
                <w:rFonts w:hAnsi="宋体"/>
                <w:szCs w:val="21"/>
              </w:rPr>
              <w:t>5</w:t>
            </w:r>
            <w:r>
              <w:rPr>
                <w:rFonts w:hint="eastAsia"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1"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pacing w:line="160" w:lineRule="atLeast"/>
              <w:jc w:val="center"/>
              <w:rPr>
                <w:rFonts w:hAnsi="宋体"/>
                <w:szCs w:val="21"/>
              </w:rPr>
            </w:pPr>
            <w:r>
              <w:rPr>
                <w:rFonts w:hint="eastAsia" w:hAnsi="宋体"/>
                <w:szCs w:val="21"/>
              </w:rPr>
              <w:t>招标项目“投资建设模式研究”的特点、关键技术问题的认识及其对策措施、优化方案</w:t>
            </w:r>
          </w:p>
        </w:tc>
        <w:tc>
          <w:tcPr>
            <w:tcW w:w="850" w:type="dxa"/>
            <w:tcBorders>
              <w:left w:val="single" w:color="auto" w:sz="4" w:space="0"/>
              <w:right w:val="single" w:color="auto" w:sz="4" w:space="0"/>
            </w:tcBorders>
            <w:vAlign w:val="center"/>
          </w:tcPr>
          <w:p>
            <w:pPr>
              <w:pStyle w:val="3"/>
              <w:spacing w:line="160" w:lineRule="atLeast"/>
              <w:ind w:left="33" w:leftChars="-48" w:right="-31" w:rightChars="-15" w:hanging="134" w:hangingChars="64"/>
              <w:jc w:val="center"/>
              <w:rPr>
                <w:rFonts w:hAnsi="宋体"/>
                <w:szCs w:val="21"/>
              </w:rPr>
            </w:pPr>
            <w:r>
              <w:rPr>
                <w:rFonts w:hAnsi="宋体"/>
                <w:szCs w:val="21"/>
              </w:rPr>
              <w:t>5</w:t>
            </w:r>
            <w:r>
              <w:rPr>
                <w:rFonts w:hint="eastAsia" w:hAnsi="宋体"/>
                <w:szCs w:val="21"/>
              </w:rPr>
              <w:t>分</w:t>
            </w:r>
          </w:p>
        </w:tc>
        <w:tc>
          <w:tcPr>
            <w:tcW w:w="4820" w:type="dxa"/>
            <w:tcBorders>
              <w:left w:val="single" w:color="auto" w:sz="4" w:space="0"/>
            </w:tcBorders>
            <w:vAlign w:val="center"/>
          </w:tcPr>
          <w:p>
            <w:pPr>
              <w:pStyle w:val="3"/>
              <w:jc w:val="left"/>
              <w:rPr>
                <w:rFonts w:hAnsi="宋体"/>
                <w:szCs w:val="21"/>
              </w:rPr>
            </w:pPr>
            <w:r>
              <w:rPr>
                <w:rFonts w:hint="eastAsia" w:hAnsi="宋体"/>
                <w:szCs w:val="21"/>
              </w:rPr>
              <w:t>“投资建设模式研究”的特点和关键技术问题的针对性一般，技术建议基本可行，得</w:t>
            </w:r>
            <w:r>
              <w:rPr>
                <w:rFonts w:hAnsi="宋体"/>
                <w:szCs w:val="21"/>
              </w:rPr>
              <w:t>3</w:t>
            </w:r>
            <w:r>
              <w:rPr>
                <w:rFonts w:hint="eastAsia" w:hAnsi="宋体"/>
                <w:szCs w:val="21"/>
              </w:rPr>
              <w:t>分；</w:t>
            </w:r>
          </w:p>
          <w:p>
            <w:pPr>
              <w:pStyle w:val="3"/>
              <w:spacing w:line="300" w:lineRule="exact"/>
              <w:jc w:val="left"/>
              <w:rPr>
                <w:rFonts w:hAnsi="宋体"/>
                <w:szCs w:val="21"/>
              </w:rPr>
            </w:pPr>
            <w:r>
              <w:rPr>
                <w:rFonts w:hint="eastAsia" w:hAnsi="宋体"/>
                <w:szCs w:val="21"/>
              </w:rPr>
              <w:t>“投资建设模式研究”的特点和关键技术问题针对性较强，技术建议可行，得</w:t>
            </w:r>
            <w:r>
              <w:rPr>
                <w:rFonts w:hAnsi="宋体"/>
                <w:szCs w:val="21"/>
              </w:rPr>
              <w:t>3</w:t>
            </w:r>
            <w:r>
              <w:rPr>
                <w:rFonts w:hint="eastAsia" w:hAnsi="宋体"/>
                <w:szCs w:val="21"/>
              </w:rPr>
              <w:t>-</w:t>
            </w:r>
            <w:r>
              <w:rPr>
                <w:rFonts w:hAnsi="宋体"/>
                <w:szCs w:val="21"/>
              </w:rPr>
              <w:t>4</w:t>
            </w:r>
            <w:r>
              <w:rPr>
                <w:rFonts w:hint="eastAsia" w:hAnsi="宋体"/>
                <w:szCs w:val="21"/>
              </w:rPr>
              <w:t>分；</w:t>
            </w:r>
          </w:p>
          <w:p>
            <w:pPr>
              <w:pStyle w:val="3"/>
              <w:jc w:val="left"/>
              <w:rPr>
                <w:rFonts w:hAnsi="宋体"/>
                <w:szCs w:val="21"/>
              </w:rPr>
            </w:pPr>
            <w:r>
              <w:rPr>
                <w:rFonts w:hint="eastAsia" w:hAnsi="宋体"/>
                <w:szCs w:val="21"/>
              </w:rPr>
              <w:t>“投资建设模式研究”的特点针对性强，关键技术问题对策明确、合理，技术建议科学、有效、可行，得</w:t>
            </w:r>
            <w:r>
              <w:rPr>
                <w:rFonts w:hAnsi="宋体"/>
                <w:szCs w:val="21"/>
              </w:rPr>
              <w:t>4</w:t>
            </w:r>
            <w:r>
              <w:rPr>
                <w:rFonts w:hint="eastAsia" w:hAnsi="宋体"/>
                <w:szCs w:val="21"/>
              </w:rPr>
              <w:t>-</w:t>
            </w:r>
            <w:r>
              <w:rPr>
                <w:rFonts w:hAnsi="宋体"/>
                <w:szCs w:val="21"/>
              </w:rPr>
              <w:t>5</w:t>
            </w:r>
            <w:r>
              <w:rPr>
                <w:rFonts w:hint="eastAsia"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1"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工作量及计划安排</w:t>
            </w:r>
          </w:p>
        </w:tc>
        <w:tc>
          <w:tcPr>
            <w:tcW w:w="850" w:type="dxa"/>
            <w:tcBorders>
              <w:left w:val="single" w:color="auto" w:sz="4" w:space="0"/>
              <w:right w:val="single" w:color="auto" w:sz="4" w:space="0"/>
            </w:tcBorders>
            <w:vAlign w:val="center"/>
          </w:tcPr>
          <w:p>
            <w:pPr>
              <w:pStyle w:val="3"/>
              <w:spacing w:line="160" w:lineRule="atLeast"/>
              <w:ind w:left="33" w:leftChars="-48" w:right="-31" w:rightChars="-15" w:hanging="134" w:hangingChars="64"/>
              <w:jc w:val="center"/>
              <w:rPr>
                <w:rFonts w:hAnsi="宋体"/>
                <w:szCs w:val="21"/>
              </w:rPr>
            </w:pPr>
            <w:r>
              <w:rPr>
                <w:rFonts w:hint="eastAsia" w:hAnsi="宋体"/>
                <w:szCs w:val="21"/>
              </w:rPr>
              <w:t>5分</w:t>
            </w:r>
          </w:p>
        </w:tc>
        <w:tc>
          <w:tcPr>
            <w:tcW w:w="4820" w:type="dxa"/>
            <w:tcBorders>
              <w:left w:val="single" w:color="auto" w:sz="4" w:space="0"/>
            </w:tcBorders>
            <w:vAlign w:val="center"/>
          </w:tcPr>
          <w:p>
            <w:pPr>
              <w:pStyle w:val="3"/>
              <w:spacing w:line="300" w:lineRule="exact"/>
              <w:jc w:val="left"/>
              <w:rPr>
                <w:rFonts w:hAnsi="宋体"/>
                <w:szCs w:val="21"/>
              </w:rPr>
            </w:pPr>
            <w:r>
              <w:rPr>
                <w:rFonts w:hint="eastAsia" w:hAnsi="宋体"/>
                <w:szCs w:val="21"/>
              </w:rPr>
              <w:t>工作量及计划安排基本合理，得3分；</w:t>
            </w:r>
          </w:p>
          <w:p>
            <w:pPr>
              <w:pStyle w:val="3"/>
              <w:spacing w:line="300" w:lineRule="exact"/>
              <w:jc w:val="left"/>
              <w:rPr>
                <w:rFonts w:hAnsi="宋体"/>
                <w:szCs w:val="21"/>
              </w:rPr>
            </w:pPr>
            <w:r>
              <w:rPr>
                <w:rFonts w:hint="eastAsia" w:hAnsi="宋体"/>
                <w:szCs w:val="21"/>
              </w:rPr>
              <w:t>工作量及计划安排合理，得3-4分；</w:t>
            </w:r>
          </w:p>
          <w:p>
            <w:pPr>
              <w:pStyle w:val="3"/>
              <w:spacing w:line="300" w:lineRule="exact"/>
              <w:jc w:val="left"/>
              <w:rPr>
                <w:rFonts w:hAnsi="宋体"/>
                <w:szCs w:val="21"/>
              </w:rPr>
            </w:pPr>
            <w:r>
              <w:rPr>
                <w:rFonts w:hint="eastAsia" w:hAnsi="宋体"/>
                <w:szCs w:val="21"/>
              </w:rPr>
              <w:t>工作量及计划安排科学，安排周密，得4-5分。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25"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pacing w:line="160" w:lineRule="atLeast"/>
              <w:jc w:val="center"/>
              <w:rPr>
                <w:rFonts w:hAnsi="宋体"/>
                <w:szCs w:val="21"/>
              </w:rPr>
            </w:pPr>
            <w:r>
              <w:rPr>
                <w:rFonts w:hint="eastAsia" w:hAnsi="宋体"/>
                <w:szCs w:val="21"/>
              </w:rPr>
              <w:t>质量保证措施、进度保证措施、安全保证措施</w:t>
            </w:r>
          </w:p>
        </w:tc>
        <w:tc>
          <w:tcPr>
            <w:tcW w:w="850" w:type="dxa"/>
            <w:tcBorders>
              <w:left w:val="single" w:color="auto" w:sz="4" w:space="0"/>
              <w:right w:val="single" w:color="auto" w:sz="4" w:space="0"/>
            </w:tcBorders>
            <w:vAlign w:val="center"/>
          </w:tcPr>
          <w:p>
            <w:pPr>
              <w:pStyle w:val="3"/>
              <w:spacing w:line="160" w:lineRule="atLeast"/>
              <w:jc w:val="center"/>
              <w:rPr>
                <w:rFonts w:hAnsi="宋体"/>
                <w:szCs w:val="21"/>
              </w:rPr>
            </w:pPr>
            <w:r>
              <w:rPr>
                <w:rFonts w:hint="eastAsia" w:hAnsi="宋体"/>
                <w:szCs w:val="21"/>
              </w:rPr>
              <w:t>5分</w:t>
            </w:r>
          </w:p>
        </w:tc>
        <w:tc>
          <w:tcPr>
            <w:tcW w:w="4820" w:type="dxa"/>
            <w:tcBorders>
              <w:left w:val="single" w:color="auto" w:sz="4" w:space="0"/>
            </w:tcBorders>
            <w:vAlign w:val="center"/>
          </w:tcPr>
          <w:p>
            <w:pPr>
              <w:pStyle w:val="3"/>
              <w:spacing w:line="300" w:lineRule="exact"/>
              <w:jc w:val="left"/>
              <w:rPr>
                <w:rFonts w:hAnsi="宋体"/>
                <w:szCs w:val="21"/>
              </w:rPr>
            </w:pPr>
            <w:r>
              <w:rPr>
                <w:rFonts w:hint="eastAsia" w:hAnsi="宋体"/>
                <w:szCs w:val="21"/>
              </w:rPr>
              <w:t>质量、进度及安全保证措施不够具体，可实施性一般，得3分；</w:t>
            </w:r>
          </w:p>
          <w:p>
            <w:pPr>
              <w:pStyle w:val="3"/>
              <w:jc w:val="left"/>
              <w:rPr>
                <w:rFonts w:hAnsi="宋体"/>
              </w:rPr>
            </w:pPr>
            <w:r>
              <w:rPr>
                <w:rFonts w:hint="eastAsia" w:hAnsi="宋体"/>
                <w:szCs w:val="21"/>
              </w:rPr>
              <w:t>质量、进度及安全保证措施较具体，可实施性较强，得3-4分；</w:t>
            </w:r>
          </w:p>
          <w:p>
            <w:pPr>
              <w:pStyle w:val="3"/>
              <w:jc w:val="left"/>
              <w:rPr>
                <w:rFonts w:hAnsi="宋体"/>
                <w:szCs w:val="21"/>
              </w:rPr>
            </w:pPr>
            <w:r>
              <w:rPr>
                <w:rFonts w:hint="eastAsia" w:hAnsi="宋体"/>
                <w:szCs w:val="21"/>
              </w:rPr>
              <w:t>质量、进度及安全保证措施具体可靠，可实施性强，适合本项目，得4-5分。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25"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pacing w:line="160" w:lineRule="atLeast"/>
              <w:jc w:val="center"/>
              <w:rPr>
                <w:rFonts w:hAnsi="宋体"/>
                <w:szCs w:val="21"/>
              </w:rPr>
            </w:pPr>
            <w:r>
              <w:rPr>
                <w:rFonts w:hint="eastAsia" w:hAnsi="宋体"/>
                <w:szCs w:val="21"/>
              </w:rPr>
              <w:t>后续服务的安排及保证措施</w:t>
            </w:r>
          </w:p>
        </w:tc>
        <w:tc>
          <w:tcPr>
            <w:tcW w:w="850" w:type="dxa"/>
            <w:tcBorders>
              <w:left w:val="single" w:color="auto" w:sz="4" w:space="0"/>
              <w:right w:val="single" w:color="auto" w:sz="4" w:space="0"/>
            </w:tcBorders>
            <w:vAlign w:val="center"/>
          </w:tcPr>
          <w:p>
            <w:pPr>
              <w:pStyle w:val="3"/>
              <w:spacing w:line="160" w:lineRule="atLeast"/>
              <w:jc w:val="center"/>
              <w:rPr>
                <w:rFonts w:hAnsi="宋体"/>
                <w:szCs w:val="21"/>
              </w:rPr>
            </w:pPr>
            <w:r>
              <w:rPr>
                <w:rFonts w:hint="eastAsia" w:hAnsi="宋体"/>
                <w:szCs w:val="21"/>
              </w:rPr>
              <w:t>5分</w:t>
            </w:r>
          </w:p>
        </w:tc>
        <w:tc>
          <w:tcPr>
            <w:tcW w:w="4820" w:type="dxa"/>
            <w:tcBorders>
              <w:left w:val="single" w:color="auto" w:sz="4" w:space="0"/>
            </w:tcBorders>
            <w:vAlign w:val="center"/>
          </w:tcPr>
          <w:p>
            <w:pPr>
              <w:pStyle w:val="3"/>
              <w:jc w:val="left"/>
              <w:rPr>
                <w:rFonts w:hAnsi="宋体"/>
                <w:szCs w:val="21"/>
              </w:rPr>
            </w:pPr>
            <w:r>
              <w:rPr>
                <w:rFonts w:hint="eastAsia" w:hAnsi="宋体"/>
                <w:szCs w:val="21"/>
              </w:rPr>
              <w:t>投标人对于后续服务的承诺及保证措施安排一般，得3分；</w:t>
            </w:r>
          </w:p>
          <w:p>
            <w:pPr>
              <w:pStyle w:val="3"/>
              <w:jc w:val="left"/>
              <w:rPr>
                <w:rFonts w:hAnsi="宋体"/>
                <w:szCs w:val="21"/>
              </w:rPr>
            </w:pPr>
            <w:r>
              <w:rPr>
                <w:rFonts w:hint="eastAsia" w:hAnsi="宋体"/>
                <w:szCs w:val="21"/>
              </w:rPr>
              <w:t>投标人对于后续服务的承诺及保证措施安排较完善，得3-4分；</w:t>
            </w:r>
          </w:p>
          <w:p>
            <w:pPr>
              <w:pStyle w:val="3"/>
              <w:jc w:val="left"/>
              <w:rPr>
                <w:rFonts w:hAnsi="宋体"/>
                <w:szCs w:val="21"/>
              </w:rPr>
            </w:pPr>
            <w:r>
              <w:rPr>
                <w:rFonts w:hint="eastAsia" w:hAnsi="宋体"/>
                <w:szCs w:val="21"/>
              </w:rPr>
              <w:t>投标人对于后续服务的承诺及保证措施安排完善合理，得4-5分。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8"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152" w:type="dxa"/>
            <w:gridSpan w:val="3"/>
            <w:vAlign w:val="center"/>
          </w:tcPr>
          <w:p>
            <w:pPr>
              <w:pStyle w:val="3"/>
              <w:spacing w:line="300" w:lineRule="exact"/>
              <w:rPr>
                <w:rFonts w:hAnsi="宋体"/>
                <w:szCs w:val="21"/>
              </w:rPr>
            </w:pPr>
            <w:r>
              <w:rPr>
                <w:rFonts w:hint="eastAsia" w:hAnsi="宋体"/>
                <w:szCs w:val="21"/>
              </w:rPr>
              <w:t>项目负责人满足资格审查条件（项目负责人最低要求）得</w:t>
            </w:r>
            <w:r>
              <w:rPr>
                <w:rFonts w:hAnsi="宋体"/>
                <w:szCs w:val="21"/>
              </w:rPr>
              <w:t>12</w:t>
            </w:r>
            <w:r>
              <w:rPr>
                <w:rFonts w:hint="eastAsia" w:hAnsi="宋体"/>
                <w:szCs w:val="21"/>
              </w:rPr>
              <w:t>分。</w:t>
            </w:r>
          </w:p>
          <w:p>
            <w:pPr>
              <w:pStyle w:val="3"/>
              <w:spacing w:line="300" w:lineRule="exact"/>
              <w:rPr>
                <w:rFonts w:hAnsi="宋体"/>
                <w:szCs w:val="21"/>
              </w:rPr>
            </w:pPr>
            <w:r>
              <w:rPr>
                <w:rFonts w:hint="eastAsia" w:hAnsi="宋体"/>
                <w:szCs w:val="21"/>
              </w:rPr>
              <w:t>雄郑高速项目负责人（兼任项目总负责人）每增加一项满足资格审查条件（项目负责人最低要求）的业绩加8分，最多加8分。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152"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szCs w:val="21"/>
              </w:rPr>
            </w:pPr>
            <w:r>
              <w:rPr>
                <w:rFonts w:hint="eastAsia" w:hAnsi="宋体"/>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152"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tbl>
    <w:p/>
    <w:bookmarkEnd w:id="1"/>
    <w:p>
      <w:pPr>
        <w:rPr>
          <w:rFonts w:ascii="宋体" w:hAnsi="宋体"/>
          <w:kern w:val="0"/>
          <w:sz w:val="20"/>
          <w:szCs w:val="20"/>
          <w:lang w:val="zh-CN" w:eastAsia="zh-CN"/>
        </w:rPr>
      </w:pPr>
      <w:r>
        <w:rPr>
          <w:rFonts w:hint="eastAsia" w:ascii="宋体" w:hAnsi="宋体"/>
          <w:kern w:val="0"/>
          <w:sz w:val="20"/>
          <w:szCs w:val="20"/>
          <w:lang w:val="zh-CN" w:eastAsia="zh-CN"/>
        </w:rPr>
        <w:t>注：1、评审因素得分应以评标委员会各成员的打分平均值确定。</w:t>
      </w:r>
    </w:p>
    <w:p>
      <w:pPr>
        <w:ind w:firstLine="400" w:firstLineChars="200"/>
        <w:rPr>
          <w:rFonts w:ascii="宋体" w:hAnsi="宋体"/>
          <w:kern w:val="0"/>
          <w:sz w:val="20"/>
          <w:szCs w:val="20"/>
          <w:lang w:val="zh-CN" w:eastAsia="zh-CN"/>
        </w:rPr>
      </w:pPr>
      <w:r>
        <w:rPr>
          <w:rFonts w:hint="eastAsia" w:ascii="宋体" w:hAnsi="宋体"/>
          <w:kern w:val="0"/>
          <w:sz w:val="20"/>
          <w:szCs w:val="20"/>
          <w:lang w:val="zh-CN" w:eastAsia="zh-CN"/>
        </w:rPr>
        <w:t>2、技术建议书各评分因素细分项的细分项缺项则该项得0分。</w:t>
      </w:r>
    </w:p>
    <w:p>
      <w:r>
        <w:rPr>
          <w:rFonts w:hint="eastAsia" w:ascii="宋体" w:hAnsi="宋体"/>
          <w:kern w:val="0"/>
          <w:sz w:val="20"/>
          <w:szCs w:val="20"/>
          <w:lang w:val="zh-CN" w:eastAsia="zh-CN"/>
        </w:rPr>
        <w:t>3、技术建议书评分时保留1位小数，评标价得分计算时保留两位小数。</w:t>
      </w:r>
    </w:p>
    <w:sectPr>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90128"/>
    <w:rsid w:val="003E48C4"/>
    <w:rsid w:val="00554BAB"/>
    <w:rsid w:val="00642CC3"/>
    <w:rsid w:val="008A3872"/>
    <w:rsid w:val="00E30509"/>
    <w:rsid w:val="00F90128"/>
    <w:rsid w:val="2B57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7"/>
    <w:qFormat/>
    <w:uiPriority w:val="9"/>
    <w:pPr>
      <w:keepNext/>
      <w:keepLines/>
      <w:spacing w:before="260" w:after="260" w:line="416" w:lineRule="auto"/>
      <w:outlineLvl w:val="2"/>
    </w:pPr>
    <w:rPr>
      <w:b/>
      <w:bCs/>
      <w:sz w:val="32"/>
      <w:szCs w:val="32"/>
      <w:lang w:val="zh-CN" w:eastAsia="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Plain Text"/>
    <w:basedOn w:val="1"/>
    <w:link w:val="8"/>
    <w:qFormat/>
    <w:uiPriority w:val="0"/>
    <w:rPr>
      <w:rFonts w:ascii="宋体" w:hAnsi="Courier New" w:cstheme="minorBidi"/>
      <w14:ligatures w14:val="standardContextual"/>
    </w:rPr>
  </w:style>
  <w:style w:type="character" w:styleId="6">
    <w:name w:val="Hyperlink"/>
    <w:uiPriority w:val="99"/>
    <w:rPr>
      <w:color w:val="0000FF"/>
      <w:u w:val="single"/>
    </w:rPr>
  </w:style>
  <w:style w:type="character" w:customStyle="1" w:styleId="7">
    <w:name w:val="标题 3 字符"/>
    <w:basedOn w:val="5"/>
    <w:link w:val="2"/>
    <w:uiPriority w:val="9"/>
    <w:rPr>
      <w:rFonts w:ascii="Calibri" w:hAnsi="Calibri" w:eastAsia="宋体" w:cs="Times New Roman"/>
      <w:b/>
      <w:bCs/>
      <w:sz w:val="32"/>
      <w:szCs w:val="32"/>
      <w:lang w:val="zh-CN" w:eastAsia="zh-CN"/>
      <w14:ligatures w14:val="none"/>
    </w:rPr>
  </w:style>
  <w:style w:type="character" w:customStyle="1" w:styleId="8">
    <w:name w:val="纯文本 字符"/>
    <w:link w:val="3"/>
    <w:qFormat/>
    <w:uiPriority w:val="0"/>
    <w:rPr>
      <w:rFonts w:ascii="宋体" w:hAnsi="Courier New" w:eastAsia="宋体"/>
    </w:rPr>
  </w:style>
  <w:style w:type="character" w:customStyle="1" w:styleId="9">
    <w:name w:val="纯文本 字符1"/>
    <w:basedOn w:val="5"/>
    <w:semiHidden/>
    <w:uiPriority w:val="99"/>
    <w:rPr>
      <w:rFonts w:hAnsi="Courier New" w:cs="Courier New" w:asciiTheme="minorEastAsi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7080</Words>
  <Characters>7539</Characters>
  <Lines>56</Lines>
  <Paragraphs>15</Paragraphs>
  <TotalTime>1</TotalTime>
  <ScaleCrop>false</ScaleCrop>
  <LinksUpToDate>false</LinksUpToDate>
  <CharactersWithSpaces>7578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2023-05-19T07:18:00Z</dcterms:created>
  <dc:creator>帆 齐</dc:creator>
  <cp:lastModifiedBy>李</cp:lastModifiedBy>
  <dcterms:modified xsi:type="dcterms:W3CDTF">2023-05-19T22:31:01Z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20DD289E6C4F49D9AB7FCCE87915E959_12</vt:lpwstr>
  </property>
</Properties>
</file>