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b w:val="0"/>
          <w:bCs w:val="0"/>
          <w:sz w:val="28"/>
          <w:szCs w:val="28"/>
        </w:rPr>
      </w:pPr>
      <w:bookmarkStart w:id="1" w:name="_GoBack"/>
      <w:bookmarkEnd w:id="1"/>
      <w:bookmarkStart w:id="0" w:name="_Toc61535746"/>
      <w:r>
        <w:rPr>
          <w:rFonts w:ascii="宋体" w:hAnsi="宋体"/>
          <w:b w:val="0"/>
          <w:bCs w:val="0"/>
          <w:sz w:val="28"/>
          <w:szCs w:val="28"/>
        </w:rPr>
        <w:t>附件1  资格</w:t>
      </w:r>
      <w:r>
        <w:rPr>
          <w:rFonts w:hint="eastAsia" w:ascii="宋体" w:hAnsi="宋体"/>
          <w:b w:val="0"/>
          <w:bCs w:val="0"/>
          <w:sz w:val="28"/>
          <w:szCs w:val="28"/>
        </w:rPr>
        <w:t>审查条件</w:t>
      </w:r>
      <w:bookmarkEnd w:id="0"/>
    </w:p>
    <w:p>
      <w:pPr>
        <w:spacing w:line="360" w:lineRule="exact"/>
        <w:jc w:val="center"/>
        <w:rPr>
          <w:rFonts w:ascii="宋体" w:hAnsi="宋体"/>
          <w:b/>
          <w:bCs/>
          <w:szCs w:val="21"/>
        </w:rPr>
      </w:pPr>
      <w:r>
        <w:rPr>
          <w:rFonts w:hint="eastAsia" w:ascii="宋体" w:hAnsi="宋体"/>
          <w:b/>
          <w:bCs/>
          <w:szCs w:val="21"/>
        </w:rPr>
        <w:t>附录</w:t>
      </w:r>
      <w:r>
        <w:rPr>
          <w:rFonts w:ascii="宋体" w:hAnsi="宋体"/>
          <w:b/>
          <w:bCs/>
          <w:szCs w:val="21"/>
        </w:rPr>
        <w:t>1 资格审查条件（资质最低要求）</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vAlign w:val="center"/>
          </w:tcPr>
          <w:p>
            <w:pPr>
              <w:adjustRightInd w:val="0"/>
              <w:snapToGrid w:val="0"/>
              <w:spacing w:line="360" w:lineRule="exact"/>
              <w:jc w:val="center"/>
              <w:rPr>
                <w:rFonts w:ascii="宋体" w:hAnsi="宋体"/>
                <w:b/>
                <w:szCs w:val="21"/>
              </w:rPr>
            </w:pPr>
            <w:r>
              <w:rPr>
                <w:rFonts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000" w:type="pct"/>
            <w:vAlign w:val="center"/>
          </w:tcPr>
          <w:p>
            <w:pPr>
              <w:spacing w:line="360" w:lineRule="exact"/>
              <w:ind w:firstLine="420" w:firstLineChars="200"/>
              <w:rPr>
                <w:rFonts w:ascii="宋体" w:hAnsi="宋体"/>
                <w:szCs w:val="21"/>
              </w:rPr>
            </w:pPr>
            <w:r>
              <w:rPr>
                <w:rFonts w:hint="eastAsia" w:ascii="宋体" w:hAnsi="宋体"/>
                <w:szCs w:val="21"/>
              </w:rPr>
              <w:t>具有独立企业法人资格，持有有效营业执照；</w:t>
            </w:r>
          </w:p>
          <w:p>
            <w:pPr>
              <w:spacing w:line="360" w:lineRule="exact"/>
              <w:ind w:firstLine="420" w:firstLineChars="200"/>
              <w:rPr>
                <w:rFonts w:ascii="宋体" w:hAnsi="宋体"/>
                <w:szCs w:val="21"/>
              </w:rPr>
            </w:pPr>
            <w:r>
              <w:rPr>
                <w:rFonts w:hint="eastAsia" w:ascii="宋体" w:hAnsi="宋体"/>
                <w:szCs w:val="21"/>
              </w:rPr>
              <w:t>具备建设行政主管部门核发的电力工程施工总承包三级（或以上）资质或输变电工程专业承包三级（或以上）资质；具有电力监管机构核发的《承装（修、试）电力设施许可证》，许可类别和等级包括五级（或以上）承装、承修、承试，具有有效的安全生产许可证。</w:t>
            </w:r>
          </w:p>
        </w:tc>
      </w:tr>
    </w:tbl>
    <w:p>
      <w:pPr>
        <w:spacing w:line="360" w:lineRule="exact"/>
        <w:jc w:val="center"/>
        <w:rPr>
          <w:rFonts w:ascii="宋体" w:hAnsi="宋体"/>
          <w:b/>
          <w:bCs/>
          <w:szCs w:val="21"/>
        </w:rPr>
      </w:pPr>
    </w:p>
    <w:p>
      <w:pPr>
        <w:spacing w:line="360" w:lineRule="exact"/>
        <w:jc w:val="center"/>
        <w:rPr>
          <w:rFonts w:ascii="宋体" w:hAnsi="宋体"/>
          <w:b/>
          <w:bCs/>
          <w:szCs w:val="21"/>
        </w:rPr>
      </w:pPr>
      <w:r>
        <w:rPr>
          <w:rFonts w:ascii="宋体" w:hAnsi="宋体"/>
          <w:b/>
          <w:bCs/>
          <w:szCs w:val="21"/>
        </w:rPr>
        <w:t>附录2资格审查条件（业绩最低要求）</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73" w:hRule="atLeast"/>
          <w:jc w:val="center"/>
        </w:trPr>
        <w:tc>
          <w:tcPr>
            <w:tcW w:w="5000" w:type="pct"/>
            <w:vAlign w:val="center"/>
          </w:tcPr>
          <w:p>
            <w:pPr>
              <w:spacing w:line="360" w:lineRule="exact"/>
              <w:ind w:firstLine="420" w:firstLineChars="200"/>
              <w:rPr>
                <w:rFonts w:ascii="宋体" w:hAnsi="宋体"/>
                <w:snapToGrid w:val="0"/>
                <w:kern w:val="0"/>
                <w:szCs w:val="21"/>
              </w:rPr>
            </w:pPr>
            <w:r>
              <w:rPr>
                <w:rFonts w:hint="eastAsia" w:ascii="宋体" w:hAnsi="宋体"/>
                <w:snapToGrid w:val="0"/>
                <w:kern w:val="0"/>
                <w:szCs w:val="21"/>
              </w:rPr>
              <w:t>近三年（2020年2月1日至投标截止时间止，以合同签订时间为准），至少独立完成过一项10kv（或以上）电力设施维护或维修项目。</w:t>
            </w:r>
          </w:p>
        </w:tc>
      </w:tr>
    </w:tbl>
    <w:p>
      <w:pPr>
        <w:spacing w:line="360" w:lineRule="exact"/>
        <w:rPr>
          <w:rFonts w:ascii="宋体" w:hAnsi="宋体"/>
          <w:b/>
          <w:bCs/>
          <w:szCs w:val="21"/>
        </w:rPr>
      </w:pPr>
    </w:p>
    <w:p>
      <w:pPr>
        <w:spacing w:line="360" w:lineRule="exact"/>
        <w:jc w:val="center"/>
        <w:rPr>
          <w:rFonts w:ascii="宋体" w:hAnsi="宋体"/>
          <w:b/>
          <w:bCs/>
          <w:szCs w:val="21"/>
        </w:rPr>
      </w:pPr>
      <w:r>
        <w:rPr>
          <w:rFonts w:ascii="宋体" w:hAnsi="宋体"/>
          <w:b/>
          <w:bCs/>
          <w:szCs w:val="21"/>
        </w:rPr>
        <w:t>附录3资格审查条件（</w:t>
      </w:r>
      <w:r>
        <w:rPr>
          <w:rFonts w:hint="eastAsia" w:ascii="宋体" w:hAnsi="宋体"/>
          <w:b/>
          <w:bCs/>
          <w:szCs w:val="21"/>
        </w:rPr>
        <w:t>信誉</w:t>
      </w:r>
      <w:r>
        <w:rPr>
          <w:rFonts w:ascii="宋体" w:hAnsi="宋体"/>
          <w:b/>
          <w:bCs/>
          <w:szCs w:val="21"/>
        </w:rPr>
        <w:t>最低要求）</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000" w:type="pct"/>
            <w:vAlign w:val="center"/>
          </w:tcPr>
          <w:p>
            <w:pPr>
              <w:spacing w:line="360" w:lineRule="exact"/>
              <w:ind w:firstLine="420" w:firstLineChars="200"/>
              <w:rPr>
                <w:rFonts w:ascii="宋体" w:hAnsi="宋体"/>
                <w:snapToGrid w:val="0"/>
                <w:kern w:val="0"/>
                <w:szCs w:val="21"/>
              </w:rPr>
            </w:pPr>
            <w:r>
              <w:rPr>
                <w:rFonts w:hint="eastAsia" w:ascii="宋体" w:hAnsi="宋体"/>
                <w:snapToGrid w:val="0"/>
                <w:kern w:val="0"/>
                <w:szCs w:val="21"/>
              </w:rPr>
              <w:t>投标人在近1年（2022年2月1日至投标截止时间止）中不曾在公路合同中违约而被驱逐或因投标人自身的原因而使合同被解除。</w:t>
            </w:r>
          </w:p>
        </w:tc>
      </w:tr>
    </w:tbl>
    <w:p>
      <w:pPr>
        <w:spacing w:line="360" w:lineRule="exact"/>
        <w:jc w:val="center"/>
        <w:rPr>
          <w:rFonts w:ascii="宋体" w:hAnsi="宋体"/>
          <w:b/>
          <w:bCs/>
          <w:szCs w:val="21"/>
        </w:rPr>
      </w:pPr>
    </w:p>
    <w:p>
      <w:pPr>
        <w:spacing w:line="360" w:lineRule="exact"/>
        <w:jc w:val="center"/>
        <w:rPr>
          <w:rFonts w:ascii="宋体" w:hAnsi="宋体"/>
          <w:b/>
          <w:bCs/>
          <w:szCs w:val="21"/>
        </w:rPr>
      </w:pPr>
      <w:r>
        <w:rPr>
          <w:rFonts w:ascii="宋体" w:hAnsi="宋体"/>
          <w:b/>
          <w:bCs/>
          <w:szCs w:val="21"/>
        </w:rPr>
        <w:t>附录4资格审查条件（</w:t>
      </w:r>
      <w:r>
        <w:rPr>
          <w:rFonts w:hint="eastAsia" w:ascii="宋体" w:hAnsi="宋体"/>
          <w:b/>
          <w:bCs/>
          <w:szCs w:val="21"/>
        </w:rPr>
        <w:t>项目经理</w:t>
      </w:r>
      <w:r>
        <w:rPr>
          <w:rFonts w:ascii="宋体" w:hAnsi="宋体"/>
          <w:b/>
          <w:bCs/>
          <w:szCs w:val="21"/>
        </w:rPr>
        <w:t>最低要求）</w:t>
      </w:r>
    </w:p>
    <w:tbl>
      <w:tblPr>
        <w:tblStyle w:val="5"/>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867"/>
        <w:gridCol w:w="4962"/>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96" w:type="dxa"/>
            <w:vAlign w:val="center"/>
          </w:tcPr>
          <w:p>
            <w:pPr>
              <w:snapToGrid w:val="0"/>
              <w:jc w:val="center"/>
              <w:rPr>
                <w:rFonts w:ascii="宋体" w:hAnsi="宋体"/>
                <w:szCs w:val="21"/>
              </w:rPr>
            </w:pPr>
            <w:r>
              <w:rPr>
                <w:rFonts w:hint="eastAsia" w:ascii="宋体" w:hAnsi="宋体"/>
                <w:szCs w:val="21"/>
              </w:rPr>
              <w:t>人员</w:t>
            </w:r>
          </w:p>
        </w:tc>
        <w:tc>
          <w:tcPr>
            <w:tcW w:w="867" w:type="dxa"/>
            <w:vAlign w:val="center"/>
          </w:tcPr>
          <w:p>
            <w:pPr>
              <w:snapToGrid w:val="0"/>
              <w:jc w:val="center"/>
              <w:rPr>
                <w:rFonts w:ascii="宋体" w:hAnsi="宋体"/>
                <w:szCs w:val="21"/>
              </w:rPr>
            </w:pPr>
            <w:r>
              <w:rPr>
                <w:rFonts w:hint="eastAsia" w:ascii="宋体" w:hAnsi="宋体"/>
                <w:szCs w:val="21"/>
              </w:rPr>
              <w:t>数量</w:t>
            </w:r>
          </w:p>
        </w:tc>
        <w:tc>
          <w:tcPr>
            <w:tcW w:w="4962" w:type="dxa"/>
            <w:vAlign w:val="center"/>
          </w:tcPr>
          <w:p>
            <w:pPr>
              <w:snapToGrid w:val="0"/>
              <w:jc w:val="center"/>
              <w:rPr>
                <w:rFonts w:ascii="宋体" w:hAnsi="宋体"/>
                <w:szCs w:val="21"/>
              </w:rPr>
            </w:pPr>
            <w:r>
              <w:rPr>
                <w:rFonts w:hint="eastAsia" w:ascii="宋体" w:hAnsi="宋体"/>
                <w:szCs w:val="21"/>
              </w:rPr>
              <w:t>资格要求</w:t>
            </w:r>
          </w:p>
        </w:tc>
        <w:tc>
          <w:tcPr>
            <w:tcW w:w="2271" w:type="dxa"/>
            <w:vAlign w:val="center"/>
          </w:tcPr>
          <w:p>
            <w:pPr>
              <w:snapToGrid w:val="0"/>
              <w:jc w:val="center"/>
              <w:rPr>
                <w:rFonts w:ascii="宋体" w:hAnsi="宋体"/>
                <w:szCs w:val="21"/>
              </w:rPr>
            </w:pPr>
            <w:r>
              <w:rPr>
                <w:rFonts w:hint="eastAsia" w:ascii="宋体" w:hAnsi="宋体"/>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1" w:hRule="atLeast"/>
          <w:jc w:val="center"/>
        </w:trPr>
        <w:tc>
          <w:tcPr>
            <w:tcW w:w="1396" w:type="dxa"/>
            <w:vAlign w:val="center"/>
          </w:tcPr>
          <w:p>
            <w:pPr>
              <w:spacing w:line="360" w:lineRule="exact"/>
              <w:jc w:val="center"/>
              <w:rPr>
                <w:rFonts w:ascii="宋体" w:hAnsi="宋体"/>
                <w:szCs w:val="21"/>
              </w:rPr>
            </w:pPr>
            <w:r>
              <w:rPr>
                <w:rFonts w:hint="eastAsia" w:ascii="宋体" w:hAnsi="宋体"/>
                <w:szCs w:val="21"/>
              </w:rPr>
              <w:t>项目经理</w:t>
            </w:r>
          </w:p>
        </w:tc>
        <w:tc>
          <w:tcPr>
            <w:tcW w:w="867" w:type="dxa"/>
            <w:vAlign w:val="center"/>
          </w:tcPr>
          <w:p>
            <w:pPr>
              <w:adjustRightInd w:val="0"/>
              <w:snapToGrid w:val="0"/>
              <w:spacing w:line="320" w:lineRule="exact"/>
              <w:jc w:val="center"/>
              <w:rPr>
                <w:rFonts w:ascii="宋体" w:hAnsi="宋体"/>
                <w:szCs w:val="21"/>
              </w:rPr>
            </w:pPr>
            <w:r>
              <w:rPr>
                <w:rFonts w:hint="eastAsia" w:ascii="宋体" w:hAnsi="宋体"/>
                <w:szCs w:val="21"/>
              </w:rPr>
              <w:t>1</w:t>
            </w:r>
          </w:p>
        </w:tc>
        <w:tc>
          <w:tcPr>
            <w:tcW w:w="4962" w:type="dxa"/>
            <w:vAlign w:val="center"/>
          </w:tcPr>
          <w:p>
            <w:pPr>
              <w:spacing w:line="360" w:lineRule="exact"/>
              <w:rPr>
                <w:rFonts w:ascii="宋体" w:hAnsi="宋体"/>
                <w:szCs w:val="21"/>
              </w:rPr>
            </w:pPr>
            <w:r>
              <w:rPr>
                <w:rFonts w:hint="eastAsia" w:ascii="宋体" w:hAnsi="宋体"/>
                <w:szCs w:val="21"/>
              </w:rPr>
              <w:t>工程师；具有“二级建造师注册证书(机电工程专业)”；具有有效的《安全生产考核合格证书》（B类）；项目经理的二级建造师注册证书的注册单位名称和安全生产考核合格证书的填报单位名称须与投标人单位名称一致。近三年（2020年2月1日至投标截止时间止，以合同签订时间为准）至少担任过一项10kv（或以上）电力设施维护或维修项目的项目经理（项目负责人）或项目副经理。</w:t>
            </w:r>
          </w:p>
        </w:tc>
        <w:tc>
          <w:tcPr>
            <w:tcW w:w="2271" w:type="dxa"/>
            <w:vAlign w:val="center"/>
          </w:tcPr>
          <w:p>
            <w:pPr>
              <w:rPr>
                <w:rFonts w:ascii="宋体" w:hAnsi="宋体"/>
                <w:szCs w:val="21"/>
              </w:rPr>
            </w:pPr>
            <w:r>
              <w:rPr>
                <w:rFonts w:hint="eastAsia" w:ascii="宋体" w:hAnsi="宋体"/>
                <w:szCs w:val="21"/>
              </w:rPr>
              <w:t>未在其他项目上任职，或虽在其他项目上任职但本项目中标后能够从该项目撤离。</w:t>
            </w:r>
          </w:p>
        </w:tc>
      </w:tr>
    </w:tbl>
    <w:p>
      <w:pPr>
        <w:adjustRightInd w:val="0"/>
        <w:snapToGrid w:val="0"/>
        <w:spacing w:line="360" w:lineRule="exact"/>
        <w:ind w:firstLine="420" w:firstLineChars="200"/>
        <w:rPr>
          <w:rFonts w:ascii="宋体" w:hAnsi="宋体"/>
          <w:szCs w:val="21"/>
        </w:rPr>
      </w:pPr>
    </w:p>
    <w:p>
      <w:pPr>
        <w:pStyle w:val="3"/>
        <w:spacing w:before="0" w:after="0" w:line="360" w:lineRule="exact"/>
        <w:rPr>
          <w:rFonts w:ascii="宋体" w:hAnsi="宋体" w:eastAsia="宋体"/>
          <w:b w:val="0"/>
          <w:i/>
          <w:iCs/>
          <w:sz w:val="21"/>
          <w:szCs w:val="21"/>
        </w:rPr>
      </w:pPr>
    </w:p>
    <w:p>
      <w:pPr>
        <w:widowControl/>
        <w:jc w:val="left"/>
        <w:rPr>
          <w:rFonts w:ascii="宋体" w:hAnsi="宋体"/>
          <w:szCs w:val="21"/>
        </w:rPr>
      </w:pPr>
      <w:r>
        <w:rPr>
          <w:rFonts w:ascii="宋体" w:hAnsi="宋体"/>
          <w:szCs w:val="21"/>
        </w:rPr>
        <w:br w:type="page"/>
      </w:r>
    </w:p>
    <w:p>
      <w:pPr>
        <w:pStyle w:val="4"/>
        <w:rPr>
          <w:rFonts w:ascii="宋体" w:hAnsi="宋体"/>
          <w:b w:val="0"/>
          <w:bCs w:val="0"/>
          <w:sz w:val="28"/>
          <w:szCs w:val="28"/>
        </w:rPr>
      </w:pPr>
      <w:r>
        <w:rPr>
          <w:rFonts w:ascii="宋体" w:hAnsi="宋体"/>
          <w:b w:val="0"/>
          <w:bCs w:val="0"/>
          <w:sz w:val="28"/>
          <w:szCs w:val="28"/>
        </w:rPr>
        <w:t>附件</w:t>
      </w:r>
      <w:r>
        <w:rPr>
          <w:rFonts w:hint="eastAsia" w:ascii="宋体" w:hAnsi="宋体"/>
          <w:b w:val="0"/>
          <w:bCs w:val="0"/>
          <w:sz w:val="28"/>
          <w:szCs w:val="28"/>
        </w:rPr>
        <w:t>2</w:t>
      </w:r>
      <w:r>
        <w:rPr>
          <w:rFonts w:ascii="宋体" w:hAnsi="宋体"/>
          <w:b w:val="0"/>
          <w:bCs w:val="0"/>
          <w:sz w:val="28"/>
          <w:szCs w:val="28"/>
        </w:rPr>
        <w:t xml:space="preserve">  </w:t>
      </w:r>
      <w:r>
        <w:rPr>
          <w:rFonts w:hint="eastAsia" w:ascii="宋体" w:hAnsi="宋体"/>
          <w:b w:val="0"/>
          <w:bCs w:val="0"/>
          <w:sz w:val="28"/>
          <w:szCs w:val="28"/>
        </w:rPr>
        <w:t>评标办法</w:t>
      </w:r>
    </w:p>
    <w:p>
      <w:pPr>
        <w:pStyle w:val="3"/>
        <w:snapToGrid w:val="0"/>
        <w:spacing w:before="0" w:after="0" w:line="360" w:lineRule="auto"/>
        <w:rPr>
          <w:rFonts w:ascii="宋体" w:hAnsi="宋体" w:eastAsia="宋体"/>
          <w:kern w:val="0"/>
          <w:sz w:val="24"/>
          <w:szCs w:val="24"/>
        </w:rPr>
      </w:pPr>
      <w:r>
        <w:rPr>
          <w:rFonts w:hint="eastAsia" w:ascii="宋体" w:hAnsi="宋体" w:eastAsia="宋体"/>
          <w:spacing w:val="2"/>
          <w:kern w:val="0"/>
          <w:sz w:val="24"/>
          <w:szCs w:val="24"/>
        </w:rPr>
        <w:t>评标</w:t>
      </w:r>
      <w:r>
        <w:rPr>
          <w:rFonts w:hint="eastAsia" w:ascii="宋体" w:hAnsi="宋体" w:eastAsia="宋体"/>
          <w:kern w:val="0"/>
          <w:sz w:val="24"/>
          <w:szCs w:val="24"/>
        </w:rPr>
        <w:t>办法前附表</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8"/>
        <w:gridCol w:w="1267"/>
        <w:gridCol w:w="7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72" w:type="dxa"/>
            <w:vAlign w:val="center"/>
          </w:tcPr>
          <w:p>
            <w:pPr>
              <w:jc w:val="center"/>
              <w:rPr>
                <w:rFonts w:ascii="宋体" w:hAnsi="宋体" w:cs="宋体"/>
                <w:szCs w:val="21"/>
              </w:rPr>
            </w:pPr>
            <w:r>
              <w:rPr>
                <w:rFonts w:hint="eastAsia" w:ascii="宋体" w:hAnsi="宋体" w:cs="宋体"/>
                <w:szCs w:val="21"/>
              </w:rPr>
              <w:t>条款号</w:t>
            </w:r>
          </w:p>
        </w:tc>
        <w:tc>
          <w:tcPr>
            <w:tcW w:w="1275" w:type="dxa"/>
            <w:gridSpan w:val="2"/>
            <w:vAlign w:val="center"/>
          </w:tcPr>
          <w:p>
            <w:pPr>
              <w:jc w:val="center"/>
              <w:rPr>
                <w:rFonts w:ascii="宋体" w:hAnsi="宋体" w:cs="宋体"/>
                <w:szCs w:val="21"/>
              </w:rPr>
            </w:pPr>
            <w:r>
              <w:rPr>
                <w:rFonts w:hint="eastAsia" w:ascii="宋体" w:hAnsi="宋体" w:cs="宋体"/>
                <w:szCs w:val="21"/>
              </w:rPr>
              <w:t>条款名称</w:t>
            </w:r>
          </w:p>
        </w:tc>
        <w:tc>
          <w:tcPr>
            <w:tcW w:w="7571" w:type="dxa"/>
            <w:vAlign w:val="center"/>
          </w:tcPr>
          <w:p>
            <w:pPr>
              <w:jc w:val="center"/>
              <w:rPr>
                <w:rFonts w:ascii="宋体" w:hAnsi="宋体" w:cs="宋体"/>
                <w:szCs w:val="21"/>
              </w:rPr>
            </w:pPr>
            <w:r>
              <w:rPr>
                <w:rFonts w:hint="eastAsia" w:ascii="宋体" w:hAnsi="宋体" w:cs="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1</w:t>
            </w:r>
          </w:p>
        </w:tc>
        <w:tc>
          <w:tcPr>
            <w:tcW w:w="1275" w:type="dxa"/>
            <w:gridSpan w:val="2"/>
            <w:vAlign w:val="center"/>
          </w:tcPr>
          <w:p>
            <w:pPr>
              <w:jc w:val="center"/>
              <w:rPr>
                <w:rFonts w:ascii="宋体" w:hAnsi="宋体" w:cs="宋体"/>
                <w:szCs w:val="21"/>
              </w:rPr>
            </w:pPr>
            <w:r>
              <w:rPr>
                <w:rFonts w:hint="eastAsia" w:ascii="宋体" w:hAnsi="宋体" w:cs="宋体"/>
                <w:szCs w:val="21"/>
              </w:rPr>
              <w:t>评标办法</w:t>
            </w:r>
          </w:p>
        </w:tc>
        <w:tc>
          <w:tcPr>
            <w:tcW w:w="7571" w:type="dxa"/>
            <w:vAlign w:val="center"/>
          </w:tcPr>
          <w:p>
            <w:pPr>
              <w:spacing w:line="320" w:lineRule="exact"/>
              <w:jc w:val="left"/>
              <w:rPr>
                <w:rFonts w:ascii="宋体" w:hAnsi="宋体"/>
                <w:szCs w:val="21"/>
              </w:rPr>
            </w:pPr>
            <w:r>
              <w:rPr>
                <w:rFonts w:hint="eastAsia" w:ascii="宋体" w:hAnsi="宋体"/>
                <w:szCs w:val="21"/>
              </w:rPr>
              <w:t>本款修改为：</w:t>
            </w:r>
          </w:p>
          <w:p>
            <w:pPr>
              <w:spacing w:line="320" w:lineRule="exact"/>
              <w:jc w:val="left"/>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本次评标采用合理低价法。评标委员会对满足招标文件实质性要求的投标文件，按照本章第2.2款规定的评分标准进行打分，并按得分由高到低顺序推荐1-3名中标候选人。评标价得分相等时，评标委员会依次按照以下优先顺序推荐中标候选人：</w:t>
            </w:r>
          </w:p>
          <w:p>
            <w:pPr>
              <w:spacing w:line="320" w:lineRule="exact"/>
              <w:jc w:val="left"/>
              <w:rPr>
                <w:rFonts w:ascii="宋体" w:hAnsi="宋体"/>
                <w:szCs w:val="21"/>
              </w:rPr>
            </w:pPr>
            <w:r>
              <w:rPr>
                <w:rFonts w:hint="eastAsia" w:ascii="宋体" w:hAnsi="宋体"/>
                <w:szCs w:val="21"/>
              </w:rPr>
              <w:t>（1）评标价低的优先；</w:t>
            </w:r>
          </w:p>
          <w:p>
            <w:pPr>
              <w:spacing w:line="320" w:lineRule="exact"/>
              <w:jc w:val="left"/>
              <w:rPr>
                <w:rFonts w:ascii="宋体" w:hAnsi="宋体"/>
                <w:szCs w:val="21"/>
              </w:rPr>
            </w:pPr>
            <w:r>
              <w:rPr>
                <w:rFonts w:hint="eastAsia" w:ascii="宋体" w:hAnsi="宋体"/>
                <w:szCs w:val="21"/>
              </w:rPr>
              <w:t>（2）满足资格审查条件(业绩最低要求)要求的业绩累计合同额高的优先。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ascii="宋体" w:hAnsi="宋体" w:cs="宋体"/>
                <w:szCs w:val="21"/>
              </w:rPr>
              <w:t>2.1.1</w:t>
            </w:r>
          </w:p>
          <w:p>
            <w:pPr>
              <w:jc w:val="center"/>
              <w:rPr>
                <w:rFonts w:ascii="宋体" w:hAnsi="宋体" w:cs="宋体"/>
                <w:szCs w:val="21"/>
              </w:rPr>
            </w:pPr>
            <w:r>
              <w:rPr>
                <w:rFonts w:ascii="宋体" w:hAnsi="宋体" w:cs="宋体"/>
                <w:szCs w:val="21"/>
              </w:rPr>
              <w:t>2.1.3</w:t>
            </w:r>
          </w:p>
        </w:tc>
        <w:tc>
          <w:tcPr>
            <w:tcW w:w="1275" w:type="dxa"/>
            <w:gridSpan w:val="2"/>
            <w:vAlign w:val="center"/>
          </w:tcPr>
          <w:p>
            <w:pPr>
              <w:jc w:val="center"/>
              <w:rPr>
                <w:rFonts w:ascii="宋体" w:hAnsi="宋体" w:cs="宋体"/>
                <w:szCs w:val="21"/>
              </w:rPr>
            </w:pPr>
            <w:r>
              <w:rPr>
                <w:rFonts w:hint="eastAsia" w:ascii="宋体" w:hAnsi="宋体" w:cs="宋体"/>
                <w:szCs w:val="21"/>
              </w:rPr>
              <w:t>形式评审与响应性评审标准</w:t>
            </w:r>
          </w:p>
        </w:tc>
        <w:tc>
          <w:tcPr>
            <w:tcW w:w="7571" w:type="dxa"/>
            <w:vAlign w:val="center"/>
          </w:tcPr>
          <w:p>
            <w:pPr>
              <w:tabs>
                <w:tab w:val="left" w:pos="3060"/>
              </w:tabs>
              <w:spacing w:line="360" w:lineRule="exact"/>
              <w:ind w:firstLine="211" w:firstLineChars="100"/>
              <w:rPr>
                <w:rFonts w:ascii="宋体" w:hAnsi="宋体"/>
                <w:b/>
                <w:bCs/>
                <w:szCs w:val="21"/>
              </w:rPr>
            </w:pPr>
            <w:r>
              <w:rPr>
                <w:rFonts w:hint="eastAsia" w:ascii="宋体" w:hAnsi="宋体"/>
                <w:b/>
                <w:bCs/>
                <w:szCs w:val="21"/>
              </w:rPr>
              <w:t>第一个信封评审标准：</w:t>
            </w:r>
          </w:p>
          <w:p>
            <w:pPr>
              <w:tabs>
                <w:tab w:val="left" w:pos="3060"/>
              </w:tabs>
              <w:spacing w:line="36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60" w:lineRule="exact"/>
              <w:ind w:firstLine="210" w:firstLineChars="100"/>
              <w:rPr>
                <w:rFonts w:ascii="宋体" w:hAnsi="宋体"/>
                <w:szCs w:val="21"/>
              </w:rPr>
            </w:pPr>
            <w:r>
              <w:rPr>
                <w:rFonts w:hint="eastAsia" w:ascii="宋体" w:hAnsi="宋体"/>
                <w:szCs w:val="21"/>
              </w:rPr>
              <w:t>a．投标函按招标文件规定填报了项目名称、补遗书编号（如有）、工期、质量要求及安全目标；</w:t>
            </w:r>
          </w:p>
          <w:p>
            <w:pPr>
              <w:tabs>
                <w:tab w:val="left" w:pos="3060"/>
              </w:tabs>
              <w:spacing w:line="360" w:lineRule="exact"/>
              <w:ind w:firstLine="210" w:firstLineChars="100"/>
              <w:rPr>
                <w:rFonts w:ascii="宋体" w:hAnsi="宋体"/>
                <w:szCs w:val="21"/>
              </w:rPr>
            </w:pPr>
            <w:r>
              <w:rPr>
                <w:rFonts w:hint="eastAsia" w:ascii="宋体" w:hAnsi="宋体"/>
                <w:szCs w:val="21"/>
              </w:rPr>
              <w:t>b．投标文件组成齐全完整，内容均按规定填写。</w:t>
            </w:r>
          </w:p>
          <w:p>
            <w:pPr>
              <w:tabs>
                <w:tab w:val="left" w:pos="3060"/>
              </w:tabs>
              <w:spacing w:line="360" w:lineRule="exact"/>
              <w:ind w:firstLine="210" w:firstLineChars="100"/>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60" w:lineRule="exact"/>
              <w:ind w:firstLine="210" w:firstLineChars="100"/>
              <w:rPr>
                <w:rFonts w:ascii="宋体" w:hAnsi="宋体"/>
                <w:bCs/>
                <w:szCs w:val="21"/>
              </w:rPr>
            </w:pPr>
            <w:r>
              <w:rPr>
                <w:rFonts w:hint="eastAsia" w:ascii="宋体" w:hAnsi="宋体"/>
                <w:bCs/>
                <w:szCs w:val="21"/>
              </w:rPr>
              <w:t>（3）投标人按照招标文件的规定提供了投标保证金：</w:t>
            </w:r>
          </w:p>
          <w:p>
            <w:pPr>
              <w:tabs>
                <w:tab w:val="left" w:pos="3060"/>
              </w:tabs>
              <w:spacing w:line="360" w:lineRule="exact"/>
              <w:ind w:firstLine="210" w:firstLineChars="100"/>
              <w:rPr>
                <w:rFonts w:ascii="宋体" w:hAnsi="宋体"/>
                <w:bCs/>
                <w:szCs w:val="21"/>
              </w:rPr>
            </w:pPr>
            <w:r>
              <w:rPr>
                <w:rFonts w:hint="eastAsia" w:ascii="宋体" w:hAnsi="宋体"/>
                <w:bCs/>
                <w:szCs w:val="21"/>
              </w:rPr>
              <w:t>a.投标保证金金额符合招标文件规定的金额，且投标保证金有效期不少于投标有效期；</w:t>
            </w:r>
          </w:p>
          <w:p>
            <w:pPr>
              <w:tabs>
                <w:tab w:val="left" w:pos="3060"/>
              </w:tabs>
              <w:spacing w:line="360" w:lineRule="exact"/>
              <w:ind w:firstLine="210" w:firstLineChars="100"/>
              <w:rPr>
                <w:rFonts w:ascii="宋体" w:hAnsi="宋体"/>
                <w:bCs/>
                <w:szCs w:val="21"/>
              </w:rPr>
            </w:pPr>
            <w:r>
              <w:rPr>
                <w:rFonts w:hint="eastAsia" w:ascii="宋体" w:hAnsi="宋体"/>
                <w:bCs/>
                <w:szCs w:val="21"/>
              </w:rPr>
              <w:t>b.若投标保证金采用银行或网银转账形式提交，投标人应在递交投标文件截止时间之前，将投标保证金由投标人的基本账户转入招标人指定账户；</w:t>
            </w:r>
          </w:p>
          <w:p>
            <w:pPr>
              <w:tabs>
                <w:tab w:val="left" w:pos="3060"/>
              </w:tabs>
              <w:spacing w:line="360" w:lineRule="exact"/>
              <w:ind w:firstLine="210" w:firstLineChars="100"/>
              <w:rPr>
                <w:rFonts w:ascii="宋体" w:hAnsi="宋体"/>
                <w:bCs/>
                <w:szCs w:val="21"/>
              </w:rPr>
            </w:pPr>
            <w:r>
              <w:rPr>
                <w:rFonts w:hint="eastAsia" w:ascii="宋体" w:hAnsi="宋体"/>
                <w:bCs/>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360" w:lineRule="exact"/>
              <w:ind w:firstLine="210" w:firstLineChars="100"/>
              <w:rPr>
                <w:rFonts w:ascii="宋体" w:hAnsi="宋体"/>
                <w:bCs/>
                <w:szCs w:val="21"/>
              </w:rPr>
            </w:pPr>
            <w:r>
              <w:rPr>
                <w:rFonts w:hint="eastAsia" w:ascii="宋体" w:hAnsi="宋体"/>
                <w:bCs/>
                <w:szCs w:val="21"/>
              </w:rPr>
              <w:t>d.若投标保证金采用电子保函或保证保险形式提交，投标人应通过投标人基本账户购买。</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（4）投标人法定代表人授权委托代理人签署投标文件的，须提交授权委托书，授权委托书符合招标文件规定。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（5）投标人法定代表人亲自签署投标文件的，提供了法定代表人身份证明，法定代表人身份证明符合招标文件规定。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）投标人未以联合体形式投标。</w:t>
            </w:r>
          </w:p>
          <w:p>
            <w:pPr>
              <w:autoSpaceDE w:val="0"/>
              <w:autoSpaceDN w:val="0"/>
              <w:adjustRightInd w:val="0"/>
              <w:spacing w:line="360" w:lineRule="exact"/>
              <w:jc w:val="left"/>
              <w:rPr>
                <w:rFonts w:ascii="宋体" w:hAnsi="宋体"/>
                <w:szCs w:val="21"/>
              </w:rPr>
            </w:pPr>
            <w:r>
              <w:rPr>
                <w:rFonts w:hint="eastAsia" w:ascii="宋体" w:hAnsi="宋体" w:cs="宋体"/>
                <w:kern w:val="0"/>
                <w:szCs w:val="21"/>
              </w:rPr>
              <w:t>（7）</w:t>
            </w:r>
            <w:r>
              <w:rPr>
                <w:rFonts w:hint="eastAsia" w:ascii="宋体" w:hAnsi="宋体"/>
                <w:szCs w:val="21"/>
              </w:rPr>
              <w:t>投标人未对本项目提出分包计划。</w:t>
            </w:r>
          </w:p>
          <w:p>
            <w:pPr>
              <w:autoSpaceDE w:val="0"/>
              <w:autoSpaceDN w:val="0"/>
              <w:adjustRightInd w:val="0"/>
              <w:spacing w:line="360" w:lineRule="exact"/>
              <w:jc w:val="left"/>
              <w:rPr>
                <w:rFonts w:ascii="宋体" w:hAnsi="宋体" w:cs="宋体"/>
                <w:kern w:val="0"/>
                <w:szCs w:val="21"/>
              </w:rPr>
            </w:pPr>
            <w:r>
              <w:rPr>
                <w:rFonts w:hint="eastAsia" w:ascii="宋体" w:hAnsi="宋体"/>
                <w:szCs w:val="21"/>
              </w:rPr>
              <w:t>（8）</w:t>
            </w:r>
            <w:r>
              <w:rPr>
                <w:rFonts w:hint="eastAsia" w:ascii="宋体" w:hAnsi="宋体" w:cs="宋体"/>
                <w:kern w:val="0"/>
                <w:szCs w:val="21"/>
              </w:rPr>
              <w:t>投标人未提交两个以上不同的投标文件。</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（9）投标文件</w:t>
            </w:r>
            <w:r>
              <w:rPr>
                <w:rFonts w:hint="eastAsia" w:ascii="宋体" w:hAnsi="宋体"/>
                <w:szCs w:val="21"/>
              </w:rPr>
              <w:t>第一信封（商务及技术文件）</w:t>
            </w:r>
            <w:r>
              <w:rPr>
                <w:rFonts w:hint="eastAsia" w:ascii="宋体" w:hAnsi="宋体" w:cs="宋体"/>
                <w:kern w:val="0"/>
                <w:szCs w:val="21"/>
              </w:rPr>
              <w:t>中未出现有关投标报价的内容。</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（10）投标文件载明的招标项目完成期限符合招标文件规定。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（11）投标文件对招标文件的实质性要求和条件作出响应。</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2）权利义务符合招标文件规定：</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a.</w:t>
            </w:r>
            <w:r>
              <w:rPr>
                <w:rFonts w:hint="eastAsia" w:ascii="宋体" w:hAnsi="宋体" w:cs="宋体"/>
                <w:kern w:val="0"/>
                <w:szCs w:val="21"/>
              </w:rPr>
              <w:t>投标人应接受招标文件规定的风险划分原则，未提出新的风险划分办法；</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b.</w:t>
            </w:r>
            <w:r>
              <w:rPr>
                <w:rFonts w:hint="eastAsia" w:ascii="宋体" w:hAnsi="宋体" w:cs="宋体"/>
                <w:kern w:val="0"/>
                <w:szCs w:val="21"/>
              </w:rPr>
              <w:t>投标人未增加发包人的责任范围，或减少投标人义务；</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c.</w:t>
            </w:r>
            <w:r>
              <w:rPr>
                <w:rFonts w:hint="eastAsia" w:ascii="宋体" w:hAnsi="宋体" w:cs="宋体"/>
                <w:kern w:val="0"/>
                <w:szCs w:val="21"/>
              </w:rPr>
              <w:t>投标人未提出不同的支付办法；</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d.</w:t>
            </w:r>
            <w:r>
              <w:rPr>
                <w:rFonts w:hint="eastAsia" w:ascii="宋体" w:hAnsi="宋体" w:cs="宋体"/>
                <w:kern w:val="0"/>
                <w:szCs w:val="21"/>
              </w:rPr>
              <w:t>投标人对合同纠纷、事故处理办法未提出异议；</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e.</w:t>
            </w:r>
            <w:r>
              <w:rPr>
                <w:rFonts w:hint="eastAsia" w:ascii="宋体" w:hAnsi="宋体" w:cs="宋体"/>
                <w:kern w:val="0"/>
                <w:szCs w:val="21"/>
              </w:rPr>
              <w:t>投标人在投标活动中无欺诈行为；</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f.</w:t>
            </w:r>
            <w:r>
              <w:rPr>
                <w:rFonts w:hint="eastAsia" w:ascii="宋体" w:hAnsi="宋体" w:cs="宋体"/>
                <w:kern w:val="0"/>
                <w:szCs w:val="21"/>
              </w:rPr>
              <w:t>投标人未对合同条款有重要保留。</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3）</w:t>
            </w:r>
            <w:r>
              <w:rPr>
                <w:rFonts w:ascii="宋体" w:hAnsi="宋体" w:cs="宋体"/>
                <w:kern w:val="0"/>
                <w:szCs w:val="21"/>
              </w:rPr>
              <w:t>投标人名称与营业执照、资质证书、安全生产许可证</w:t>
            </w:r>
            <w:r>
              <w:rPr>
                <w:rFonts w:hint="eastAsia" w:ascii="宋体" w:hAnsi="宋体" w:cs="宋体"/>
                <w:kern w:val="0"/>
                <w:szCs w:val="21"/>
              </w:rPr>
              <w:t>、基本账户开户许可证（或基本存款账户信息）</w:t>
            </w:r>
            <w:r>
              <w:rPr>
                <w:rFonts w:ascii="宋体" w:hAnsi="宋体" w:cs="宋体"/>
                <w:kern w:val="0"/>
                <w:szCs w:val="21"/>
              </w:rPr>
              <w:t>一致，如企业名称有变更的，应提供</w:t>
            </w:r>
            <w:r>
              <w:rPr>
                <w:rFonts w:hint="eastAsia" w:ascii="宋体" w:hAnsi="宋体" w:cs="宋体"/>
                <w:kern w:val="0"/>
                <w:szCs w:val="21"/>
              </w:rPr>
              <w:t>其</w:t>
            </w:r>
            <w:r>
              <w:rPr>
                <w:rFonts w:ascii="宋体" w:hAnsi="宋体" w:cs="宋体"/>
                <w:kern w:val="0"/>
                <w:szCs w:val="21"/>
              </w:rPr>
              <w:t>变更记录或相关部门的合法批件复印件</w:t>
            </w:r>
            <w:r>
              <w:rPr>
                <w:rFonts w:hint="eastAsia" w:ascii="宋体" w:hAnsi="宋体" w:cs="宋体"/>
                <w:kern w:val="0"/>
                <w:szCs w:val="21"/>
              </w:rPr>
              <w:t>。</w:t>
            </w:r>
          </w:p>
          <w:p>
            <w:pPr>
              <w:tabs>
                <w:tab w:val="left" w:pos="3060"/>
              </w:tabs>
              <w:spacing w:line="36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60" w:lineRule="exact"/>
              <w:ind w:firstLine="210" w:firstLineChars="100"/>
              <w:rPr>
                <w:rFonts w:ascii="宋体" w:hAnsi="宋体"/>
                <w:szCs w:val="21"/>
              </w:rPr>
            </w:pPr>
            <w:r>
              <w:rPr>
                <w:rFonts w:hint="eastAsia" w:ascii="宋体" w:hAnsi="宋体"/>
                <w:szCs w:val="21"/>
              </w:rPr>
              <w:t>a．投标函按招标文件规定填报了项目名称、补遗书编号（如有）、投标价（包括大写金额和小写金额）；</w:t>
            </w:r>
          </w:p>
          <w:p>
            <w:pPr>
              <w:tabs>
                <w:tab w:val="left" w:pos="3060"/>
              </w:tabs>
              <w:spacing w:line="360" w:lineRule="exact"/>
              <w:ind w:firstLine="210" w:firstLineChars="100"/>
              <w:rPr>
                <w:rFonts w:ascii="宋体" w:hAnsi="宋体"/>
                <w:szCs w:val="21"/>
              </w:rPr>
            </w:pPr>
            <w:r>
              <w:rPr>
                <w:rFonts w:hint="eastAsia" w:ascii="宋体" w:hAnsi="宋体"/>
                <w:szCs w:val="21"/>
              </w:rPr>
              <w:t>b．报价清单说明文字与招标文件规定一致，未进行实质性修改和删减；</w:t>
            </w:r>
          </w:p>
          <w:p>
            <w:pPr>
              <w:tabs>
                <w:tab w:val="left" w:pos="3060"/>
              </w:tabs>
              <w:spacing w:line="360" w:lineRule="exact"/>
              <w:ind w:firstLine="210" w:firstLineChars="100"/>
              <w:rPr>
                <w:rFonts w:ascii="宋体" w:hAnsi="宋体"/>
                <w:szCs w:val="21"/>
              </w:rPr>
            </w:pPr>
            <w:r>
              <w:rPr>
                <w:rFonts w:hint="eastAsia" w:ascii="宋体" w:hAnsi="宋体"/>
                <w:szCs w:val="21"/>
              </w:rPr>
              <w:t>c．投标文件组成齐全完整，内容均按规定填写。</w:t>
            </w:r>
          </w:p>
          <w:p>
            <w:pPr>
              <w:tabs>
                <w:tab w:val="left" w:pos="3060"/>
              </w:tabs>
              <w:spacing w:line="360" w:lineRule="exact"/>
              <w:ind w:firstLine="205" w:firstLineChars="98"/>
              <w:rPr>
                <w:rFonts w:ascii="宋体" w:hAnsi="宋体"/>
                <w:bCs/>
                <w:szCs w:val="21"/>
              </w:rPr>
            </w:pPr>
            <w:r>
              <w:rPr>
                <w:rFonts w:hint="eastAsia" w:ascii="宋体" w:hAnsi="宋体"/>
                <w:bCs/>
                <w:szCs w:val="21"/>
              </w:rPr>
              <w:t>（2）</w:t>
            </w:r>
            <w:r>
              <w:rPr>
                <w:rFonts w:hint="eastAsia" w:ascii="宋体" w:hAnsi="宋体"/>
                <w:szCs w:val="21"/>
              </w:rPr>
              <w:t>投标文件上法定代表人或其授权代理人的签字、投标人的单位章盖章齐全，符合招标文件规定</w:t>
            </w:r>
            <w:r>
              <w:rPr>
                <w:rFonts w:hint="eastAsia" w:ascii="宋体" w:hAnsi="宋体"/>
                <w:bCs/>
                <w:szCs w:val="21"/>
              </w:rPr>
              <w:t>；</w:t>
            </w:r>
          </w:p>
          <w:p>
            <w:pPr>
              <w:tabs>
                <w:tab w:val="left" w:pos="3060"/>
              </w:tabs>
              <w:spacing w:line="360" w:lineRule="exact"/>
              <w:ind w:firstLine="210" w:firstLineChars="100"/>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w:t>
            </w:r>
            <w:r>
              <w:rPr>
                <w:rFonts w:hint="eastAsia" w:ascii="宋体" w:hAnsi="宋体" w:cs="宋体"/>
                <w:kern w:val="0"/>
                <w:szCs w:val="21"/>
              </w:rPr>
              <w:t>投标报价未超过招标文件设定的最高投标限价</w:t>
            </w:r>
            <w:r>
              <w:rPr>
                <w:rFonts w:hint="eastAsia" w:ascii="宋体" w:hAnsi="宋体"/>
                <w:bCs/>
                <w:szCs w:val="21"/>
              </w:rPr>
              <w:t>。</w:t>
            </w:r>
          </w:p>
          <w:p>
            <w:pPr>
              <w:autoSpaceDE w:val="0"/>
              <w:autoSpaceDN w:val="0"/>
              <w:adjustRightInd w:val="0"/>
              <w:spacing w:line="360" w:lineRule="exact"/>
              <w:ind w:firstLine="210" w:firstLineChars="1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）投标报价的大写金额能够确定具体数值。</w:t>
            </w:r>
          </w:p>
          <w:p>
            <w:pPr>
              <w:autoSpaceDE w:val="0"/>
              <w:autoSpaceDN w:val="0"/>
              <w:adjustRightInd w:val="0"/>
              <w:spacing w:line="360" w:lineRule="exact"/>
              <w:ind w:firstLine="210" w:firstLineChars="100"/>
              <w:jc w:val="left"/>
              <w:rPr>
                <w:rFonts w:ascii="宋体" w:hAnsi="宋体" w:cs="宋体"/>
                <w:kern w:val="0"/>
                <w:szCs w:val="21"/>
              </w:rPr>
            </w:pPr>
            <w:r>
              <w:rPr>
                <w:rFonts w:hint="eastAsia" w:ascii="宋体" w:hAnsi="宋体" w:cs="宋体"/>
                <w:kern w:val="0"/>
                <w:szCs w:val="21"/>
              </w:rPr>
              <w:t>（5）投标人未提交两个以上不同的投标报价。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2.1.2</w:t>
            </w:r>
          </w:p>
        </w:tc>
        <w:tc>
          <w:tcPr>
            <w:tcW w:w="1275" w:type="dxa"/>
            <w:gridSpan w:val="2"/>
            <w:vAlign w:val="center"/>
          </w:tcPr>
          <w:p>
            <w:pPr>
              <w:jc w:val="center"/>
              <w:rPr>
                <w:rFonts w:ascii="宋体" w:hAnsi="宋体" w:cs="宋体"/>
                <w:szCs w:val="21"/>
              </w:rPr>
            </w:pPr>
            <w:r>
              <w:rPr>
                <w:rFonts w:hint="eastAsia" w:ascii="宋体" w:hAnsi="宋体" w:cs="宋体"/>
                <w:szCs w:val="21"/>
              </w:rPr>
              <w:t>资格评审标准</w:t>
            </w:r>
          </w:p>
        </w:tc>
        <w:tc>
          <w:tcPr>
            <w:tcW w:w="7571" w:type="dxa"/>
            <w:vAlign w:val="center"/>
          </w:tcPr>
          <w:p>
            <w:pPr>
              <w:rPr>
                <w:rFonts w:ascii="宋体" w:hAnsi="宋体" w:cs="宋体"/>
                <w:szCs w:val="21"/>
              </w:rPr>
            </w:pPr>
            <w:r>
              <w:rPr>
                <w:rFonts w:hint="eastAsia" w:ascii="宋体" w:hAnsi="宋体" w:cs="宋体"/>
                <w:szCs w:val="21"/>
              </w:rPr>
              <w:t>（1）投标人具备有效的营业执照、基本账户开户许可证（或基本存款账户信息）；</w:t>
            </w:r>
          </w:p>
          <w:p>
            <w:pPr>
              <w:rPr>
                <w:rFonts w:ascii="宋体" w:hAnsi="宋体" w:cs="宋体"/>
                <w:szCs w:val="21"/>
              </w:rPr>
            </w:pPr>
            <w:r>
              <w:rPr>
                <w:rFonts w:hint="eastAsia" w:ascii="宋体" w:hAnsi="宋体" w:cs="宋体"/>
                <w:szCs w:val="21"/>
              </w:rPr>
              <w:t>（2）投标人的资格符合招标文件规定。</w:t>
            </w:r>
          </w:p>
          <w:p>
            <w:pPr>
              <w:rPr>
                <w:rFonts w:ascii="宋体" w:hAnsi="宋体" w:cs="宋体"/>
                <w:szCs w:val="21"/>
              </w:rPr>
            </w:pPr>
            <w:r>
              <w:rPr>
                <w:rFonts w:hint="eastAsia" w:ascii="宋体" w:hAnsi="宋体" w:cs="宋体"/>
                <w:szCs w:val="21"/>
              </w:rPr>
              <w:t>（3）投标人的业绩符合招标文件的规定。</w:t>
            </w:r>
          </w:p>
          <w:p>
            <w:pPr>
              <w:rPr>
                <w:rFonts w:ascii="宋体" w:hAnsi="宋体" w:cs="宋体"/>
                <w:szCs w:val="21"/>
              </w:rPr>
            </w:pPr>
            <w:r>
              <w:rPr>
                <w:rFonts w:hint="eastAsia" w:ascii="宋体" w:hAnsi="宋体" w:cs="宋体"/>
                <w:szCs w:val="21"/>
              </w:rPr>
              <w:t>（4）投标人的信誉符合招标文件的规定。</w:t>
            </w:r>
          </w:p>
          <w:p>
            <w:pPr>
              <w:rPr>
                <w:rFonts w:ascii="宋体" w:hAnsi="宋体" w:cs="宋体"/>
                <w:szCs w:val="21"/>
              </w:rPr>
            </w:pPr>
            <w:r>
              <w:rPr>
                <w:rFonts w:hint="eastAsia" w:ascii="宋体" w:hAnsi="宋体" w:cs="宋体"/>
                <w:szCs w:val="21"/>
              </w:rPr>
              <w:t>（5）投标人的项目经理资格符合招标文件的规定。</w:t>
            </w:r>
          </w:p>
          <w:p>
            <w:pPr>
              <w:rPr>
                <w:rFonts w:ascii="宋体" w:hAnsi="宋体" w:cs="宋体"/>
                <w:szCs w:val="21"/>
              </w:rPr>
            </w:pPr>
            <w:r>
              <w:rPr>
                <w:rFonts w:hint="eastAsia" w:ascii="宋体" w:hAnsi="宋体" w:cs="宋体"/>
                <w:szCs w:val="21"/>
              </w:rPr>
              <w:t>（6）投标人不存在第二章“投标人须知”第1.4.3项或1.4.4项规定的任何一种情形。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2.2.1</w:t>
            </w:r>
          </w:p>
        </w:tc>
        <w:tc>
          <w:tcPr>
            <w:tcW w:w="1275" w:type="dxa"/>
            <w:gridSpan w:val="2"/>
            <w:vAlign w:val="center"/>
          </w:tcPr>
          <w:p>
            <w:pPr>
              <w:jc w:val="center"/>
              <w:rPr>
                <w:rFonts w:ascii="宋体" w:hAnsi="宋体" w:cs="宋体"/>
                <w:szCs w:val="21"/>
              </w:rPr>
            </w:pPr>
            <w:r>
              <w:rPr>
                <w:rFonts w:hint="eastAsia" w:ascii="宋体" w:hAnsi="宋体" w:cs="宋体"/>
                <w:szCs w:val="21"/>
              </w:rPr>
              <w:t>分值构成（总分100分）</w:t>
            </w:r>
          </w:p>
        </w:tc>
        <w:tc>
          <w:tcPr>
            <w:tcW w:w="7571" w:type="dxa"/>
            <w:vAlign w:val="center"/>
          </w:tcPr>
          <w:p>
            <w:pPr>
              <w:rPr>
                <w:rFonts w:ascii="宋体" w:hAnsi="宋体" w:cs="宋体"/>
                <w:szCs w:val="21"/>
              </w:rPr>
            </w:pPr>
            <w:r>
              <w:rPr>
                <w:rFonts w:hint="eastAsia" w:ascii="宋体" w:hAnsi="宋体"/>
                <w:szCs w:val="21"/>
              </w:rPr>
              <w:t>评标价：10</w:t>
            </w:r>
            <w:r>
              <w:rPr>
                <w:rFonts w:ascii="宋体" w:hAnsi="宋体"/>
                <w:szCs w:val="21"/>
              </w:rPr>
              <w:t>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2.2.2</w:t>
            </w:r>
          </w:p>
        </w:tc>
        <w:tc>
          <w:tcPr>
            <w:tcW w:w="1275" w:type="dxa"/>
            <w:gridSpan w:val="2"/>
            <w:vAlign w:val="center"/>
          </w:tcPr>
          <w:p>
            <w:pPr>
              <w:jc w:val="center"/>
              <w:rPr>
                <w:rFonts w:ascii="宋体" w:hAnsi="宋体" w:cs="宋体"/>
                <w:szCs w:val="21"/>
              </w:rPr>
            </w:pPr>
            <w:r>
              <w:rPr>
                <w:rFonts w:hint="eastAsia" w:ascii="宋体" w:hAnsi="宋体" w:cs="宋体"/>
                <w:szCs w:val="21"/>
              </w:rPr>
              <w:t>评标基准价计算方法</w:t>
            </w:r>
          </w:p>
        </w:tc>
        <w:tc>
          <w:tcPr>
            <w:tcW w:w="7571" w:type="dxa"/>
            <w:vAlign w:val="center"/>
          </w:tcPr>
          <w:p>
            <w:pPr>
              <w:spacing w:line="360" w:lineRule="exact"/>
              <w:rPr>
                <w:rFonts w:ascii="宋体" w:hAnsi="宋体"/>
                <w:szCs w:val="21"/>
              </w:rPr>
            </w:pPr>
            <w:r>
              <w:rPr>
                <w:rFonts w:hint="eastAsia" w:ascii="宋体" w:hAnsi="宋体"/>
                <w:szCs w:val="21"/>
              </w:rPr>
              <w:t>评标基准价的计算：</w:t>
            </w:r>
          </w:p>
          <w:p>
            <w:pPr>
              <w:spacing w:line="360" w:lineRule="exact"/>
              <w:rPr>
                <w:rFonts w:ascii="宋体" w:hAnsi="宋体"/>
                <w:szCs w:val="21"/>
              </w:rPr>
            </w:pPr>
            <w:r>
              <w:rPr>
                <w:rFonts w:hint="eastAsia" w:ascii="宋体" w:hAnsi="宋体"/>
                <w:szCs w:val="21"/>
              </w:rPr>
              <w:t>在开标现场，招标人将当场计算并宣布评标基准价</w:t>
            </w:r>
          </w:p>
          <w:p>
            <w:pPr>
              <w:spacing w:line="360" w:lineRule="exact"/>
              <w:ind w:firstLine="420" w:firstLineChars="200"/>
              <w:rPr>
                <w:rFonts w:ascii="宋体" w:hAnsi="宋体"/>
                <w:szCs w:val="21"/>
              </w:rPr>
            </w:pPr>
            <w:r>
              <w:rPr>
                <w:rFonts w:hint="eastAsia" w:ascii="宋体" w:hAnsi="宋体"/>
                <w:szCs w:val="21"/>
              </w:rPr>
              <w:t>(1)评标价的确定：</w:t>
            </w:r>
          </w:p>
          <w:p>
            <w:pPr>
              <w:spacing w:line="360" w:lineRule="exact"/>
              <w:ind w:firstLine="420" w:firstLineChars="200"/>
              <w:rPr>
                <w:rFonts w:ascii="宋体" w:hAnsi="宋体"/>
                <w:szCs w:val="21"/>
              </w:rPr>
            </w:pPr>
            <w:r>
              <w:rPr>
                <w:rFonts w:hint="eastAsia" w:ascii="宋体" w:hAnsi="宋体"/>
                <w:szCs w:val="21"/>
              </w:rPr>
              <w:t>评标价=投标函</w:t>
            </w:r>
            <w:r>
              <w:rPr>
                <w:rFonts w:hint="eastAsia" w:ascii="宋体" w:hAnsi="宋体"/>
                <w:spacing w:val="-4"/>
                <w:szCs w:val="21"/>
              </w:rPr>
              <w:t>文字报价</w:t>
            </w:r>
          </w:p>
          <w:p>
            <w:pPr>
              <w:spacing w:line="360" w:lineRule="exact"/>
              <w:ind w:firstLine="420" w:firstLineChars="200"/>
              <w:rPr>
                <w:rFonts w:ascii="宋体" w:hAnsi="宋体"/>
                <w:szCs w:val="21"/>
              </w:rPr>
            </w:pPr>
            <w:r>
              <w:rPr>
                <w:rFonts w:hint="eastAsia" w:ascii="宋体" w:hAnsi="宋体"/>
                <w:szCs w:val="21"/>
              </w:rPr>
              <w:t>(2) 评标价平均值的计算：</w:t>
            </w:r>
          </w:p>
          <w:p>
            <w:pPr>
              <w:spacing w:line="360" w:lineRule="exact"/>
              <w:ind w:firstLine="404" w:firstLineChars="200"/>
              <w:rPr>
                <w:rFonts w:ascii="宋体" w:hAnsi="宋体"/>
                <w:spacing w:val="-4"/>
                <w:szCs w:val="21"/>
              </w:rPr>
            </w:pPr>
            <w:r>
              <w:rPr>
                <w:rFonts w:hint="eastAsia" w:ascii="宋体" w:hAnsi="宋体"/>
                <w:spacing w:val="-4"/>
                <w:szCs w:val="21"/>
              </w:rPr>
              <w:t>除按第二章“投标人须知”第5.2.4项规定开标现场被宣布不再参加评标基准价计算的投标报价之外，评标价平均值为：</w:t>
            </w:r>
          </w:p>
          <w:p>
            <w:pPr>
              <w:spacing w:line="360" w:lineRule="exact"/>
              <w:ind w:firstLine="404" w:firstLineChars="200"/>
              <w:rPr>
                <w:rFonts w:ascii="宋体" w:hAnsi="宋体"/>
                <w:spacing w:val="-4"/>
                <w:szCs w:val="21"/>
              </w:rPr>
            </w:pPr>
            <w:r>
              <w:rPr>
                <w:rFonts w:hint="eastAsia" w:ascii="宋体" w:hAnsi="宋体"/>
                <w:spacing w:val="-4"/>
                <w:szCs w:val="21"/>
              </w:rPr>
              <w:t>a、如果参与评标基准价计算的投标人数量＜5家时，计算评标基准价时不去最高值和最低值。</w:t>
            </w:r>
          </w:p>
          <w:p>
            <w:pPr>
              <w:spacing w:line="360" w:lineRule="exact"/>
              <w:ind w:firstLine="404" w:firstLineChars="200"/>
              <w:rPr>
                <w:rFonts w:ascii="宋体" w:hAnsi="宋体"/>
                <w:spacing w:val="-4"/>
                <w:szCs w:val="21"/>
              </w:rPr>
            </w:pPr>
            <w:r>
              <w:rPr>
                <w:rFonts w:hint="eastAsia" w:ascii="宋体" w:hAnsi="宋体"/>
                <w:spacing w:val="-4"/>
                <w:szCs w:val="21"/>
              </w:rPr>
              <w:t>b、如果参与评标基准价计算的投标人数量≥5家且＜1</w:t>
            </w:r>
            <w:r>
              <w:rPr>
                <w:rFonts w:ascii="宋体" w:hAnsi="宋体"/>
                <w:spacing w:val="-4"/>
                <w:szCs w:val="21"/>
              </w:rPr>
              <w:t>0</w:t>
            </w:r>
            <w:r>
              <w:rPr>
                <w:rFonts w:hint="eastAsia" w:ascii="宋体" w:hAnsi="宋体"/>
                <w:spacing w:val="-4"/>
                <w:szCs w:val="21"/>
              </w:rPr>
              <w:t>家时，计算评标基准价时去掉1个最高值和1个最低值。</w:t>
            </w:r>
          </w:p>
          <w:p>
            <w:pPr>
              <w:spacing w:line="360" w:lineRule="exact"/>
              <w:ind w:firstLine="404" w:firstLineChars="200"/>
              <w:rPr>
                <w:rFonts w:ascii="宋体" w:hAnsi="宋体"/>
                <w:spacing w:val="-4"/>
                <w:szCs w:val="21"/>
              </w:rPr>
            </w:pPr>
            <w:r>
              <w:rPr>
                <w:rFonts w:ascii="宋体" w:hAnsi="宋体"/>
                <w:spacing w:val="-4"/>
                <w:szCs w:val="21"/>
              </w:rPr>
              <w:t>C</w:t>
            </w:r>
            <w:r>
              <w:rPr>
                <w:rFonts w:hint="eastAsia" w:ascii="宋体" w:hAnsi="宋体"/>
                <w:spacing w:val="-4"/>
                <w:szCs w:val="21"/>
              </w:rPr>
              <w:t>、如果参与评标基准价计算的投标人数量≥</w:t>
            </w:r>
            <w:r>
              <w:rPr>
                <w:rFonts w:ascii="宋体" w:hAnsi="宋体"/>
                <w:spacing w:val="-4"/>
                <w:szCs w:val="21"/>
              </w:rPr>
              <w:t>10</w:t>
            </w:r>
            <w:r>
              <w:rPr>
                <w:rFonts w:hint="eastAsia" w:ascii="宋体" w:hAnsi="宋体"/>
                <w:spacing w:val="-4"/>
                <w:szCs w:val="21"/>
              </w:rPr>
              <w:t>家且＜</w:t>
            </w:r>
            <w:r>
              <w:rPr>
                <w:rFonts w:ascii="宋体" w:hAnsi="宋体"/>
                <w:spacing w:val="-4"/>
                <w:szCs w:val="21"/>
              </w:rPr>
              <w:t>20</w:t>
            </w:r>
            <w:r>
              <w:rPr>
                <w:rFonts w:hint="eastAsia" w:ascii="宋体" w:hAnsi="宋体"/>
                <w:spacing w:val="-4"/>
                <w:szCs w:val="21"/>
              </w:rPr>
              <w:t>家时，计算评标基准价时去掉</w:t>
            </w:r>
            <w:r>
              <w:rPr>
                <w:rFonts w:ascii="宋体" w:hAnsi="宋体"/>
                <w:spacing w:val="-4"/>
                <w:szCs w:val="21"/>
              </w:rPr>
              <w:t>2</w:t>
            </w:r>
            <w:r>
              <w:rPr>
                <w:rFonts w:hint="eastAsia" w:ascii="宋体" w:hAnsi="宋体"/>
                <w:spacing w:val="-4"/>
                <w:szCs w:val="21"/>
              </w:rPr>
              <w:t>个最高值和</w:t>
            </w:r>
            <w:r>
              <w:rPr>
                <w:rFonts w:ascii="宋体" w:hAnsi="宋体"/>
                <w:spacing w:val="-4"/>
                <w:szCs w:val="21"/>
              </w:rPr>
              <w:t>2</w:t>
            </w:r>
            <w:r>
              <w:rPr>
                <w:rFonts w:hint="eastAsia" w:ascii="宋体" w:hAnsi="宋体"/>
                <w:spacing w:val="-4"/>
                <w:szCs w:val="21"/>
              </w:rPr>
              <w:t>个最低值。</w:t>
            </w:r>
          </w:p>
          <w:p>
            <w:pPr>
              <w:spacing w:line="360" w:lineRule="exact"/>
              <w:ind w:firstLine="404" w:firstLineChars="200"/>
              <w:rPr>
                <w:rFonts w:ascii="宋体" w:hAnsi="宋体"/>
                <w:spacing w:val="-4"/>
                <w:szCs w:val="21"/>
              </w:rPr>
            </w:pPr>
            <w:r>
              <w:rPr>
                <w:rFonts w:hint="eastAsia" w:ascii="宋体" w:hAnsi="宋体"/>
                <w:spacing w:val="-4"/>
                <w:szCs w:val="21"/>
              </w:rPr>
              <w:t>d、如果参与评标基准价计算的投标人数量≥</w:t>
            </w:r>
            <w:r>
              <w:rPr>
                <w:rFonts w:ascii="宋体" w:hAnsi="宋体"/>
                <w:spacing w:val="-4"/>
                <w:szCs w:val="21"/>
              </w:rPr>
              <w:t>20</w:t>
            </w:r>
            <w:r>
              <w:rPr>
                <w:rFonts w:hint="eastAsia" w:ascii="宋体" w:hAnsi="宋体"/>
                <w:spacing w:val="-4"/>
                <w:szCs w:val="21"/>
              </w:rPr>
              <w:t>家且＜</w:t>
            </w:r>
            <w:r>
              <w:rPr>
                <w:rFonts w:ascii="宋体" w:hAnsi="宋体"/>
                <w:spacing w:val="-4"/>
                <w:szCs w:val="21"/>
              </w:rPr>
              <w:t>30</w:t>
            </w:r>
            <w:r>
              <w:rPr>
                <w:rFonts w:hint="eastAsia" w:ascii="宋体" w:hAnsi="宋体"/>
                <w:spacing w:val="-4"/>
                <w:szCs w:val="21"/>
              </w:rPr>
              <w:t>家时，计算评标基准价时去掉</w:t>
            </w:r>
            <w:r>
              <w:rPr>
                <w:rFonts w:ascii="宋体" w:hAnsi="宋体"/>
                <w:spacing w:val="-4"/>
                <w:szCs w:val="21"/>
              </w:rPr>
              <w:t>3</w:t>
            </w:r>
            <w:r>
              <w:rPr>
                <w:rFonts w:hint="eastAsia" w:ascii="宋体" w:hAnsi="宋体"/>
                <w:spacing w:val="-4"/>
                <w:szCs w:val="21"/>
              </w:rPr>
              <w:t>个最高值和</w:t>
            </w:r>
            <w:r>
              <w:rPr>
                <w:rFonts w:ascii="宋体" w:hAnsi="宋体"/>
                <w:spacing w:val="-4"/>
                <w:szCs w:val="21"/>
              </w:rPr>
              <w:t>3</w:t>
            </w:r>
            <w:r>
              <w:rPr>
                <w:rFonts w:hint="eastAsia" w:ascii="宋体" w:hAnsi="宋体"/>
                <w:spacing w:val="-4"/>
                <w:szCs w:val="21"/>
              </w:rPr>
              <w:t>个最低值。</w:t>
            </w:r>
          </w:p>
          <w:p>
            <w:pPr>
              <w:spacing w:line="360" w:lineRule="exact"/>
              <w:ind w:firstLine="404" w:firstLineChars="200"/>
              <w:rPr>
                <w:rFonts w:ascii="宋体" w:hAnsi="宋体"/>
                <w:spacing w:val="-4"/>
                <w:szCs w:val="21"/>
              </w:rPr>
            </w:pPr>
            <w:r>
              <w:rPr>
                <w:rFonts w:hint="eastAsia" w:ascii="宋体" w:hAnsi="宋体"/>
                <w:spacing w:val="-4"/>
                <w:szCs w:val="21"/>
              </w:rPr>
              <w:t>e、如果参与评标基准价计算的投标人数量≥</w:t>
            </w:r>
            <w:r>
              <w:rPr>
                <w:rFonts w:ascii="宋体" w:hAnsi="宋体"/>
                <w:spacing w:val="-4"/>
                <w:szCs w:val="21"/>
              </w:rPr>
              <w:t>30</w:t>
            </w:r>
            <w:r>
              <w:rPr>
                <w:rFonts w:hint="eastAsia" w:ascii="宋体" w:hAnsi="宋体"/>
                <w:spacing w:val="-4"/>
                <w:szCs w:val="21"/>
              </w:rPr>
              <w:t>时，计算评标基准价时去掉</w:t>
            </w:r>
            <w:r>
              <w:rPr>
                <w:rFonts w:ascii="宋体" w:hAnsi="宋体"/>
                <w:spacing w:val="-4"/>
                <w:szCs w:val="21"/>
              </w:rPr>
              <w:t>5</w:t>
            </w:r>
            <w:r>
              <w:rPr>
                <w:rFonts w:hint="eastAsia" w:ascii="宋体" w:hAnsi="宋体"/>
                <w:spacing w:val="-4"/>
                <w:szCs w:val="21"/>
              </w:rPr>
              <w:t>个最高值和</w:t>
            </w:r>
            <w:r>
              <w:rPr>
                <w:rFonts w:ascii="宋体" w:hAnsi="宋体"/>
                <w:spacing w:val="-4"/>
                <w:szCs w:val="21"/>
              </w:rPr>
              <w:t>5</w:t>
            </w:r>
            <w:r>
              <w:rPr>
                <w:rFonts w:hint="eastAsia" w:ascii="宋体" w:hAnsi="宋体"/>
                <w:spacing w:val="-4"/>
                <w:szCs w:val="21"/>
              </w:rPr>
              <w:t>个最低值。</w:t>
            </w:r>
          </w:p>
          <w:p>
            <w:pPr>
              <w:spacing w:line="360" w:lineRule="exact"/>
              <w:ind w:firstLine="404" w:firstLineChars="200"/>
              <w:rPr>
                <w:rFonts w:ascii="宋体" w:hAnsi="宋体"/>
                <w:spacing w:val="-4"/>
                <w:szCs w:val="21"/>
              </w:rPr>
            </w:pPr>
            <w:r>
              <w:rPr>
                <w:rFonts w:hint="eastAsia" w:ascii="宋体" w:hAnsi="宋体"/>
                <w:spacing w:val="-4"/>
                <w:szCs w:val="21"/>
              </w:rPr>
              <w:t>（3）评标基准价的确定</w:t>
            </w:r>
          </w:p>
          <w:p>
            <w:pPr>
              <w:spacing w:line="360" w:lineRule="exact"/>
              <w:ind w:firstLine="404" w:firstLineChars="200"/>
              <w:rPr>
                <w:rFonts w:ascii="宋体" w:hAnsi="宋体"/>
                <w:szCs w:val="21"/>
              </w:rPr>
            </w:pPr>
            <w:r>
              <w:rPr>
                <w:rFonts w:hint="eastAsia" w:ascii="宋体" w:hAnsi="宋体"/>
                <w:spacing w:val="-4"/>
                <w:szCs w:val="21"/>
              </w:rPr>
              <w:t>将评标价平均值直接作为</w:t>
            </w:r>
            <w:r>
              <w:rPr>
                <w:rFonts w:hint="eastAsia" w:ascii="宋体" w:hAnsi="宋体"/>
                <w:szCs w:val="21"/>
              </w:rPr>
              <w:t>评标基准价（评标基准价保留小数点后两位，小数点后第三位四舍五入）。</w:t>
            </w:r>
          </w:p>
          <w:p>
            <w:pPr>
              <w:spacing w:line="360" w:lineRule="exact"/>
              <w:ind w:firstLine="420" w:firstLineChars="200"/>
              <w:rPr>
                <w:rFonts w:ascii="宋体" w:hAnsi="宋体" w:cs="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2.2.3</w:t>
            </w:r>
          </w:p>
        </w:tc>
        <w:tc>
          <w:tcPr>
            <w:tcW w:w="1275" w:type="dxa"/>
            <w:gridSpan w:val="2"/>
            <w:vAlign w:val="center"/>
          </w:tcPr>
          <w:p>
            <w:pPr>
              <w:rPr>
                <w:rFonts w:ascii="宋体" w:hAnsi="宋体"/>
                <w:szCs w:val="21"/>
              </w:rPr>
            </w:pPr>
            <w:r>
              <w:rPr>
                <w:rFonts w:hint="eastAsia" w:ascii="宋体" w:hAnsi="宋体"/>
                <w:szCs w:val="21"/>
              </w:rPr>
              <w:t>评标价的偏差率计算公式</w:t>
            </w:r>
          </w:p>
        </w:tc>
        <w:tc>
          <w:tcPr>
            <w:tcW w:w="7571" w:type="dxa"/>
            <w:vAlign w:val="center"/>
          </w:tcPr>
          <w:p>
            <w:pPr>
              <w:spacing w:line="360" w:lineRule="exact"/>
              <w:ind w:firstLine="420" w:firstLineChars="200"/>
              <w:rPr>
                <w:rFonts w:ascii="宋体" w:hAnsi="宋体"/>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2</w:t>
            </w:r>
            <w:r>
              <w:rPr>
                <w:rFonts w:ascii="宋体" w:hAnsi="宋体" w:cs="宋体"/>
                <w:szCs w:val="21"/>
              </w:rPr>
              <w:t>.2.4</w:t>
            </w:r>
          </w:p>
        </w:tc>
        <w:tc>
          <w:tcPr>
            <w:tcW w:w="1275" w:type="dxa"/>
            <w:gridSpan w:val="2"/>
            <w:vAlign w:val="center"/>
          </w:tcPr>
          <w:p>
            <w:pPr>
              <w:jc w:val="center"/>
              <w:rPr>
                <w:rFonts w:ascii="宋体" w:hAnsi="宋体"/>
                <w:szCs w:val="21"/>
              </w:rPr>
            </w:pPr>
            <w:r>
              <w:rPr>
                <w:rFonts w:hint="eastAsia" w:ascii="宋体" w:hAnsi="宋体"/>
                <w:szCs w:val="21"/>
              </w:rPr>
              <w:t>评标价</w:t>
            </w:r>
          </w:p>
          <w:p>
            <w:pPr>
              <w:jc w:val="center"/>
              <w:rPr>
                <w:rFonts w:ascii="宋体" w:hAnsi="宋体"/>
                <w:szCs w:val="21"/>
              </w:rPr>
            </w:pPr>
            <w:r>
              <w:rPr>
                <w:rFonts w:hint="eastAsia" w:ascii="宋体" w:hAnsi="宋体"/>
                <w:szCs w:val="21"/>
              </w:rPr>
              <w:t>（1</w:t>
            </w:r>
            <w:r>
              <w:rPr>
                <w:rFonts w:ascii="宋体" w:hAnsi="宋体"/>
                <w:szCs w:val="21"/>
              </w:rPr>
              <w:t>00</w:t>
            </w:r>
            <w:r>
              <w:rPr>
                <w:rFonts w:hint="eastAsia" w:ascii="宋体" w:hAnsi="宋体"/>
                <w:szCs w:val="21"/>
              </w:rPr>
              <w:t>分）</w:t>
            </w:r>
          </w:p>
        </w:tc>
        <w:tc>
          <w:tcPr>
            <w:tcW w:w="7571" w:type="dxa"/>
            <w:vAlign w:val="center"/>
          </w:tcPr>
          <w:p>
            <w:pPr>
              <w:spacing w:line="320" w:lineRule="exact"/>
              <w:rPr>
                <w:rFonts w:ascii="宋体" w:hAnsi="宋体"/>
                <w:szCs w:val="21"/>
              </w:rPr>
            </w:pPr>
            <w:r>
              <w:rPr>
                <w:rFonts w:hint="eastAsia" w:ascii="宋体" w:hAnsi="宋体"/>
                <w:szCs w:val="21"/>
              </w:rPr>
              <w:t>评标价得分计算公式示例：</w:t>
            </w:r>
          </w:p>
          <w:p>
            <w:pPr>
              <w:spacing w:line="320" w:lineRule="exact"/>
              <w:ind w:firstLine="420" w:firstLineChars="200"/>
              <w:rPr>
                <w:rFonts w:ascii="宋体" w:hAnsi="宋体"/>
                <w:szCs w:val="21"/>
              </w:rPr>
            </w:pPr>
            <w:r>
              <w:rPr>
                <w:rFonts w:hint="eastAsia" w:ascii="宋体" w:hAnsi="宋体"/>
                <w:szCs w:val="21"/>
              </w:rPr>
              <w:t>（1）如果投标人的评标价＞评标基准价，则评标价得分=F-偏差率×100×E1；</w:t>
            </w:r>
          </w:p>
          <w:p>
            <w:pPr>
              <w:spacing w:line="320" w:lineRule="exact"/>
              <w:ind w:firstLine="420" w:firstLineChars="200"/>
              <w:rPr>
                <w:rFonts w:ascii="宋体" w:hAnsi="宋体"/>
                <w:szCs w:val="21"/>
              </w:rPr>
            </w:pPr>
            <w:r>
              <w:rPr>
                <w:rFonts w:hint="eastAsia" w:ascii="宋体" w:hAnsi="宋体"/>
                <w:szCs w:val="21"/>
              </w:rPr>
              <w:t>（2）如果投标人的评标价≤评标基准价，则评标价得分=F+偏差率×100×E2。</w:t>
            </w:r>
          </w:p>
          <w:p>
            <w:pPr>
              <w:spacing w:line="320" w:lineRule="exact"/>
              <w:ind w:firstLine="420" w:firstLineChars="200"/>
              <w:rPr>
                <w:rFonts w:ascii="宋体" w:hAnsi="宋体"/>
                <w:szCs w:val="21"/>
              </w:rPr>
            </w:pPr>
            <w:r>
              <w:rPr>
                <w:rFonts w:hint="eastAsia" w:ascii="宋体" w:hAnsi="宋体"/>
                <w:szCs w:val="21"/>
              </w:rPr>
              <w:t>其中，F=1</w:t>
            </w:r>
            <w:r>
              <w:rPr>
                <w:rFonts w:ascii="宋体" w:hAnsi="宋体"/>
                <w:szCs w:val="21"/>
              </w:rPr>
              <w:t>0</w:t>
            </w:r>
            <w:r>
              <w:rPr>
                <w:rFonts w:hint="eastAsia" w:ascii="宋体" w:hAnsi="宋体"/>
                <w:szCs w:val="21"/>
              </w:rPr>
              <w:t>0；E1=2；E2=1；评标价最低得分为0分。</w:t>
            </w:r>
          </w:p>
          <w:p>
            <w:pPr>
              <w:spacing w:line="320" w:lineRule="exact"/>
              <w:rPr>
                <w:rFonts w:ascii="宋体" w:hAnsi="宋体"/>
                <w:szCs w:val="21"/>
              </w:rPr>
            </w:pPr>
            <w:r>
              <w:rPr>
                <w:rFonts w:hint="eastAsia" w:ascii="宋体" w:hAnsi="宋体" w:cs="宋体"/>
                <w:kern w:val="0"/>
                <w:szCs w:val="21"/>
              </w:rPr>
              <w:t>评标价得分</w:t>
            </w:r>
            <w:r>
              <w:rPr>
                <w:rFonts w:hint="eastAsia" w:ascii="宋体" w:hAnsi="宋体"/>
                <w:szCs w:val="21"/>
              </w:rPr>
              <w:t>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918" w:type="dxa"/>
            <w:gridSpan w:val="4"/>
            <w:vAlign w:val="center"/>
          </w:tcPr>
          <w:p>
            <w:pPr>
              <w:rPr>
                <w:rFonts w:ascii="宋体" w:hAnsi="宋体" w:cs="宋体"/>
                <w:szCs w:val="21"/>
              </w:rPr>
            </w:pPr>
            <w:r>
              <w:rPr>
                <w:rFonts w:hint="eastAsia" w:ascii="宋体" w:hAnsi="宋体" w:cs="宋体"/>
                <w:szCs w:val="21"/>
              </w:rPr>
              <w:t>需要补充的其他内容：无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gridSpan w:val="2"/>
            <w:vAlign w:val="center"/>
          </w:tcPr>
          <w:p>
            <w:pPr>
              <w:rPr>
                <w:rFonts w:ascii="宋体" w:hAnsi="宋体" w:cs="宋体"/>
                <w:szCs w:val="21"/>
              </w:rPr>
            </w:pPr>
            <w:r>
              <w:rPr>
                <w:rFonts w:hint="eastAsia" w:ascii="宋体" w:hAnsi="宋体" w:cs="宋体"/>
                <w:szCs w:val="21"/>
              </w:rPr>
              <w:t>3</w:t>
            </w:r>
            <w:r>
              <w:rPr>
                <w:rFonts w:ascii="宋体" w:hAnsi="宋体" w:cs="宋体"/>
                <w:szCs w:val="21"/>
              </w:rPr>
              <w:t xml:space="preserve">.5.1 </w:t>
            </w:r>
          </w:p>
        </w:tc>
        <w:tc>
          <w:tcPr>
            <w:tcW w:w="8838" w:type="dxa"/>
            <w:gridSpan w:val="2"/>
            <w:vAlign w:val="center"/>
          </w:tcPr>
          <w:p>
            <w:pPr>
              <w:adjustRightInd w:val="0"/>
              <w:snapToGrid w:val="0"/>
              <w:spacing w:line="300" w:lineRule="exact"/>
              <w:rPr>
                <w:rFonts w:ascii="宋体" w:hAnsi="宋体"/>
              </w:rPr>
            </w:pPr>
            <w:r>
              <w:rPr>
                <w:rFonts w:hint="eastAsia" w:ascii="宋体" w:hAnsi="宋体"/>
              </w:rPr>
              <w:t>在评标过程中，评标委员会应对以下信息进行查询：</w:t>
            </w:r>
          </w:p>
          <w:p>
            <w:pPr>
              <w:adjustRightInd w:val="0"/>
              <w:snapToGrid w:val="0"/>
              <w:spacing w:line="300" w:lineRule="exact"/>
              <w:rPr>
                <w:rFonts w:ascii="宋体" w:hAnsi="宋体" w:cs="宋体"/>
                <w:szCs w:val="21"/>
              </w:rPr>
            </w:pPr>
            <w:r>
              <w:rPr>
                <w:rFonts w:hint="eastAsia" w:ascii="宋体" w:hAnsi="宋体"/>
              </w:rPr>
              <w:t>评标委员会评标时应在“国家企业信用信息公示系统（http://www.gsxt.gov.cn/)”对投标人的信用情况进行查询，若投标人（不含分公司）存在被列入“严重违法失信企业名单”情形的，评标委员会应否决其投标。还应在“信用中国网站（http://www.creditchina.gov.cn/)”对投标人的信用情况进行查询，若投标人存在被列入“失信被执行人名单、企业经营异常情况名录、重大税收违法案件当事人名单、政府采购严重违法失信名单”情形的（均不含分公司），评标委员会应否决其投标。</w:t>
            </w:r>
            <w:r>
              <w:rPr>
                <w:rFonts w:hint="eastAsia" w:ascii="宋体" w:hAnsi="宋体"/>
                <w:szCs w:val="21"/>
              </w:rPr>
              <w:t>投标人应保证所附截图的真实性，如发现核查结果不一致则视为投标过程中的弄虚作假行为，按相关规定处理。</w:t>
            </w:r>
          </w:p>
        </w:tc>
      </w:tr>
    </w:tbl>
    <w:p>
      <w:pPr>
        <w:rPr>
          <w:rFonts w:ascii="宋体" w:hAnsi="宋体"/>
        </w:rPr>
      </w:pP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795E7E"/>
    <w:rsid w:val="00231EA8"/>
    <w:rsid w:val="005651BF"/>
    <w:rsid w:val="00795E7E"/>
    <w:rsid w:val="008E4FE1"/>
    <w:rsid w:val="00B8628B"/>
    <w:rsid w:val="00D72E48"/>
    <w:rsid w:val="62712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7"/>
    <w:qFormat/>
    <w:uiPriority w:val="0"/>
    <w:pPr>
      <w:keepNext/>
      <w:keepLines/>
      <w:spacing w:line="360" w:lineRule="auto"/>
      <w:outlineLvl w:val="2"/>
    </w:pPr>
    <w:rPr>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unhideWhenUsed/>
    <w:qFormat/>
    <w:uiPriority w:val="0"/>
    <w:pPr>
      <w:spacing w:after="120"/>
    </w:pPr>
  </w:style>
  <w:style w:type="character" w:customStyle="1" w:styleId="7">
    <w:name w:val="标题 3 字符"/>
    <w:basedOn w:val="6"/>
    <w:link w:val="4"/>
    <w:qFormat/>
    <w:uiPriority w:val="0"/>
    <w:rPr>
      <w:rFonts w:ascii="Times New Roman" w:hAnsi="Times New Roman" w:eastAsia="宋体" w:cs="Times New Roman"/>
      <w:b/>
      <w:bCs/>
      <w:sz w:val="24"/>
      <w:szCs w:val="32"/>
    </w:rPr>
  </w:style>
  <w:style w:type="character" w:customStyle="1" w:styleId="8">
    <w:name w:val="正文文本 字符"/>
    <w:basedOn w:val="6"/>
    <w:link w:val="2"/>
    <w:qFormat/>
    <w:uiPriority w:val="0"/>
    <w:rPr>
      <w:rFonts w:ascii="Times New Roman" w:hAnsi="Times New Roman" w:eastAsia="宋体" w:cs="Times New Roman"/>
      <w:szCs w:val="24"/>
    </w:rPr>
  </w:style>
  <w:style w:type="character" w:customStyle="1" w:styleId="9">
    <w:name w:val="标题 2 字符"/>
    <w:basedOn w:val="6"/>
    <w:link w:val="3"/>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5008</Words>
  <Characters>5475</Characters>
  <Lines>40</Lines>
  <Paragraphs>11</Paragraphs>
  <TotalTime>2</TotalTime>
  <ScaleCrop>false</ScaleCrop>
  <LinksUpToDate>false</LinksUpToDate>
  <CharactersWithSpaces>5504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2023-02-17T10:09:00Z</dcterms:created>
  <dc:creator>帆</dc:creator>
  <cp:lastModifiedBy>李</cp:lastModifiedBy>
  <cp:lastPrinted>2023-02-17T10:19:00Z</cp:lastPrinted>
  <dcterms:modified xsi:type="dcterms:W3CDTF">2023-02-18T00:55:19Z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095FE7F34B5F4828B1433994FD06E9BA</vt:lpwstr>
  </property>
</Properties>
</file>