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b/>
          <w:sz w:val="24"/>
          <w:highlight w:val="none"/>
        </w:rPr>
      </w:pPr>
      <w:bookmarkStart w:id="0" w:name="_Toc321927034"/>
      <w:bookmarkStart w:id="1" w:name="_Toc321926668"/>
      <w:bookmarkStart w:id="2" w:name="_Toc356504158"/>
      <w:bookmarkStart w:id="3" w:name="_Toc470776148"/>
      <w:bookmarkStart w:id="4" w:name="_Toc536788770"/>
      <w:bookmarkStart w:id="5" w:name="OLE_LINK2"/>
      <w:bookmarkStart w:id="15" w:name="_GoBack"/>
      <w:bookmarkEnd w:id="15"/>
      <w:r>
        <w:rPr>
          <w:rFonts w:hint="eastAsia" w:ascii="宋体" w:hAnsi="宋体"/>
          <w:b/>
          <w:sz w:val="24"/>
          <w:highlight w:val="none"/>
        </w:rPr>
        <w:t>附件1：</w:t>
      </w:r>
      <w:bookmarkEnd w:id="0"/>
      <w:bookmarkEnd w:id="1"/>
      <w:bookmarkEnd w:id="2"/>
      <w:bookmarkStart w:id="6" w:name="_Toc356504159"/>
      <w:r>
        <w:rPr>
          <w:rFonts w:hint="eastAsia" w:ascii="宋体" w:hAnsi="宋体"/>
          <w:b/>
          <w:sz w:val="24"/>
          <w:highlight w:val="none"/>
        </w:rPr>
        <w:t>资格审查要求</w:t>
      </w:r>
      <w:bookmarkEnd w:id="3"/>
      <w:bookmarkEnd w:id="4"/>
    </w:p>
    <w:p>
      <w:pPr>
        <w:pStyle w:val="9"/>
        <w:snapToGrid w:val="0"/>
        <w:spacing w:before="100" w:beforeAutospacing="1" w:after="100" w:afterAutospacing="1" w:line="240" w:lineRule="auto"/>
        <w:jc w:val="center"/>
        <w:rPr>
          <w:rFonts w:hint="eastAsia" w:ascii="宋体" w:hAnsi="宋体"/>
          <w:sz w:val="24"/>
          <w:szCs w:val="24"/>
          <w:highlight w:val="none"/>
        </w:rPr>
      </w:pPr>
      <w:bookmarkStart w:id="7" w:name="_Toc4963"/>
      <w:bookmarkStart w:id="8" w:name="_Toc536788771"/>
      <w:r>
        <w:rPr>
          <w:rFonts w:hint="eastAsia" w:ascii="宋体" w:hAnsi="宋体"/>
          <w:sz w:val="24"/>
          <w:szCs w:val="24"/>
          <w:highlight w:val="none"/>
        </w:rPr>
        <w:t>附录1  资</w:t>
      </w:r>
      <w:r>
        <w:rPr>
          <w:rFonts w:hint="eastAsia" w:ascii="宋体" w:hAnsi="宋体"/>
          <w:sz w:val="24"/>
          <w:szCs w:val="24"/>
          <w:highlight w:val="none"/>
          <w:lang w:val="en-US" w:eastAsia="zh-CN"/>
        </w:rPr>
        <w:t>格审查</w:t>
      </w:r>
      <w:r>
        <w:rPr>
          <w:rFonts w:hint="eastAsia" w:ascii="宋体" w:hAnsi="宋体"/>
          <w:sz w:val="24"/>
          <w:szCs w:val="24"/>
          <w:highlight w:val="none"/>
        </w:rPr>
        <w:t>条件（资</w:t>
      </w:r>
      <w:r>
        <w:rPr>
          <w:rFonts w:hint="eastAsia" w:ascii="宋体" w:hAnsi="宋体"/>
          <w:sz w:val="24"/>
          <w:szCs w:val="24"/>
          <w:highlight w:val="none"/>
          <w:lang w:val="en-US" w:eastAsia="zh-CN"/>
        </w:rPr>
        <w:t>质</w:t>
      </w:r>
      <w:r>
        <w:rPr>
          <w:rFonts w:hint="eastAsia" w:ascii="宋体" w:hAnsi="宋体"/>
          <w:sz w:val="24"/>
          <w:szCs w:val="24"/>
          <w:highlight w:val="none"/>
        </w:rPr>
        <w:t>最低要求）</w:t>
      </w:r>
      <w:bookmarkEnd w:id="7"/>
      <w:bookmarkEnd w:id="8"/>
    </w:p>
    <w:tbl>
      <w:tblPr>
        <w:tblStyle w:val="1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noWrap w:val="0"/>
            <w:vAlign w:val="center"/>
          </w:tcPr>
          <w:p>
            <w:pPr>
              <w:jc w:val="center"/>
              <w:rPr>
                <w:rFonts w:hint="eastAsia" w:ascii="宋体" w:hAnsi="宋体"/>
                <w:szCs w:val="21"/>
                <w:highlight w:val="none"/>
              </w:rPr>
            </w:pPr>
            <w:r>
              <w:rPr>
                <w:rFonts w:hint="eastAsia" w:ascii="宋体" w:hAnsi="宋体"/>
                <w:b/>
                <w:szCs w:val="21"/>
                <w:highlight w:val="none"/>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9" w:hRule="atLeast"/>
          <w:jc w:val="center"/>
        </w:trPr>
        <w:tc>
          <w:tcPr>
            <w:tcW w:w="8799" w:type="dxa"/>
            <w:noWrap w:val="0"/>
            <w:vAlign w:val="center"/>
          </w:tcPr>
          <w:p>
            <w:pPr>
              <w:adjustRightInd w:val="0"/>
              <w:snapToGrid w:val="0"/>
              <w:spacing w:line="276" w:lineRule="auto"/>
              <w:jc w:val="left"/>
              <w:rPr>
                <w:rFonts w:hint="eastAsia"/>
                <w:highlight w:val="none"/>
                <w:lang w:eastAsia="zh-CN"/>
              </w:rPr>
            </w:pPr>
            <w:r>
              <w:rPr>
                <w:rFonts w:hint="eastAsia"/>
                <w:highlight w:val="none"/>
              </w:rPr>
              <w:t>投标人应为独立法人或其他组织，持有有效的营业执照</w:t>
            </w:r>
            <w:r>
              <w:rPr>
                <w:rFonts w:hint="eastAsia"/>
                <w:highlight w:val="none"/>
                <w:lang w:eastAsia="zh-CN"/>
              </w:rPr>
              <w:t>；具备行业主管部门颁发的有效的税务师事务所</w:t>
            </w:r>
            <w:r>
              <w:rPr>
                <w:rFonts w:hint="eastAsia"/>
                <w:highlight w:val="none"/>
                <w:lang w:val="en-US" w:eastAsia="zh-CN"/>
              </w:rPr>
              <w:t>行政登记</w:t>
            </w:r>
            <w:r>
              <w:rPr>
                <w:rFonts w:hint="eastAsia"/>
                <w:highlight w:val="none"/>
                <w:lang w:eastAsia="zh-CN"/>
              </w:rPr>
              <w:t>证书。</w:t>
            </w:r>
          </w:p>
          <w:p>
            <w:pPr>
              <w:pStyle w:val="2"/>
              <w:ind w:left="0" w:leftChars="0" w:firstLine="0" w:firstLineChars="0"/>
              <w:rPr>
                <w:rFonts w:hint="eastAsia"/>
                <w:highlight w:val="none"/>
                <w:lang w:eastAsia="zh-CN"/>
              </w:rPr>
            </w:pPr>
            <w:r>
              <w:rPr>
                <w:rFonts w:hint="eastAsia"/>
                <w:sz w:val="21"/>
                <w:szCs w:val="21"/>
                <w:highlight w:val="none"/>
                <w:lang w:eastAsia="zh-CN"/>
              </w:rPr>
              <w:t>分公司（分所）参与投标的需提供总公司（总所）针对本次投标的授权</w:t>
            </w:r>
            <w:r>
              <w:rPr>
                <w:rFonts w:hint="eastAsia"/>
                <w:sz w:val="21"/>
                <w:szCs w:val="21"/>
                <w:highlight w:val="none"/>
                <w:lang w:val="en-US" w:eastAsia="zh-CN"/>
              </w:rPr>
              <w:t>书</w:t>
            </w:r>
            <w:r>
              <w:rPr>
                <w:rFonts w:hint="eastAsia"/>
                <w:sz w:val="21"/>
                <w:szCs w:val="21"/>
                <w:highlight w:val="none"/>
                <w:lang w:eastAsia="zh-CN"/>
              </w:rPr>
              <w:t>。</w:t>
            </w:r>
          </w:p>
        </w:tc>
      </w:tr>
    </w:tbl>
    <w:p>
      <w:pPr>
        <w:pStyle w:val="9"/>
        <w:spacing w:line="240" w:lineRule="auto"/>
        <w:jc w:val="center"/>
        <w:rPr>
          <w:rFonts w:hint="eastAsia" w:ascii="宋体"/>
          <w:sz w:val="24"/>
          <w:szCs w:val="24"/>
          <w:highlight w:val="none"/>
        </w:rPr>
      </w:pPr>
      <w:bookmarkStart w:id="9" w:name="_Toc18370"/>
      <w:bookmarkStart w:id="10" w:name="_Toc536788772"/>
      <w:r>
        <w:rPr>
          <w:rFonts w:hint="eastAsia" w:ascii="宋体"/>
          <w:sz w:val="24"/>
          <w:szCs w:val="24"/>
          <w:highlight w:val="none"/>
        </w:rPr>
        <w:t xml:space="preserve">附录2  </w:t>
      </w:r>
      <w:r>
        <w:rPr>
          <w:rFonts w:hint="eastAsia" w:ascii="宋体" w:hAnsi="宋体"/>
          <w:sz w:val="24"/>
          <w:szCs w:val="24"/>
          <w:highlight w:val="none"/>
        </w:rPr>
        <w:t>资</w:t>
      </w:r>
      <w:r>
        <w:rPr>
          <w:rFonts w:hint="eastAsia" w:ascii="宋体" w:hAnsi="宋体"/>
          <w:sz w:val="24"/>
          <w:szCs w:val="24"/>
          <w:highlight w:val="none"/>
          <w:lang w:val="en-US" w:eastAsia="zh-CN"/>
        </w:rPr>
        <w:t>格</w:t>
      </w:r>
      <w:r>
        <w:rPr>
          <w:rFonts w:hint="eastAsia" w:ascii="宋体"/>
          <w:sz w:val="24"/>
          <w:szCs w:val="24"/>
          <w:highlight w:val="none"/>
        </w:rPr>
        <w:t>审查条件（业绩最低要求）</w:t>
      </w:r>
      <w:bookmarkEnd w:id="9"/>
      <w:r>
        <w:rPr>
          <w:rFonts w:hint="eastAsia" w:ascii="宋体"/>
          <w:sz w:val="24"/>
          <w:szCs w:val="24"/>
          <w:highlight w:val="non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29" w:type="dxa"/>
            <w:noWrap w:val="0"/>
            <w:vAlign w:val="center"/>
          </w:tcPr>
          <w:p>
            <w:pPr>
              <w:jc w:val="center"/>
              <w:rPr>
                <w:rFonts w:hint="eastAsia" w:ascii="宋体"/>
                <w:szCs w:val="21"/>
                <w:highlight w:val="none"/>
              </w:rPr>
            </w:pPr>
            <w:r>
              <w:rPr>
                <w:rFonts w:hint="eastAsia" w:ascii="宋体" w:cs="宋体"/>
                <w:b/>
                <w:kern w:val="0"/>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29" w:type="dxa"/>
            <w:noWrap w:val="0"/>
            <w:vAlign w:val="center"/>
          </w:tcPr>
          <w:p>
            <w:pPr>
              <w:jc w:val="left"/>
              <w:rPr>
                <w:rFonts w:hint="default" w:ascii="宋体" w:eastAsia="宋体"/>
                <w:szCs w:val="21"/>
                <w:highlight w:val="none"/>
                <w:lang w:val="en-US" w:eastAsia="zh-CN"/>
              </w:rPr>
            </w:pPr>
            <w:r>
              <w:rPr>
                <w:rFonts w:hint="eastAsia" w:ascii="宋体"/>
                <w:szCs w:val="21"/>
                <w:highlight w:val="none"/>
              </w:rPr>
              <w:t>近</w:t>
            </w:r>
            <w:r>
              <w:rPr>
                <w:rFonts w:hint="eastAsia" w:ascii="宋体"/>
                <w:szCs w:val="21"/>
                <w:highlight w:val="none"/>
                <w:lang w:val="en-US" w:eastAsia="zh-CN"/>
              </w:rPr>
              <w:t>3</w:t>
            </w:r>
            <w:r>
              <w:rPr>
                <w:rFonts w:hint="eastAsia" w:ascii="宋体"/>
                <w:szCs w:val="21"/>
                <w:highlight w:val="none"/>
              </w:rPr>
              <w:t>年内(</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2月</w:t>
            </w:r>
            <w:r>
              <w:rPr>
                <w:rFonts w:hint="eastAsia" w:ascii="宋体" w:hAnsi="宋体"/>
                <w:szCs w:val="21"/>
                <w:highlight w:val="none"/>
              </w:rPr>
              <w:t>1日至今，以</w:t>
            </w:r>
            <w:r>
              <w:rPr>
                <w:rFonts w:hint="eastAsia" w:ascii="宋体" w:hAnsi="宋体"/>
                <w:caps/>
                <w:szCs w:val="21"/>
                <w:highlight w:val="none"/>
              </w:rPr>
              <w:t>合同协议书</w:t>
            </w:r>
            <w:r>
              <w:rPr>
                <w:rFonts w:hint="eastAsia" w:ascii="宋体" w:hAnsi="宋体" w:cs="楷体_GB2312"/>
                <w:szCs w:val="21"/>
                <w:highlight w:val="none"/>
                <w:lang w:eastAsia="zh-CN"/>
              </w:rPr>
              <w:t>（</w:t>
            </w:r>
            <w:r>
              <w:rPr>
                <w:rFonts w:hint="eastAsia" w:ascii="宋体" w:hAnsi="宋体" w:cs="楷体_GB2312"/>
                <w:szCs w:val="21"/>
                <w:highlight w:val="none"/>
                <w:lang w:val="en-US" w:eastAsia="zh-CN"/>
              </w:rPr>
              <w:t>或业务约定书</w:t>
            </w:r>
            <w:r>
              <w:rPr>
                <w:rFonts w:hint="eastAsia" w:ascii="宋体" w:hAnsi="宋体" w:cs="楷体_GB2312"/>
                <w:szCs w:val="21"/>
                <w:highlight w:val="none"/>
                <w:lang w:eastAsia="zh-CN"/>
              </w:rPr>
              <w:t>）</w:t>
            </w:r>
            <w:r>
              <w:rPr>
                <w:rFonts w:hint="eastAsia" w:ascii="宋体" w:hAnsi="宋体"/>
                <w:szCs w:val="21"/>
                <w:highlight w:val="none"/>
              </w:rPr>
              <w:t>签订时间为准</w:t>
            </w:r>
            <w:r>
              <w:rPr>
                <w:rFonts w:hint="eastAsia" w:ascii="宋体"/>
                <w:szCs w:val="21"/>
                <w:highlight w:val="none"/>
              </w:rPr>
              <w:t>）至少承担过一项企业汇算清缴税务审计业务。</w:t>
            </w:r>
          </w:p>
        </w:tc>
      </w:tr>
      <w:bookmarkEnd w:id="10"/>
    </w:tbl>
    <w:p>
      <w:pPr>
        <w:pStyle w:val="9"/>
        <w:spacing w:line="240" w:lineRule="auto"/>
        <w:jc w:val="center"/>
        <w:rPr>
          <w:rFonts w:hint="eastAsia" w:ascii="宋体" w:hAnsi="宋体"/>
          <w:highlight w:val="none"/>
        </w:rPr>
      </w:pPr>
      <w:bookmarkStart w:id="11" w:name="_Toc536788773"/>
      <w:bookmarkStart w:id="12" w:name="_Toc18367"/>
      <w:r>
        <w:rPr>
          <w:rFonts w:hint="eastAsia" w:ascii="宋体" w:hAnsi="宋体"/>
          <w:sz w:val="24"/>
          <w:szCs w:val="24"/>
          <w:highlight w:val="none"/>
        </w:rPr>
        <w:t>附录3  资</w:t>
      </w:r>
      <w:r>
        <w:rPr>
          <w:rFonts w:hint="eastAsia" w:ascii="宋体" w:hAnsi="宋体"/>
          <w:sz w:val="24"/>
          <w:szCs w:val="24"/>
          <w:highlight w:val="none"/>
          <w:lang w:val="en-US" w:eastAsia="zh-CN"/>
        </w:rPr>
        <w:t>格</w:t>
      </w:r>
      <w:r>
        <w:rPr>
          <w:rFonts w:hint="eastAsia" w:ascii="宋体" w:hAnsi="宋体"/>
          <w:sz w:val="24"/>
          <w:szCs w:val="24"/>
          <w:highlight w:val="none"/>
        </w:rPr>
        <w:t>审查条件（信誉最低要求）</w:t>
      </w:r>
      <w:bookmarkEnd w:id="11"/>
      <w:bookmarkEnd w:id="12"/>
      <w:r>
        <w:rPr>
          <w:rFonts w:hint="eastAsia" w:ascii="宋体" w:hAnsi="宋体"/>
          <w:sz w:val="24"/>
          <w:szCs w:val="24"/>
          <w:highlight w:val="none"/>
        </w:rPr>
        <w:t xml:space="preserve"> </w:t>
      </w:r>
      <w:r>
        <w:rPr>
          <w:rFonts w:hint="eastAsia" w:ascii="宋体" w:hAnsi="宋体"/>
          <w:b w:val="0"/>
          <w:sz w:val="24"/>
          <w:highlight w:val="non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18" w:type="dxa"/>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818" w:type="dxa"/>
            <w:vMerge w:val="restart"/>
            <w:noWrap w:val="0"/>
            <w:vAlign w:val="center"/>
          </w:tcPr>
          <w:p>
            <w:pPr>
              <w:adjustRightInd w:val="0"/>
              <w:snapToGrid w:val="0"/>
              <w:spacing w:line="276" w:lineRule="auto"/>
              <w:jc w:val="left"/>
              <w:rPr>
                <w:rFonts w:hint="eastAsia" w:ascii="宋体" w:hAnsi="宋体"/>
                <w:szCs w:val="21"/>
                <w:highlight w:val="none"/>
              </w:rPr>
            </w:pPr>
            <w:r>
              <w:rPr>
                <w:rFonts w:hint="eastAsia" w:ascii="宋体" w:hAnsi="宋体"/>
                <w:sz w:val="21"/>
                <w:szCs w:val="21"/>
                <w:highlight w:val="none"/>
              </w:rPr>
              <w:t>投标人在近1年（202</w:t>
            </w:r>
            <w:r>
              <w:rPr>
                <w:rFonts w:hint="eastAsia" w:ascii="宋体" w:hAnsi="宋体"/>
                <w:sz w:val="21"/>
                <w:szCs w:val="21"/>
                <w:highlight w:val="none"/>
                <w:lang w:val="en-US" w:eastAsia="zh-CN"/>
              </w:rPr>
              <w:t>2</w:t>
            </w:r>
            <w:r>
              <w:rPr>
                <w:rFonts w:hint="eastAsia" w:ascii="宋体" w:hAnsi="宋体"/>
                <w:sz w:val="21"/>
                <w:szCs w:val="21"/>
                <w:highlight w:val="none"/>
              </w:rPr>
              <w:t>年</w:t>
            </w:r>
            <w:r>
              <w:rPr>
                <w:rFonts w:hint="eastAsia" w:ascii="宋体" w:hAnsi="宋体"/>
                <w:sz w:val="21"/>
                <w:szCs w:val="21"/>
                <w:highlight w:val="none"/>
                <w:lang w:val="en-US" w:eastAsia="zh-CN"/>
              </w:rPr>
              <w:t>2月</w:t>
            </w:r>
            <w:r>
              <w:rPr>
                <w:rFonts w:hint="eastAsia" w:ascii="宋体" w:hAnsi="宋体"/>
                <w:sz w:val="21"/>
                <w:szCs w:val="21"/>
                <w:highlight w:val="none"/>
              </w:rPr>
              <w:t>1日至今）中不曾在</w:t>
            </w:r>
            <w:r>
              <w:rPr>
                <w:rFonts w:hint="eastAsia" w:ascii="宋体"/>
                <w:sz w:val="21"/>
                <w:szCs w:val="21"/>
                <w:highlight w:val="none"/>
              </w:rPr>
              <w:t>税务审计</w:t>
            </w:r>
            <w:r>
              <w:rPr>
                <w:rFonts w:hint="eastAsia" w:ascii="宋体" w:hAnsi="宋体"/>
                <w:sz w:val="21"/>
                <w:szCs w:val="21"/>
                <w:highlight w:val="none"/>
              </w:rPr>
              <w:t>合同中违约</w:t>
            </w:r>
            <w:r>
              <w:rPr>
                <w:rFonts w:hint="eastAsia" w:ascii="宋体" w:hAnsi="宋体"/>
                <w:sz w:val="21"/>
                <w:szCs w:val="21"/>
                <w:highlight w:val="none"/>
                <w:lang w:val="en-US" w:eastAsia="zh-CN"/>
              </w:rPr>
              <w:t>而</w:t>
            </w:r>
            <w:r>
              <w:rPr>
                <w:rFonts w:hint="eastAsia" w:ascii="宋体" w:hAnsi="宋体"/>
                <w:sz w:val="21"/>
                <w:szCs w:val="21"/>
                <w:highlight w:val="none"/>
              </w:rPr>
              <w:t>被逐或因投标人自身的原因而使税务审计合同被解除。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8" w:type="dxa"/>
            <w:vMerge w:val="continue"/>
            <w:noWrap w:val="0"/>
            <w:vAlign w:val="center"/>
          </w:tcPr>
          <w:p>
            <w:pPr>
              <w:rPr>
                <w:rFonts w:ascii="宋体" w:hAnsi="宋体"/>
                <w:highlight w:val="none"/>
              </w:rPr>
            </w:pPr>
          </w:p>
        </w:tc>
      </w:tr>
    </w:tbl>
    <w:p>
      <w:pPr>
        <w:rPr>
          <w:rFonts w:ascii="宋体" w:hAnsi="宋体"/>
          <w:b/>
          <w:sz w:val="24"/>
          <w:highlight w:val="none"/>
        </w:rPr>
      </w:pPr>
      <w:bookmarkStart w:id="13" w:name="_Toc470776154"/>
    </w:p>
    <w:p>
      <w:pPr>
        <w:adjustRightInd w:val="0"/>
        <w:snapToGrid w:val="0"/>
        <w:spacing w:line="360" w:lineRule="auto"/>
        <w:jc w:val="center"/>
        <w:rPr>
          <w:rFonts w:ascii="宋体" w:hAnsi="宋体"/>
          <w:b/>
          <w:sz w:val="24"/>
          <w:highlight w:val="none"/>
        </w:rPr>
      </w:pPr>
      <w:r>
        <w:rPr>
          <w:rFonts w:hint="eastAsia" w:ascii="宋体" w:hAnsi="宋体"/>
          <w:b/>
          <w:sz w:val="24"/>
          <w:highlight w:val="none"/>
        </w:rPr>
        <w:t xml:space="preserve">附录4 资格审查条件（项目负责人最低要求） </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3"/>
        <w:gridCol w:w="992"/>
        <w:gridCol w:w="6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383" w:type="dxa"/>
            <w:noWrap w:val="0"/>
            <w:vAlign w:val="center"/>
          </w:tcPr>
          <w:p>
            <w:pPr>
              <w:pStyle w:val="11"/>
              <w:spacing w:before="0" w:beforeAutospacing="0" w:after="0" w:afterAutospacing="0"/>
              <w:contextualSpacing/>
              <w:jc w:val="center"/>
              <w:rPr>
                <w:rFonts w:hAnsi="宋体"/>
                <w:color w:val="auto"/>
                <w:sz w:val="21"/>
                <w:szCs w:val="21"/>
                <w:highlight w:val="none"/>
              </w:rPr>
            </w:pPr>
            <w:r>
              <w:rPr>
                <w:rFonts w:hint="eastAsia" w:hAnsi="宋体"/>
                <w:color w:val="auto"/>
                <w:sz w:val="21"/>
                <w:szCs w:val="21"/>
                <w:highlight w:val="none"/>
              </w:rPr>
              <w:t>人   员</w:t>
            </w:r>
          </w:p>
        </w:tc>
        <w:tc>
          <w:tcPr>
            <w:tcW w:w="992" w:type="dxa"/>
            <w:noWrap w:val="0"/>
            <w:vAlign w:val="center"/>
          </w:tcPr>
          <w:p>
            <w:pPr>
              <w:pStyle w:val="11"/>
              <w:spacing w:before="0" w:beforeAutospacing="0" w:after="0" w:afterAutospacing="0"/>
              <w:contextualSpacing/>
              <w:jc w:val="center"/>
              <w:rPr>
                <w:rFonts w:hAnsi="宋体"/>
                <w:color w:val="auto"/>
                <w:sz w:val="21"/>
                <w:szCs w:val="21"/>
                <w:highlight w:val="none"/>
              </w:rPr>
            </w:pPr>
            <w:r>
              <w:rPr>
                <w:rFonts w:hint="eastAsia" w:hAnsi="宋体"/>
                <w:color w:val="auto"/>
                <w:sz w:val="21"/>
                <w:szCs w:val="21"/>
                <w:highlight w:val="none"/>
              </w:rPr>
              <w:t>数量</w:t>
            </w:r>
          </w:p>
        </w:tc>
        <w:tc>
          <w:tcPr>
            <w:tcW w:w="6452" w:type="dxa"/>
            <w:noWrap w:val="0"/>
            <w:vAlign w:val="center"/>
          </w:tcPr>
          <w:p>
            <w:pPr>
              <w:pStyle w:val="11"/>
              <w:spacing w:before="0" w:beforeAutospacing="0" w:after="0" w:afterAutospacing="0"/>
              <w:contextualSpacing/>
              <w:jc w:val="center"/>
              <w:rPr>
                <w:rFonts w:hAnsi="宋体"/>
                <w:color w:val="auto"/>
                <w:sz w:val="21"/>
                <w:szCs w:val="21"/>
                <w:highlight w:val="none"/>
              </w:rPr>
            </w:pPr>
            <w:r>
              <w:rPr>
                <w:rFonts w:hint="eastAsia" w:hAnsi="宋体"/>
                <w:color w:val="auto"/>
                <w:sz w:val="21"/>
                <w:szCs w:val="21"/>
                <w:highlight w:val="none"/>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1383" w:type="dxa"/>
            <w:noWrap w:val="0"/>
            <w:vAlign w:val="center"/>
          </w:tcPr>
          <w:p>
            <w:pPr>
              <w:jc w:val="center"/>
              <w:rPr>
                <w:rFonts w:ascii="宋体" w:hAnsi="宋体"/>
                <w:szCs w:val="21"/>
                <w:highlight w:val="none"/>
              </w:rPr>
            </w:pPr>
            <w:r>
              <w:rPr>
                <w:rFonts w:hint="eastAsia" w:ascii="宋体" w:hAnsi="宋体"/>
                <w:szCs w:val="21"/>
                <w:highlight w:val="none"/>
              </w:rPr>
              <w:t>项目负责人</w:t>
            </w:r>
          </w:p>
        </w:tc>
        <w:tc>
          <w:tcPr>
            <w:tcW w:w="992" w:type="dxa"/>
            <w:noWrap w:val="0"/>
            <w:vAlign w:val="center"/>
          </w:tcPr>
          <w:p>
            <w:pPr>
              <w:jc w:val="center"/>
              <w:rPr>
                <w:rFonts w:ascii="宋体" w:hAnsi="宋体"/>
                <w:szCs w:val="21"/>
                <w:highlight w:val="none"/>
              </w:rPr>
            </w:pPr>
            <w:r>
              <w:rPr>
                <w:rFonts w:hint="eastAsia" w:ascii="宋体" w:hAnsi="宋体"/>
                <w:szCs w:val="21"/>
                <w:highlight w:val="none"/>
              </w:rPr>
              <w:t>1</w:t>
            </w:r>
          </w:p>
        </w:tc>
        <w:tc>
          <w:tcPr>
            <w:tcW w:w="6452" w:type="dxa"/>
            <w:noWrap w:val="0"/>
            <w:vAlign w:val="center"/>
          </w:tcPr>
          <w:p>
            <w:pPr>
              <w:jc w:val="left"/>
              <w:rPr>
                <w:rFonts w:ascii="宋体" w:hAnsi="宋体"/>
                <w:szCs w:val="21"/>
                <w:highlight w:val="none"/>
              </w:rPr>
            </w:pPr>
            <w:r>
              <w:rPr>
                <w:rFonts w:hint="eastAsia" w:ascii="宋体" w:hAnsi="宋体"/>
                <w:szCs w:val="21"/>
                <w:highlight w:val="none"/>
              </w:rPr>
              <w:t>具备注册税务师资格。</w:t>
            </w:r>
          </w:p>
        </w:tc>
      </w:tr>
      <w:bookmarkEnd w:id="5"/>
      <w:bookmarkEnd w:id="6"/>
      <w:bookmarkEnd w:id="13"/>
    </w:tbl>
    <w:p>
      <w:pPr>
        <w:rPr>
          <w:rFonts w:hint="eastAsia" w:ascii="宋体" w:hAnsi="宋体"/>
          <w:highlight w:val="none"/>
        </w:rPr>
      </w:pPr>
    </w:p>
    <w:p>
      <w:pPr>
        <w:rPr>
          <w:rFonts w:hint="eastAsia" w:ascii="宋体" w:hAnsi="宋体"/>
          <w:highlight w:val="none"/>
        </w:rPr>
      </w:pPr>
    </w:p>
    <w:p>
      <w:pPr>
        <w:pStyle w:val="15"/>
        <w:spacing w:line="276" w:lineRule="auto"/>
        <w:jc w:val="both"/>
        <w:rPr>
          <w:rFonts w:ascii="宋体" w:hAnsi="宋体" w:eastAsia="宋体"/>
          <w:sz w:val="24"/>
          <w:szCs w:val="30"/>
          <w:highlight w:val="none"/>
        </w:rPr>
      </w:pPr>
      <w:r>
        <w:rPr>
          <w:rFonts w:ascii="宋体" w:hAnsi="宋体"/>
          <w:highlight w:val="none"/>
        </w:rPr>
        <w:br w:type="page"/>
      </w:r>
      <w:bookmarkStart w:id="14" w:name="_Toc17321"/>
      <w:r>
        <w:rPr>
          <w:rFonts w:ascii="宋体" w:hAnsi="宋体" w:eastAsia="宋体"/>
          <w:sz w:val="24"/>
          <w:szCs w:val="30"/>
          <w:highlight w:val="none"/>
        </w:rPr>
        <w:t>附件</w:t>
      </w:r>
      <w:r>
        <w:rPr>
          <w:rFonts w:hint="eastAsia" w:ascii="宋体" w:hAnsi="宋体" w:eastAsia="宋体"/>
          <w:sz w:val="24"/>
          <w:szCs w:val="30"/>
          <w:highlight w:val="none"/>
        </w:rPr>
        <w:t>2：评标办法前附表</w:t>
      </w:r>
      <w:bookmarkEnd w:id="14"/>
    </w:p>
    <w:tbl>
      <w:tblPr>
        <w:tblStyle w:val="12"/>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条款号</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条款名称</w:t>
            </w:r>
          </w:p>
        </w:tc>
        <w:tc>
          <w:tcPr>
            <w:tcW w:w="7250"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1</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评标办法</w:t>
            </w:r>
          </w:p>
        </w:tc>
        <w:tc>
          <w:tcPr>
            <w:tcW w:w="7250" w:type="dxa"/>
            <w:noWrap w:val="0"/>
            <w:vAlign w:val="center"/>
          </w:tcPr>
          <w:p>
            <w:pPr>
              <w:snapToGrid w:val="0"/>
              <w:spacing w:line="320" w:lineRule="exact"/>
              <w:ind w:firstLine="404" w:firstLineChars="200"/>
              <w:jc w:val="left"/>
              <w:rPr>
                <w:rFonts w:hint="eastAsia" w:ascii="宋体" w:hAnsi="宋体" w:cs="宋体"/>
                <w:spacing w:val="-4"/>
                <w:szCs w:val="21"/>
                <w:highlight w:val="none"/>
              </w:rPr>
            </w:pPr>
            <w:r>
              <w:rPr>
                <w:rFonts w:hint="eastAsia" w:ascii="宋体" w:hAnsi="宋体" w:cs="宋体"/>
                <w:spacing w:val="-4"/>
                <w:szCs w:val="21"/>
                <w:highlight w:val="none"/>
              </w:rPr>
              <w:t>本次评标采用综合</w:t>
            </w:r>
            <w:r>
              <w:rPr>
                <w:rFonts w:hint="eastAsia" w:ascii="宋体" w:hAnsi="宋体" w:cs="宋体"/>
                <w:spacing w:val="-4"/>
                <w:szCs w:val="21"/>
                <w:highlight w:val="none"/>
                <w:lang w:eastAsia="zh-CN"/>
              </w:rPr>
              <w:t>评分法</w:t>
            </w:r>
            <w:r>
              <w:rPr>
                <w:rFonts w:hint="eastAsia" w:ascii="宋体" w:hAnsi="宋体" w:cs="宋体"/>
                <w:spacing w:val="-4"/>
                <w:szCs w:val="21"/>
                <w:highlight w:val="none"/>
              </w:rPr>
              <w:t>，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pPr>
              <w:snapToGrid w:val="0"/>
              <w:spacing w:line="320" w:lineRule="exact"/>
              <w:ind w:left="205" w:leftChars="97" w:hanging="1"/>
              <w:jc w:val="left"/>
              <w:rPr>
                <w:rFonts w:hint="eastAsia" w:ascii="宋体" w:hAnsi="宋体" w:cs="宋体"/>
                <w:spacing w:val="-4"/>
                <w:szCs w:val="21"/>
                <w:highlight w:val="none"/>
              </w:rPr>
            </w:pPr>
            <w:r>
              <w:rPr>
                <w:rFonts w:hint="eastAsia" w:ascii="宋体" w:hAnsi="宋体" w:cs="宋体"/>
                <w:spacing w:val="-4"/>
                <w:szCs w:val="21"/>
                <w:highlight w:val="none"/>
              </w:rPr>
              <w:t>（1）评标价低的投标人优先；</w:t>
            </w:r>
          </w:p>
          <w:p>
            <w:pPr>
              <w:snapToGrid w:val="0"/>
              <w:spacing w:line="320" w:lineRule="exact"/>
              <w:ind w:left="205" w:leftChars="97" w:hanging="1"/>
              <w:jc w:val="left"/>
              <w:rPr>
                <w:rFonts w:hint="eastAsia" w:ascii="宋体" w:hAnsi="宋体" w:cs="宋体"/>
                <w:spacing w:val="-4"/>
                <w:szCs w:val="21"/>
                <w:highlight w:val="none"/>
              </w:rPr>
            </w:pPr>
            <w:r>
              <w:rPr>
                <w:rFonts w:hint="eastAsia" w:ascii="宋体" w:hAnsi="宋体" w:cs="宋体"/>
                <w:spacing w:val="-4"/>
                <w:szCs w:val="21"/>
                <w:highlight w:val="none"/>
              </w:rPr>
              <w:t>（2）</w:t>
            </w:r>
            <w:r>
              <w:rPr>
                <w:rFonts w:hint="eastAsia" w:ascii="宋体" w:hAnsi="宋体" w:cs="宋体"/>
                <w:spacing w:val="-4"/>
                <w:szCs w:val="21"/>
                <w:highlight w:val="none"/>
                <w:lang w:val="en-US" w:eastAsia="zh-CN"/>
              </w:rPr>
              <w:t>服务方案</w:t>
            </w:r>
            <w:r>
              <w:rPr>
                <w:rFonts w:hint="eastAsia" w:ascii="宋体" w:hAnsi="宋体" w:cs="宋体"/>
                <w:spacing w:val="-4"/>
                <w:szCs w:val="21"/>
                <w:highlight w:val="none"/>
              </w:rPr>
              <w:t>得分较高的投标人优先；</w:t>
            </w:r>
          </w:p>
          <w:p>
            <w:pPr>
              <w:snapToGrid w:val="0"/>
              <w:spacing w:line="320" w:lineRule="exact"/>
              <w:ind w:left="205" w:leftChars="97" w:hanging="1"/>
              <w:jc w:val="left"/>
              <w:rPr>
                <w:rFonts w:hint="eastAsia" w:ascii="宋体" w:hAnsi="宋体" w:cs="宋体"/>
                <w:spacing w:val="-4"/>
                <w:szCs w:val="21"/>
                <w:highlight w:val="none"/>
              </w:rPr>
            </w:pPr>
            <w:r>
              <w:rPr>
                <w:rFonts w:hint="eastAsia" w:ascii="宋体" w:hAnsi="宋体" w:cs="宋体"/>
                <w:spacing w:val="-4"/>
                <w:szCs w:val="21"/>
                <w:highlight w:val="none"/>
              </w:rPr>
              <w:t>（3）投标人近</w:t>
            </w:r>
            <w:r>
              <w:rPr>
                <w:rFonts w:hint="eastAsia" w:ascii="宋体" w:hAnsi="宋体" w:cs="宋体"/>
                <w:spacing w:val="-4"/>
                <w:szCs w:val="21"/>
                <w:highlight w:val="none"/>
                <w:lang w:val="en-US" w:eastAsia="zh-CN"/>
              </w:rPr>
              <w:t>3</w:t>
            </w:r>
            <w:r>
              <w:rPr>
                <w:rFonts w:hint="eastAsia" w:ascii="宋体" w:hAnsi="宋体" w:cs="宋体"/>
                <w:spacing w:val="-4"/>
                <w:szCs w:val="21"/>
                <w:highlight w:val="none"/>
              </w:rPr>
              <w:t>年内满足资格审查条件(业绩最低条件)要求的业绩累计合同金额高的优先。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2.1.1</w:t>
            </w:r>
          </w:p>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2.1.3</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形式评审与响应性评审标准</w:t>
            </w:r>
          </w:p>
        </w:tc>
        <w:tc>
          <w:tcPr>
            <w:tcW w:w="7250" w:type="dxa"/>
            <w:noWrap w:val="0"/>
            <w:vAlign w:val="top"/>
          </w:tcPr>
          <w:p>
            <w:pPr>
              <w:tabs>
                <w:tab w:val="left" w:pos="3060"/>
              </w:tabs>
              <w:snapToGrid w:val="0"/>
              <w:spacing w:line="320" w:lineRule="exact"/>
              <w:rPr>
                <w:rFonts w:hint="eastAsia"/>
                <w:highlight w:val="none"/>
              </w:rPr>
            </w:pPr>
            <w:r>
              <w:rPr>
                <w:rFonts w:hint="eastAsia"/>
                <w:highlight w:val="none"/>
              </w:rPr>
              <w:t>第一个信封（商务及技术文件）评审标准:</w:t>
            </w:r>
          </w:p>
          <w:p>
            <w:pPr>
              <w:tabs>
                <w:tab w:val="left" w:pos="3060"/>
              </w:tabs>
              <w:snapToGrid w:val="0"/>
              <w:spacing w:line="320" w:lineRule="exact"/>
              <w:ind w:firstLine="210" w:firstLineChars="100"/>
              <w:rPr>
                <w:rFonts w:hint="eastAsia"/>
                <w:highlight w:val="none"/>
              </w:rPr>
            </w:pPr>
            <w:r>
              <w:rPr>
                <w:rFonts w:hint="eastAsia"/>
                <w:highlight w:val="none"/>
              </w:rPr>
              <w:t>（1）投标文件按照招标文件规定的格式、内容填写，字迹清晰可辨：</w:t>
            </w:r>
          </w:p>
          <w:p>
            <w:pPr>
              <w:tabs>
                <w:tab w:val="left" w:pos="3060"/>
              </w:tabs>
              <w:snapToGrid w:val="0"/>
              <w:spacing w:line="320" w:lineRule="exact"/>
              <w:ind w:firstLine="210" w:firstLineChars="100"/>
              <w:rPr>
                <w:rFonts w:hint="eastAsia"/>
                <w:highlight w:val="none"/>
              </w:rPr>
            </w:pPr>
            <w:r>
              <w:rPr>
                <w:rFonts w:hint="eastAsia"/>
                <w:highlight w:val="none"/>
              </w:rPr>
              <w:t>a.投标函按招标文件规定填报了项目名称、</w:t>
            </w:r>
            <w:r>
              <w:rPr>
                <w:rFonts w:hint="eastAsia"/>
                <w:highlight w:val="none"/>
                <w:lang w:val="en-US" w:eastAsia="zh-CN"/>
              </w:rPr>
              <w:t>补遗书编号（如有）、服务标准</w:t>
            </w:r>
            <w:r>
              <w:rPr>
                <w:rFonts w:hint="eastAsia"/>
                <w:highlight w:val="none"/>
              </w:rPr>
              <w:t>、服务期限及项目负责人信息；</w:t>
            </w:r>
          </w:p>
          <w:p>
            <w:pPr>
              <w:tabs>
                <w:tab w:val="left" w:pos="3060"/>
              </w:tabs>
              <w:snapToGrid w:val="0"/>
              <w:spacing w:line="320" w:lineRule="exact"/>
              <w:ind w:firstLine="210" w:firstLineChars="100"/>
              <w:rPr>
                <w:rFonts w:hint="eastAsia"/>
                <w:highlight w:val="none"/>
              </w:rPr>
            </w:pPr>
            <w:r>
              <w:rPr>
                <w:rFonts w:hint="eastAsia"/>
                <w:highlight w:val="none"/>
              </w:rPr>
              <w:t>b.投标文件组成齐全完整，内容均按规定填写。</w:t>
            </w:r>
          </w:p>
          <w:p>
            <w:pPr>
              <w:tabs>
                <w:tab w:val="left" w:pos="3060"/>
              </w:tabs>
              <w:snapToGrid w:val="0"/>
              <w:spacing w:line="320" w:lineRule="exact"/>
              <w:ind w:firstLine="210" w:firstLineChars="100"/>
              <w:rPr>
                <w:rFonts w:hint="eastAsia"/>
                <w:highlight w:val="none"/>
              </w:rPr>
            </w:pPr>
            <w:r>
              <w:rPr>
                <w:rFonts w:hint="eastAsia"/>
                <w:highlight w:val="none"/>
              </w:rPr>
              <w:t>（2）投标文件上法定代表人或其授权代理人的签字、投标人的单位章盖章齐全，符合招标文件规定。</w:t>
            </w:r>
          </w:p>
          <w:p>
            <w:pPr>
              <w:tabs>
                <w:tab w:val="left" w:pos="3060"/>
              </w:tabs>
              <w:snapToGrid w:val="0"/>
              <w:spacing w:line="320" w:lineRule="exact"/>
              <w:ind w:firstLine="210" w:firstLineChars="100"/>
              <w:rPr>
                <w:rFonts w:hint="eastAsia"/>
                <w:highlight w:val="none"/>
              </w:rPr>
            </w:pPr>
            <w:r>
              <w:rPr>
                <w:rFonts w:hint="eastAsia"/>
                <w:highlight w:val="none"/>
              </w:rPr>
              <w:t>（3）投标人按照招标文件的规定提供了投标保证金：</w:t>
            </w:r>
          </w:p>
          <w:p>
            <w:pPr>
              <w:tabs>
                <w:tab w:val="left" w:pos="3060"/>
              </w:tabs>
              <w:snapToGrid w:val="0"/>
              <w:spacing w:line="320" w:lineRule="exact"/>
              <w:ind w:firstLine="210" w:firstLineChars="100"/>
              <w:rPr>
                <w:rFonts w:hint="eastAsia"/>
                <w:highlight w:val="none"/>
              </w:rPr>
            </w:pPr>
            <w:r>
              <w:rPr>
                <w:rFonts w:hint="eastAsia"/>
                <w:highlight w:val="none"/>
              </w:rPr>
              <w:t>a.投标保证金金额符合招标文件规定的金额，且投标保证金有效期不少于投标有效期；</w:t>
            </w:r>
          </w:p>
          <w:p>
            <w:pPr>
              <w:tabs>
                <w:tab w:val="left" w:pos="3060"/>
              </w:tabs>
              <w:snapToGrid w:val="0"/>
              <w:spacing w:line="320" w:lineRule="exact"/>
              <w:ind w:firstLine="210" w:firstLineChars="100"/>
              <w:rPr>
                <w:rFonts w:hint="eastAsia"/>
                <w:highlight w:val="none"/>
              </w:rPr>
            </w:pPr>
            <w:r>
              <w:rPr>
                <w:rFonts w:hint="eastAsia"/>
                <w:highlight w:val="none"/>
              </w:rPr>
              <w:t>b.若投标保证金采用电汇或转账形式提交，投标人应在递交投标文件截止时间之前，将投标保证金由投标人的基本账户转入招标人指定账户；</w:t>
            </w:r>
          </w:p>
          <w:p>
            <w:pPr>
              <w:tabs>
                <w:tab w:val="left" w:pos="3060"/>
              </w:tabs>
              <w:snapToGrid w:val="0"/>
              <w:spacing w:line="320" w:lineRule="exact"/>
              <w:ind w:firstLine="210" w:firstLineChars="100"/>
              <w:rPr>
                <w:rFonts w:hint="eastAsia"/>
                <w:highlight w:val="none"/>
              </w:rPr>
            </w:pPr>
            <w:r>
              <w:rPr>
                <w:rFonts w:hint="eastAsia"/>
                <w:highlight w:val="none"/>
              </w:rPr>
              <w:t>c.若投标保证金采用银行保函形式提交，银行保函的格式、开具保函的银行均满足招标文件要求，且在递交投标文件截止时间之前向招标人提交了银行保函原件。</w:t>
            </w:r>
          </w:p>
          <w:p>
            <w:pPr>
              <w:tabs>
                <w:tab w:val="left" w:pos="3060"/>
              </w:tabs>
              <w:snapToGrid w:val="0"/>
              <w:spacing w:line="320" w:lineRule="exact"/>
              <w:ind w:firstLine="210" w:firstLineChars="100"/>
              <w:rPr>
                <w:rFonts w:hint="eastAsia"/>
                <w:highlight w:val="none"/>
              </w:rPr>
            </w:pPr>
            <w:r>
              <w:rPr>
                <w:rFonts w:hint="eastAsia"/>
                <w:highlight w:val="none"/>
              </w:rPr>
              <w:t>（4）投标人法定代表人授权委托代理人签署投标文件的，须提交授权委托书，授权委托书的签字盖章符合招标文件规定，授权委托书只能授权给一名委托代理人。</w:t>
            </w:r>
          </w:p>
          <w:p>
            <w:pPr>
              <w:tabs>
                <w:tab w:val="left" w:pos="3060"/>
              </w:tabs>
              <w:snapToGrid w:val="0"/>
              <w:spacing w:line="320" w:lineRule="exact"/>
              <w:ind w:firstLine="210" w:firstLineChars="100"/>
              <w:rPr>
                <w:rFonts w:hint="eastAsia"/>
                <w:highlight w:val="none"/>
              </w:rPr>
            </w:pPr>
            <w:r>
              <w:rPr>
                <w:rFonts w:hint="eastAsia"/>
                <w:highlight w:val="none"/>
              </w:rPr>
              <w:t>（5）投标人法定代表人亲自签署投标文件的，提供了法定代表人身份证明，法定代表人身份证明的签字盖章符合招标文件规定。</w:t>
            </w:r>
          </w:p>
          <w:p>
            <w:pPr>
              <w:tabs>
                <w:tab w:val="left" w:pos="3060"/>
              </w:tabs>
              <w:snapToGrid w:val="0"/>
              <w:spacing w:line="320" w:lineRule="exact"/>
              <w:ind w:firstLine="210" w:firstLineChars="100"/>
              <w:rPr>
                <w:rFonts w:hint="eastAsia"/>
                <w:highlight w:val="none"/>
              </w:rPr>
            </w:pPr>
            <w:r>
              <w:rPr>
                <w:rFonts w:hint="eastAsia"/>
                <w:highlight w:val="none"/>
              </w:rPr>
              <w:t>（6）投标人未以联合体形式投标。</w:t>
            </w:r>
          </w:p>
          <w:p>
            <w:pPr>
              <w:tabs>
                <w:tab w:val="left" w:pos="3060"/>
              </w:tabs>
              <w:snapToGrid w:val="0"/>
              <w:spacing w:line="320" w:lineRule="exact"/>
              <w:ind w:firstLine="210" w:firstLineChars="100"/>
              <w:rPr>
                <w:rFonts w:hint="eastAsia"/>
                <w:highlight w:val="none"/>
              </w:rPr>
            </w:pPr>
            <w:r>
              <w:rPr>
                <w:rFonts w:hint="eastAsia"/>
                <w:highlight w:val="none"/>
              </w:rPr>
              <w:t>（7）投标人未对本项目提出分包计划。</w:t>
            </w:r>
          </w:p>
          <w:p>
            <w:pPr>
              <w:tabs>
                <w:tab w:val="left" w:pos="3060"/>
              </w:tabs>
              <w:snapToGrid w:val="0"/>
              <w:spacing w:line="320" w:lineRule="exact"/>
              <w:ind w:firstLine="210" w:firstLineChars="100"/>
              <w:rPr>
                <w:rFonts w:hint="eastAsia"/>
                <w:highlight w:val="none"/>
              </w:rPr>
            </w:pPr>
            <w:r>
              <w:rPr>
                <w:rFonts w:hint="eastAsia"/>
                <w:highlight w:val="none"/>
              </w:rPr>
              <w:t>（8）同一投标人未提交两个以上不同的投标文件。</w:t>
            </w:r>
          </w:p>
          <w:p>
            <w:pPr>
              <w:tabs>
                <w:tab w:val="left" w:pos="3060"/>
              </w:tabs>
              <w:snapToGrid w:val="0"/>
              <w:spacing w:line="320" w:lineRule="exact"/>
              <w:ind w:firstLine="210" w:firstLineChars="100"/>
              <w:rPr>
                <w:rFonts w:hint="eastAsia"/>
                <w:highlight w:val="none"/>
              </w:rPr>
            </w:pPr>
            <w:r>
              <w:rPr>
                <w:rFonts w:hint="eastAsia"/>
                <w:highlight w:val="none"/>
              </w:rPr>
              <w:t>（9）投标文件第一信封中未出现有关投标报价的内容。</w:t>
            </w:r>
          </w:p>
          <w:p>
            <w:pPr>
              <w:tabs>
                <w:tab w:val="left" w:pos="3060"/>
              </w:tabs>
              <w:snapToGrid w:val="0"/>
              <w:spacing w:line="320" w:lineRule="exact"/>
              <w:ind w:firstLine="210" w:firstLineChars="100"/>
              <w:rPr>
                <w:rFonts w:hint="eastAsia"/>
                <w:highlight w:val="none"/>
              </w:rPr>
            </w:pPr>
            <w:r>
              <w:rPr>
                <w:rFonts w:hint="eastAsia"/>
                <w:highlight w:val="none"/>
              </w:rPr>
              <w:t>（10）投标文件载明的招标项目完成期限未超过招标文件规定的时限。</w:t>
            </w:r>
          </w:p>
          <w:p>
            <w:pPr>
              <w:tabs>
                <w:tab w:val="left" w:pos="3060"/>
              </w:tabs>
              <w:snapToGrid w:val="0"/>
              <w:spacing w:line="320" w:lineRule="exact"/>
              <w:ind w:firstLine="210" w:firstLineChars="100"/>
              <w:rPr>
                <w:rFonts w:hint="eastAsia"/>
                <w:highlight w:val="none"/>
              </w:rPr>
            </w:pPr>
            <w:r>
              <w:rPr>
                <w:rFonts w:hint="eastAsia"/>
                <w:highlight w:val="none"/>
              </w:rPr>
              <w:t>（11）投标文件对招标文件的实质性要求和条件作出响应。</w:t>
            </w:r>
          </w:p>
          <w:p>
            <w:pPr>
              <w:tabs>
                <w:tab w:val="left" w:pos="3060"/>
              </w:tabs>
              <w:snapToGrid w:val="0"/>
              <w:spacing w:line="320" w:lineRule="exact"/>
              <w:ind w:firstLine="210" w:firstLineChars="100"/>
              <w:rPr>
                <w:rFonts w:hint="eastAsia"/>
                <w:highlight w:val="none"/>
              </w:rPr>
            </w:pPr>
            <w:r>
              <w:rPr>
                <w:rFonts w:hint="eastAsia"/>
                <w:highlight w:val="none"/>
              </w:rPr>
              <w:t>（12）权利义务符合招标文件规定：</w:t>
            </w:r>
          </w:p>
          <w:p>
            <w:pPr>
              <w:tabs>
                <w:tab w:val="left" w:pos="3060"/>
              </w:tabs>
              <w:snapToGrid w:val="0"/>
              <w:spacing w:line="320" w:lineRule="exact"/>
              <w:ind w:firstLine="210" w:firstLineChars="100"/>
              <w:rPr>
                <w:rFonts w:hint="eastAsia"/>
                <w:highlight w:val="none"/>
              </w:rPr>
            </w:pPr>
            <w:r>
              <w:rPr>
                <w:rFonts w:hint="eastAsia"/>
                <w:highlight w:val="none"/>
              </w:rPr>
              <w:t>a.投标人应接受招标文件规定的风险划分原则，未提出新的风险划分办法；</w:t>
            </w:r>
          </w:p>
          <w:p>
            <w:pPr>
              <w:tabs>
                <w:tab w:val="left" w:pos="3060"/>
              </w:tabs>
              <w:snapToGrid w:val="0"/>
              <w:spacing w:line="320" w:lineRule="exact"/>
              <w:ind w:firstLine="210" w:firstLineChars="100"/>
              <w:rPr>
                <w:rFonts w:hint="eastAsia"/>
                <w:highlight w:val="none"/>
              </w:rPr>
            </w:pPr>
            <w:r>
              <w:rPr>
                <w:rFonts w:hint="eastAsia"/>
                <w:highlight w:val="none"/>
              </w:rPr>
              <w:t>b.投标人未增加招标人的责任范围，或减少投标人义务；</w:t>
            </w:r>
          </w:p>
          <w:p>
            <w:pPr>
              <w:tabs>
                <w:tab w:val="left" w:pos="3060"/>
              </w:tabs>
              <w:snapToGrid w:val="0"/>
              <w:spacing w:line="320" w:lineRule="exact"/>
              <w:ind w:firstLine="210" w:firstLineChars="100"/>
              <w:rPr>
                <w:rFonts w:hint="eastAsia"/>
                <w:highlight w:val="none"/>
              </w:rPr>
            </w:pPr>
            <w:r>
              <w:rPr>
                <w:rFonts w:hint="eastAsia"/>
                <w:highlight w:val="none"/>
              </w:rPr>
              <w:t>c.投标人未提出不同的支付办法；</w:t>
            </w:r>
          </w:p>
          <w:p>
            <w:pPr>
              <w:tabs>
                <w:tab w:val="left" w:pos="3060"/>
              </w:tabs>
              <w:snapToGrid w:val="0"/>
              <w:spacing w:line="320" w:lineRule="exact"/>
              <w:ind w:firstLine="210" w:firstLineChars="100"/>
              <w:rPr>
                <w:rFonts w:hint="eastAsia"/>
                <w:highlight w:val="none"/>
              </w:rPr>
            </w:pPr>
            <w:r>
              <w:rPr>
                <w:rFonts w:hint="eastAsia"/>
                <w:highlight w:val="none"/>
              </w:rPr>
              <w:t>d.投标人对合同纠纷、事故处理办法未提出异议；</w:t>
            </w:r>
          </w:p>
          <w:p>
            <w:pPr>
              <w:tabs>
                <w:tab w:val="left" w:pos="3060"/>
              </w:tabs>
              <w:snapToGrid w:val="0"/>
              <w:spacing w:line="320" w:lineRule="exact"/>
              <w:ind w:firstLine="210" w:firstLineChars="100"/>
              <w:rPr>
                <w:rFonts w:hint="eastAsia"/>
                <w:highlight w:val="none"/>
              </w:rPr>
            </w:pPr>
            <w:r>
              <w:rPr>
                <w:rFonts w:hint="eastAsia"/>
                <w:highlight w:val="none"/>
              </w:rPr>
              <w:t>e.投标人在投标活动中无欺诈行为；</w:t>
            </w:r>
          </w:p>
          <w:p>
            <w:pPr>
              <w:tabs>
                <w:tab w:val="left" w:pos="3060"/>
              </w:tabs>
              <w:snapToGrid w:val="0"/>
              <w:spacing w:line="320" w:lineRule="exact"/>
              <w:ind w:firstLine="210" w:firstLineChars="100"/>
              <w:rPr>
                <w:rFonts w:hint="eastAsia"/>
                <w:highlight w:val="none"/>
              </w:rPr>
            </w:pPr>
            <w:r>
              <w:rPr>
                <w:rFonts w:hint="eastAsia"/>
                <w:highlight w:val="none"/>
              </w:rPr>
              <w:t>f.投标人未对合同条款有重要保留。</w:t>
            </w:r>
          </w:p>
          <w:p>
            <w:pPr>
              <w:tabs>
                <w:tab w:val="left" w:pos="3060"/>
              </w:tabs>
              <w:snapToGrid w:val="0"/>
              <w:spacing w:line="320" w:lineRule="exact"/>
              <w:rPr>
                <w:rFonts w:hint="eastAsia"/>
                <w:highlight w:val="none"/>
              </w:rPr>
            </w:pPr>
            <w:r>
              <w:rPr>
                <w:rFonts w:hint="eastAsia"/>
                <w:highlight w:val="none"/>
              </w:rPr>
              <w:t>第二个信封（报价文件）评审标准：</w:t>
            </w:r>
          </w:p>
          <w:p>
            <w:pPr>
              <w:tabs>
                <w:tab w:val="left" w:pos="3060"/>
              </w:tabs>
              <w:snapToGrid w:val="0"/>
              <w:spacing w:line="320" w:lineRule="exact"/>
              <w:ind w:firstLine="205" w:firstLineChars="98"/>
              <w:rPr>
                <w:rFonts w:hint="eastAsia"/>
                <w:highlight w:val="none"/>
              </w:rPr>
            </w:pPr>
            <w:r>
              <w:rPr>
                <w:rFonts w:hint="eastAsia"/>
                <w:highlight w:val="none"/>
              </w:rPr>
              <w:t>（1）投标文件按照招标文件规定的格式、内容填写，字迹清晰可辨：</w:t>
            </w:r>
          </w:p>
          <w:p>
            <w:pPr>
              <w:tabs>
                <w:tab w:val="left" w:pos="3060"/>
              </w:tabs>
              <w:snapToGrid w:val="0"/>
              <w:spacing w:line="320" w:lineRule="exact"/>
              <w:ind w:firstLine="415" w:firstLineChars="198"/>
              <w:rPr>
                <w:rFonts w:hint="eastAsia"/>
                <w:highlight w:val="none"/>
              </w:rPr>
            </w:pPr>
            <w:r>
              <w:rPr>
                <w:rFonts w:hint="eastAsia"/>
                <w:highlight w:val="none"/>
              </w:rPr>
              <w:t>a.投标函按招标文件规定填报了项目名称、投标价（包括大写金额和小写金额）；</w:t>
            </w:r>
          </w:p>
          <w:p>
            <w:pPr>
              <w:tabs>
                <w:tab w:val="left" w:pos="3060"/>
              </w:tabs>
              <w:snapToGrid w:val="0"/>
              <w:spacing w:line="320" w:lineRule="exact"/>
              <w:ind w:firstLine="415" w:firstLineChars="198"/>
              <w:rPr>
                <w:rFonts w:hint="eastAsia"/>
                <w:highlight w:val="none"/>
              </w:rPr>
            </w:pPr>
            <w:r>
              <w:rPr>
                <w:rFonts w:hint="eastAsia"/>
                <w:highlight w:val="none"/>
              </w:rPr>
              <w:t>b．投标文件组成齐全完整，内容均按规定填写。</w:t>
            </w:r>
          </w:p>
          <w:p>
            <w:pPr>
              <w:tabs>
                <w:tab w:val="left" w:pos="3060"/>
              </w:tabs>
              <w:snapToGrid w:val="0"/>
              <w:spacing w:line="320" w:lineRule="exact"/>
              <w:ind w:firstLine="210" w:firstLineChars="100"/>
              <w:rPr>
                <w:rFonts w:hint="eastAsia"/>
                <w:highlight w:val="none"/>
              </w:rPr>
            </w:pPr>
            <w:r>
              <w:rPr>
                <w:rFonts w:hint="eastAsia"/>
                <w:highlight w:val="none"/>
              </w:rPr>
              <w:t>（2）投标文件上法定代表人或其授权代理人的签字、投标人的单位章盖章齐全，符合招标文件规定。</w:t>
            </w:r>
          </w:p>
          <w:p>
            <w:pPr>
              <w:tabs>
                <w:tab w:val="left" w:pos="3060"/>
              </w:tabs>
              <w:snapToGrid w:val="0"/>
              <w:spacing w:line="320" w:lineRule="exact"/>
              <w:ind w:firstLine="105" w:firstLineChars="50"/>
              <w:rPr>
                <w:rFonts w:hint="eastAsia"/>
                <w:highlight w:val="none"/>
              </w:rPr>
            </w:pPr>
            <w:r>
              <w:rPr>
                <w:rFonts w:hint="eastAsia"/>
                <w:highlight w:val="none"/>
              </w:rPr>
              <w:t>（3）投标函中的报价未超过招标文件设定的最高投标限价。</w:t>
            </w:r>
          </w:p>
          <w:p>
            <w:pPr>
              <w:tabs>
                <w:tab w:val="left" w:pos="3060"/>
              </w:tabs>
              <w:snapToGrid w:val="0"/>
              <w:spacing w:line="320" w:lineRule="exact"/>
              <w:ind w:firstLine="105" w:firstLineChars="50"/>
              <w:rPr>
                <w:rFonts w:hint="eastAsia"/>
                <w:highlight w:val="none"/>
              </w:rPr>
            </w:pPr>
            <w:r>
              <w:rPr>
                <w:rFonts w:hint="eastAsia"/>
                <w:highlight w:val="none"/>
              </w:rPr>
              <w:t>（4）投标函中报价的大写金额能够确定具体数值。</w:t>
            </w:r>
          </w:p>
          <w:p>
            <w:pPr>
              <w:tabs>
                <w:tab w:val="left" w:pos="3060"/>
              </w:tabs>
              <w:snapToGrid w:val="0"/>
              <w:spacing w:line="320" w:lineRule="exact"/>
              <w:ind w:firstLine="105" w:firstLineChars="50"/>
              <w:rPr>
                <w:rFonts w:hint="default" w:eastAsia="宋体"/>
                <w:highlight w:val="none"/>
                <w:lang w:val="en-US" w:eastAsia="zh-CN"/>
              </w:rPr>
            </w:pPr>
            <w:r>
              <w:rPr>
                <w:rFonts w:hint="eastAsia"/>
                <w:highlight w:val="none"/>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2.1.2</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资格评审标准</w:t>
            </w:r>
          </w:p>
        </w:tc>
        <w:tc>
          <w:tcPr>
            <w:tcW w:w="7250" w:type="dxa"/>
            <w:noWrap w:val="0"/>
            <w:vAlign w:val="top"/>
          </w:tcPr>
          <w:p>
            <w:pPr>
              <w:pStyle w:val="3"/>
              <w:snapToGrid w:val="0"/>
              <w:spacing w:after="0" w:line="320" w:lineRule="exact"/>
              <w:rPr>
                <w:rFonts w:hint="eastAsia" w:ascii="宋体" w:hAnsi="宋体" w:cs="宋体"/>
                <w:szCs w:val="21"/>
                <w:highlight w:val="none"/>
              </w:rPr>
            </w:pPr>
            <w:r>
              <w:rPr>
                <w:rFonts w:hint="eastAsia" w:ascii="宋体" w:hAnsi="宋体" w:cs="宋体"/>
                <w:szCs w:val="21"/>
                <w:highlight w:val="none"/>
              </w:rPr>
              <w:t>（1）投标人具有有效的营业执照和基本账户开户许可证（或基本存款账户信息）；</w:t>
            </w:r>
          </w:p>
          <w:p>
            <w:pPr>
              <w:pStyle w:val="3"/>
              <w:snapToGrid w:val="0"/>
              <w:spacing w:after="0" w:line="320" w:lineRule="exact"/>
              <w:rPr>
                <w:rFonts w:hint="eastAsia" w:ascii="宋体" w:hAnsi="宋体" w:cs="宋体"/>
                <w:szCs w:val="21"/>
                <w:highlight w:val="none"/>
              </w:rPr>
            </w:pPr>
            <w:r>
              <w:rPr>
                <w:rFonts w:hint="eastAsia" w:ascii="宋体" w:hAnsi="宋体" w:cs="宋体"/>
                <w:szCs w:val="21"/>
                <w:highlight w:val="none"/>
              </w:rPr>
              <w:t>（2）投标人的</w:t>
            </w:r>
            <w:r>
              <w:rPr>
                <w:rFonts w:hint="eastAsia" w:ascii="宋体" w:hAnsi="宋体" w:cs="宋体"/>
                <w:szCs w:val="21"/>
                <w:highlight w:val="none"/>
                <w:lang w:val="en-US" w:eastAsia="zh-CN"/>
              </w:rPr>
              <w:t>资质要求</w:t>
            </w:r>
            <w:r>
              <w:rPr>
                <w:rFonts w:hint="eastAsia" w:ascii="宋体" w:hAnsi="宋体" w:cs="宋体"/>
                <w:szCs w:val="21"/>
                <w:highlight w:val="none"/>
              </w:rPr>
              <w:t>符合招标文件规定</w:t>
            </w:r>
            <w:r>
              <w:rPr>
                <w:rFonts w:hint="eastAsia" w:ascii="宋体" w:hAnsi="宋体" w:cs="宋体"/>
                <w:szCs w:val="21"/>
                <w:highlight w:val="none"/>
                <w:lang w:eastAsia="zh-CN"/>
              </w:rPr>
              <w:t>，</w:t>
            </w:r>
            <w:r>
              <w:rPr>
                <w:rFonts w:hint="eastAsia"/>
                <w:sz w:val="21"/>
                <w:szCs w:val="21"/>
                <w:highlight w:val="none"/>
                <w:lang w:eastAsia="zh-CN"/>
              </w:rPr>
              <w:t>分公司（分所）参与投标的需提供总公司（总所）针对本次投标的授权</w:t>
            </w:r>
            <w:r>
              <w:rPr>
                <w:rFonts w:hint="eastAsia"/>
                <w:sz w:val="21"/>
                <w:szCs w:val="21"/>
                <w:highlight w:val="none"/>
                <w:lang w:val="en-US" w:eastAsia="zh-CN"/>
              </w:rPr>
              <w:t>书</w:t>
            </w:r>
            <w:r>
              <w:rPr>
                <w:rFonts w:hint="eastAsia" w:ascii="宋体" w:hAnsi="宋体" w:cs="宋体"/>
                <w:szCs w:val="21"/>
                <w:highlight w:val="none"/>
              </w:rPr>
              <w:t>；</w:t>
            </w:r>
          </w:p>
          <w:p>
            <w:pPr>
              <w:pStyle w:val="3"/>
              <w:snapToGrid w:val="0"/>
              <w:spacing w:after="0" w:line="320" w:lineRule="exact"/>
              <w:rPr>
                <w:rFonts w:hint="eastAsia" w:ascii="宋体" w:hAnsi="宋体" w:cs="宋体"/>
                <w:szCs w:val="21"/>
                <w:highlight w:val="none"/>
              </w:rPr>
            </w:pPr>
            <w:r>
              <w:rPr>
                <w:rFonts w:hint="eastAsia" w:ascii="宋体" w:hAnsi="宋体" w:cs="宋体"/>
                <w:szCs w:val="21"/>
                <w:highlight w:val="none"/>
              </w:rPr>
              <w:t>（3）投标人的业绩符合招标文件规定；</w:t>
            </w:r>
          </w:p>
          <w:p>
            <w:pPr>
              <w:pStyle w:val="3"/>
              <w:snapToGrid w:val="0"/>
              <w:spacing w:after="0" w:line="320" w:lineRule="exact"/>
              <w:rPr>
                <w:rFonts w:hint="eastAsia" w:ascii="宋体" w:hAnsi="宋体" w:cs="宋体"/>
                <w:szCs w:val="21"/>
                <w:highlight w:val="none"/>
              </w:rPr>
            </w:pPr>
            <w:r>
              <w:rPr>
                <w:rFonts w:hint="eastAsia" w:ascii="宋体" w:hAnsi="宋体" w:cs="宋体"/>
                <w:szCs w:val="21"/>
                <w:highlight w:val="none"/>
              </w:rPr>
              <w:t>（4）投标人的信誉符合招标文件规定；</w:t>
            </w:r>
          </w:p>
          <w:p>
            <w:pPr>
              <w:pStyle w:val="3"/>
              <w:snapToGrid w:val="0"/>
              <w:spacing w:after="0" w:line="320" w:lineRule="exact"/>
              <w:rPr>
                <w:rFonts w:hint="eastAsia" w:ascii="宋体" w:hAnsi="宋体"/>
                <w:highlight w:val="none"/>
              </w:rPr>
            </w:pPr>
            <w:r>
              <w:rPr>
                <w:rFonts w:hint="eastAsia" w:ascii="宋体" w:hAnsi="宋体" w:cs="宋体"/>
                <w:szCs w:val="21"/>
                <w:highlight w:val="none"/>
              </w:rPr>
              <w:t>（5）</w:t>
            </w:r>
            <w:r>
              <w:rPr>
                <w:rFonts w:hint="eastAsia" w:ascii="宋体" w:hAnsi="宋体"/>
                <w:spacing w:val="-4"/>
                <w:szCs w:val="21"/>
                <w:highlight w:val="none"/>
              </w:rPr>
              <w:t>投标人的项目负责人资格符合招标文件规定；</w:t>
            </w:r>
          </w:p>
          <w:p>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 xml:space="preserve">（6）投标人不存在第二章“投标人须知”第1.4.3项、第1.4.4项规定的任何一种情形。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2.2.1</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分值构成</w:t>
            </w:r>
          </w:p>
        </w:tc>
        <w:tc>
          <w:tcPr>
            <w:tcW w:w="7250" w:type="dxa"/>
            <w:noWrap w:val="0"/>
            <w:vAlign w:val="center"/>
          </w:tcPr>
          <w:p>
            <w:pPr>
              <w:autoSpaceDE w:val="0"/>
              <w:autoSpaceDN w:val="0"/>
              <w:adjustRightInd w:val="0"/>
              <w:snapToGrid w:val="0"/>
              <w:spacing w:line="320" w:lineRule="exact"/>
              <w:ind w:left="107"/>
              <w:jc w:val="left"/>
              <w:rPr>
                <w:rFonts w:hint="eastAsia" w:ascii="宋体" w:hAnsi="宋体" w:cs="宋体"/>
                <w:b/>
                <w:kern w:val="0"/>
                <w:szCs w:val="21"/>
                <w:highlight w:val="none"/>
              </w:rPr>
            </w:pPr>
            <w:r>
              <w:rPr>
                <w:rFonts w:hint="eastAsia" w:ascii="宋体" w:hAnsi="宋体" w:cs="宋体"/>
                <w:b/>
                <w:kern w:val="0"/>
                <w:szCs w:val="21"/>
                <w:highlight w:val="none"/>
              </w:rPr>
              <w:t>第一信封（商务及技术文件）评分分值构成：</w:t>
            </w:r>
          </w:p>
          <w:p>
            <w:pPr>
              <w:autoSpaceDE w:val="0"/>
              <w:autoSpaceDN w:val="0"/>
              <w:adjustRightInd w:val="0"/>
              <w:snapToGrid w:val="0"/>
              <w:spacing w:line="320" w:lineRule="exact"/>
              <w:ind w:left="107"/>
              <w:jc w:val="left"/>
              <w:rPr>
                <w:rFonts w:hint="eastAsia" w:ascii="宋体" w:hAnsi="宋体"/>
                <w:szCs w:val="21"/>
                <w:highlight w:val="none"/>
              </w:rPr>
            </w:pPr>
            <w:r>
              <w:rPr>
                <w:rFonts w:hint="eastAsia" w:ascii="宋体" w:hAnsi="宋体"/>
                <w:szCs w:val="21"/>
                <w:highlight w:val="none"/>
                <w:lang w:val="en-US" w:eastAsia="zh-CN"/>
              </w:rPr>
              <w:t>服务方案</w:t>
            </w:r>
            <w:r>
              <w:rPr>
                <w:rFonts w:hint="eastAsia" w:ascii="宋体" w:hAnsi="宋体"/>
                <w:szCs w:val="21"/>
                <w:highlight w:val="none"/>
              </w:rPr>
              <w:t>：</w:t>
            </w:r>
            <w:r>
              <w:rPr>
                <w:rFonts w:hint="eastAsia" w:ascii="宋体" w:hAnsi="宋体"/>
                <w:szCs w:val="21"/>
                <w:highlight w:val="none"/>
                <w:lang w:val="en-US" w:eastAsia="zh-CN"/>
              </w:rPr>
              <w:t>50</w:t>
            </w:r>
            <w:r>
              <w:rPr>
                <w:rFonts w:hint="eastAsia" w:ascii="宋体" w:hAnsi="宋体"/>
                <w:szCs w:val="21"/>
                <w:highlight w:val="none"/>
              </w:rPr>
              <w:t>分</w:t>
            </w:r>
          </w:p>
          <w:p>
            <w:pPr>
              <w:autoSpaceDE w:val="0"/>
              <w:autoSpaceDN w:val="0"/>
              <w:adjustRightInd w:val="0"/>
              <w:snapToGrid w:val="0"/>
              <w:spacing w:line="320" w:lineRule="exact"/>
              <w:ind w:left="107"/>
              <w:jc w:val="left"/>
              <w:rPr>
                <w:rFonts w:ascii="宋体" w:hAnsi="宋体"/>
                <w:highlight w:val="none"/>
              </w:rPr>
            </w:pPr>
            <w:r>
              <w:rPr>
                <w:rFonts w:hint="eastAsia" w:ascii="宋体" w:hAnsi="宋体"/>
                <w:szCs w:val="21"/>
                <w:highlight w:val="none"/>
              </w:rPr>
              <w:t>主要人员：</w:t>
            </w:r>
            <w:r>
              <w:rPr>
                <w:rFonts w:hint="eastAsia" w:ascii="宋体" w:hAnsi="宋体"/>
                <w:szCs w:val="21"/>
                <w:highlight w:val="none"/>
                <w:lang w:val="en-US" w:eastAsia="zh-CN"/>
              </w:rPr>
              <w:t>20</w:t>
            </w:r>
            <w:r>
              <w:rPr>
                <w:rFonts w:hint="eastAsia" w:ascii="宋体" w:hAnsi="宋体"/>
                <w:szCs w:val="21"/>
                <w:highlight w:val="none"/>
              </w:rPr>
              <w:t>分</w:t>
            </w:r>
          </w:p>
          <w:p>
            <w:pPr>
              <w:autoSpaceDE w:val="0"/>
              <w:autoSpaceDN w:val="0"/>
              <w:adjustRightInd w:val="0"/>
              <w:snapToGrid w:val="0"/>
              <w:spacing w:line="320" w:lineRule="exact"/>
              <w:ind w:left="107"/>
              <w:jc w:val="left"/>
              <w:rPr>
                <w:rFonts w:hint="eastAsia" w:ascii="宋体" w:hAnsi="宋体" w:cs="宋体"/>
                <w:kern w:val="0"/>
                <w:szCs w:val="21"/>
                <w:highlight w:val="none"/>
              </w:rPr>
            </w:pPr>
            <w:r>
              <w:rPr>
                <w:rFonts w:hint="eastAsia" w:ascii="宋体" w:hAnsi="宋体" w:cs="宋体"/>
                <w:kern w:val="0"/>
                <w:szCs w:val="21"/>
                <w:highlight w:val="none"/>
              </w:rPr>
              <w:t>其他因素：</w:t>
            </w:r>
            <w:r>
              <w:rPr>
                <w:rFonts w:hint="eastAsia" w:ascii="宋体" w:hAnsi="宋体" w:cs="宋体"/>
                <w:kern w:val="0"/>
                <w:szCs w:val="21"/>
                <w:highlight w:val="none"/>
                <w:lang w:val="en-US" w:eastAsia="zh-CN"/>
              </w:rPr>
              <w:t>20</w:t>
            </w:r>
            <w:r>
              <w:rPr>
                <w:rFonts w:hint="eastAsia" w:ascii="宋体" w:hAnsi="宋体" w:cs="宋体"/>
                <w:kern w:val="0"/>
                <w:szCs w:val="21"/>
                <w:highlight w:val="none"/>
              </w:rPr>
              <w:t>分</w:t>
            </w:r>
          </w:p>
          <w:p>
            <w:pPr>
              <w:autoSpaceDE w:val="0"/>
              <w:autoSpaceDN w:val="0"/>
              <w:adjustRightInd w:val="0"/>
              <w:snapToGrid w:val="0"/>
              <w:spacing w:line="320" w:lineRule="exact"/>
              <w:ind w:left="107"/>
              <w:jc w:val="left"/>
              <w:rPr>
                <w:rFonts w:hint="eastAsia" w:ascii="宋体" w:hAnsi="宋体" w:cs="宋体"/>
                <w:b/>
                <w:kern w:val="0"/>
                <w:szCs w:val="21"/>
                <w:highlight w:val="none"/>
              </w:rPr>
            </w:pPr>
            <w:r>
              <w:rPr>
                <w:rFonts w:hint="eastAsia" w:ascii="宋体" w:hAnsi="宋体" w:cs="宋体"/>
                <w:b/>
                <w:kern w:val="0"/>
                <w:szCs w:val="21"/>
                <w:highlight w:val="none"/>
              </w:rPr>
              <w:t>第二信封（报价文件）评分分值构成：</w:t>
            </w:r>
          </w:p>
          <w:p>
            <w:pPr>
              <w:autoSpaceDE w:val="0"/>
              <w:autoSpaceDN w:val="0"/>
              <w:adjustRightInd w:val="0"/>
              <w:snapToGrid w:val="0"/>
              <w:spacing w:line="320" w:lineRule="exact"/>
              <w:ind w:left="107"/>
              <w:jc w:val="left"/>
              <w:rPr>
                <w:rFonts w:hint="eastAsia" w:ascii="宋体" w:hAnsi="宋体" w:cs="宋体"/>
                <w:szCs w:val="21"/>
                <w:highlight w:val="none"/>
              </w:rPr>
            </w:pPr>
            <w:r>
              <w:rPr>
                <w:rFonts w:hint="eastAsia" w:ascii="宋体" w:hAnsi="宋体" w:cs="宋体"/>
                <w:szCs w:val="21"/>
                <w:highlight w:val="none"/>
              </w:rPr>
              <w:t xml:space="preserve">评标价：  </w:t>
            </w:r>
            <w:r>
              <w:rPr>
                <w:rFonts w:hint="eastAsia" w:ascii="宋体" w:hAnsi="宋体" w:cs="宋体"/>
                <w:szCs w:val="21"/>
                <w:highlight w:val="none"/>
                <w:lang w:val="en-US" w:eastAsia="zh-CN"/>
              </w:rPr>
              <w:t>10</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2.2.2</w:t>
            </w:r>
          </w:p>
        </w:tc>
        <w:tc>
          <w:tcPr>
            <w:tcW w:w="1052" w:type="dxa"/>
            <w:noWrap w:val="0"/>
            <w:vAlign w:val="center"/>
          </w:tcPr>
          <w:p>
            <w:pPr>
              <w:snapToGrid w:val="0"/>
              <w:spacing w:line="320" w:lineRule="exact"/>
              <w:ind w:left="2"/>
              <w:jc w:val="center"/>
              <w:rPr>
                <w:rFonts w:hint="eastAsia" w:ascii="宋体" w:hAnsi="宋体" w:cs="宋体"/>
                <w:szCs w:val="21"/>
                <w:highlight w:val="none"/>
              </w:rPr>
            </w:pPr>
            <w:r>
              <w:rPr>
                <w:rFonts w:hint="eastAsia" w:ascii="宋体" w:hAnsi="宋体" w:cs="宋体"/>
                <w:szCs w:val="21"/>
                <w:highlight w:val="none"/>
              </w:rPr>
              <w:t>评标基准价计算方法</w:t>
            </w:r>
          </w:p>
        </w:tc>
        <w:tc>
          <w:tcPr>
            <w:tcW w:w="7250" w:type="dxa"/>
            <w:noWrap w:val="0"/>
            <w:vAlign w:val="center"/>
          </w:tcPr>
          <w:p>
            <w:pPr>
              <w:snapToGrid w:val="0"/>
              <w:spacing w:line="320" w:lineRule="exact"/>
              <w:ind w:right="113"/>
              <w:rPr>
                <w:rFonts w:hint="eastAsia" w:ascii="宋体" w:hAnsi="宋体" w:cs="宋体"/>
                <w:szCs w:val="21"/>
                <w:highlight w:val="none"/>
              </w:rPr>
            </w:pPr>
            <w:r>
              <w:rPr>
                <w:rFonts w:hint="eastAsia" w:ascii="宋体" w:hAnsi="宋体" w:cs="宋体"/>
                <w:szCs w:val="21"/>
                <w:highlight w:val="none"/>
              </w:rPr>
              <w:t>评标基准价的计算：</w:t>
            </w:r>
          </w:p>
          <w:p>
            <w:pPr>
              <w:snapToGrid w:val="0"/>
              <w:spacing w:line="320" w:lineRule="exact"/>
              <w:ind w:right="113" w:firstLine="420" w:firstLineChars="200"/>
              <w:rPr>
                <w:rFonts w:hint="eastAsia" w:ascii="宋体" w:hAnsi="宋体" w:cs="宋体"/>
                <w:szCs w:val="21"/>
                <w:highlight w:val="none"/>
              </w:rPr>
            </w:pPr>
            <w:r>
              <w:rPr>
                <w:rFonts w:hint="eastAsia" w:ascii="宋体" w:hAnsi="宋体" w:cs="宋体"/>
                <w:szCs w:val="21"/>
                <w:highlight w:val="none"/>
              </w:rPr>
              <w:t>所有通过第一个信封评审的投标文件，由评标委员会开启第二个信封，并当场计算并宣布评标基准价。</w:t>
            </w:r>
          </w:p>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（1）评标价的确定：</w:t>
            </w:r>
          </w:p>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评标价=投标函文字报价</w:t>
            </w:r>
          </w:p>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（2）评标价平均值的计算：</w:t>
            </w:r>
          </w:p>
          <w:p>
            <w:pPr>
              <w:snapToGrid w:val="0"/>
              <w:spacing w:line="320" w:lineRule="exact"/>
              <w:ind w:right="113" w:firstLine="420" w:firstLineChars="200"/>
              <w:rPr>
                <w:rFonts w:hint="eastAsia" w:ascii="宋体" w:hAnsi="宋体" w:cs="宋体"/>
                <w:szCs w:val="21"/>
                <w:highlight w:val="none"/>
              </w:rPr>
            </w:pPr>
            <w:r>
              <w:rPr>
                <w:rFonts w:hint="eastAsia" w:ascii="宋体" w:hAnsi="宋体" w:cs="宋体"/>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napToGrid w:val="0"/>
              <w:spacing w:line="320" w:lineRule="exact"/>
              <w:ind w:right="113" w:firstLine="420" w:firstLineChars="200"/>
              <w:rPr>
                <w:rFonts w:hint="eastAsia" w:ascii="宋体" w:hAnsi="宋体" w:cs="宋体"/>
                <w:szCs w:val="21"/>
                <w:highlight w:val="none"/>
              </w:rPr>
            </w:pPr>
            <w:r>
              <w:rPr>
                <w:rFonts w:hint="eastAsia" w:ascii="宋体" w:hAnsi="宋体" w:cs="宋体"/>
                <w:szCs w:val="21"/>
                <w:highlight w:val="none"/>
              </w:rPr>
              <w:t>（3）评标基准价的确定：</w:t>
            </w:r>
          </w:p>
          <w:p>
            <w:pPr>
              <w:pStyle w:val="16"/>
              <w:snapToGrid w:val="0"/>
              <w:spacing w:line="320" w:lineRule="exact"/>
              <w:ind w:firstLine="420" w:firstLineChars="200"/>
              <w:jc w:val="both"/>
              <w:rPr>
                <w:rFonts w:hint="eastAsia" w:hAnsi="宋体" w:cs="宋体"/>
                <w:sz w:val="21"/>
                <w:szCs w:val="21"/>
                <w:highlight w:val="none"/>
              </w:rPr>
            </w:pPr>
            <w:r>
              <w:rPr>
                <w:rFonts w:hint="eastAsia" w:hAnsi="宋体" w:cs="宋体"/>
                <w:sz w:val="21"/>
                <w:szCs w:val="21"/>
                <w:highlight w:val="none"/>
              </w:rPr>
              <w:t>将评标价平均值直接作为评标基准价（评标基准价保留两位小数，小数点后第三位四舍五入）。</w:t>
            </w:r>
          </w:p>
          <w:p>
            <w:pPr>
              <w:snapToGrid w:val="0"/>
              <w:spacing w:line="320" w:lineRule="exact"/>
              <w:ind w:right="113" w:firstLine="426" w:firstLineChars="203"/>
              <w:rPr>
                <w:rFonts w:hint="eastAsia" w:ascii="宋体" w:hAnsi="宋体" w:cs="宋体"/>
                <w:szCs w:val="21"/>
                <w:highlight w:val="none"/>
              </w:rPr>
            </w:pPr>
            <w:r>
              <w:rPr>
                <w:rFonts w:hint="eastAsia" w:ascii="宋体" w:hAnsi="宋体" w:cs="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320" w:lineRule="exact"/>
              <w:ind w:right="113" w:firstLine="426" w:firstLineChars="203"/>
              <w:rPr>
                <w:rFonts w:hint="eastAsia" w:ascii="宋体" w:hAnsi="宋体" w:cs="宋体"/>
                <w:szCs w:val="21"/>
                <w:highlight w:val="none"/>
              </w:rPr>
            </w:pPr>
            <w:r>
              <w:rPr>
                <w:rFonts w:hint="eastAsia" w:ascii="宋体" w:hAnsi="宋体" w:cs="宋体"/>
                <w:szCs w:val="21"/>
                <w:highlight w:val="none"/>
              </w:rPr>
              <w:t>当所有投标价都高于招标人投标控制价上限时，招标人将重新招标。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2.2.3</w:t>
            </w:r>
          </w:p>
        </w:tc>
        <w:tc>
          <w:tcPr>
            <w:tcW w:w="1052" w:type="dxa"/>
            <w:noWrap w:val="0"/>
            <w:vAlign w:val="center"/>
          </w:tcPr>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评标价的偏差率计算公式</w:t>
            </w:r>
          </w:p>
        </w:tc>
        <w:tc>
          <w:tcPr>
            <w:tcW w:w="7250" w:type="dxa"/>
            <w:noWrap w:val="0"/>
            <w:vAlign w:val="center"/>
          </w:tcPr>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3.6.1</w:t>
            </w:r>
          </w:p>
        </w:tc>
        <w:tc>
          <w:tcPr>
            <w:tcW w:w="1052" w:type="dxa"/>
            <w:noWrap w:val="0"/>
            <w:vAlign w:val="center"/>
          </w:tcPr>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投标文件相关信息核查</w:t>
            </w:r>
          </w:p>
        </w:tc>
        <w:tc>
          <w:tcPr>
            <w:tcW w:w="7250" w:type="dxa"/>
            <w:noWrap w:val="0"/>
            <w:vAlign w:val="center"/>
          </w:tcPr>
          <w:p>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（1）评标委员会评标时对投标人的信用情况在“国家企业信用信息公示系统（http://www.gsxt.gov.cn/)”进行查询，若投标人存在被列入“严重违法失信名单”情形的，评标委员会应否决其投标。</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2）评标委员会评标时还应对投标人的信用情况在“信用中国网站（http://www.creditchina.gov.cn/)”进行查询，若投标人存在被列入“失信被执行人、异常经营名录、税收违法黑名单、政府采购严重违法失信行为记录名单”情形的，评标委员会应否决其投标。</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如投标人未提供相关网页截图或所附截图内容与网站查询结果不一致，评标委员会应否决其投标。</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3.9.1</w:t>
            </w:r>
          </w:p>
        </w:tc>
        <w:tc>
          <w:tcPr>
            <w:tcW w:w="1052" w:type="dxa"/>
            <w:noWrap w:val="0"/>
            <w:vAlign w:val="center"/>
          </w:tcPr>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评标</w:t>
            </w:r>
          </w:p>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结果</w:t>
            </w:r>
          </w:p>
        </w:tc>
        <w:tc>
          <w:tcPr>
            <w:tcW w:w="7250" w:type="dxa"/>
            <w:noWrap w:val="0"/>
            <w:vAlign w:val="center"/>
          </w:tcPr>
          <w:p>
            <w:pPr>
              <w:snapToGrid w:val="0"/>
              <w:spacing w:line="320" w:lineRule="exact"/>
              <w:ind w:right="113"/>
              <w:rPr>
                <w:rFonts w:hint="eastAsia" w:ascii="宋体" w:hAnsi="宋体" w:cs="宋体"/>
                <w:szCs w:val="21"/>
                <w:highlight w:val="none"/>
              </w:rPr>
            </w:pPr>
            <w:r>
              <w:rPr>
                <w:rFonts w:hint="eastAsia" w:ascii="宋体" w:hAnsi="宋体" w:cs="宋体"/>
                <w:szCs w:val="21"/>
                <w:highlight w:val="none"/>
              </w:rPr>
              <w:t xml:space="preserve">    除第二章“投标人须知”前附表授权直接确定中标人外，评标委员会按照评标办法前附表“1.评标办法”的规定推荐中标候选人。</w:t>
            </w:r>
          </w:p>
        </w:tc>
      </w:tr>
    </w:tbl>
    <w:p>
      <w:pPr>
        <w:jc w:val="right"/>
        <w:rPr>
          <w:rFonts w:ascii="宋体" w:hAnsi="宋体"/>
          <w:szCs w:val="21"/>
          <w:highlight w:val="none"/>
        </w:rPr>
      </w:pPr>
      <w:r>
        <w:rPr>
          <w:rFonts w:ascii="宋体" w:hAnsi="宋体"/>
          <w:sz w:val="24"/>
          <w:highlight w:val="none"/>
        </w:rPr>
        <w:br w:type="page"/>
      </w:r>
      <w:r>
        <w:rPr>
          <w:rFonts w:hint="eastAsia" w:ascii="宋体" w:hAnsi="宋体"/>
          <w:sz w:val="24"/>
          <w:highlight w:val="none"/>
        </w:rPr>
        <w:t>续上表</w:t>
      </w:r>
    </w:p>
    <w:tbl>
      <w:tblPr>
        <w:tblStyle w:val="12"/>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276"/>
        <w:gridCol w:w="63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015" w:type="dxa"/>
            <w:gridSpan w:val="5"/>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评分因素与权重分值</w:t>
            </w:r>
          </w:p>
        </w:tc>
        <w:tc>
          <w:tcPr>
            <w:tcW w:w="5637"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ind w:left="-40" w:leftChars="-19" w:right="-31" w:rightChars="-15" w:firstLine="1"/>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 权重分值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rPr>
              <w:t>各评分因素细分项</w:t>
            </w:r>
          </w:p>
        </w:tc>
        <w:tc>
          <w:tcPr>
            <w:tcW w:w="633" w:type="dxa"/>
            <w:tcBorders>
              <w:lef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5637"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41"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2.2.4（1）</w:t>
            </w:r>
          </w:p>
        </w:tc>
        <w:tc>
          <w:tcPr>
            <w:tcW w:w="741"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sz w:val="21"/>
                <w:szCs w:val="21"/>
                <w:highlight w:val="none"/>
                <w:lang w:val="en-US" w:eastAsia="zh-CN"/>
              </w:rPr>
            </w:pPr>
            <w:r>
              <w:rPr>
                <w:rFonts w:hint="eastAsia" w:hAnsi="宋体" w:eastAsia="宋体" w:cs="宋体"/>
                <w:sz w:val="21"/>
                <w:szCs w:val="21"/>
                <w:highlight w:val="none"/>
                <w:lang w:val="en-US" w:eastAsia="zh-CN"/>
              </w:rPr>
              <w:t>服务方案</w:t>
            </w:r>
          </w:p>
        </w:tc>
        <w:tc>
          <w:tcPr>
            <w:tcW w:w="624"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50</w:t>
            </w:r>
            <w:r>
              <w:rPr>
                <w:rFonts w:hint="eastAsia" w:ascii="宋体" w:hAnsi="宋体" w:eastAsia="宋体" w:cs="宋体"/>
                <w:sz w:val="21"/>
                <w:szCs w:val="21"/>
                <w:highlight w:val="none"/>
              </w:rPr>
              <w:t>分</w:t>
            </w:r>
          </w:p>
        </w:tc>
        <w:tc>
          <w:tcPr>
            <w:tcW w:w="1276" w:type="dxa"/>
            <w:tcBorders>
              <w:top w:val="single" w:color="auto" w:sz="4" w:space="0"/>
            </w:tcBorders>
            <w:noWrap w:val="0"/>
            <w:vAlign w:val="center"/>
          </w:tcPr>
          <w:p>
            <w:pPr>
              <w:pStyle w:val="18"/>
              <w:ind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总体工作思路及服务方案</w:t>
            </w:r>
          </w:p>
        </w:tc>
        <w:tc>
          <w:tcPr>
            <w:tcW w:w="633" w:type="dxa"/>
            <w:noWrap w:val="0"/>
            <w:vAlign w:val="center"/>
          </w:tcPr>
          <w:p>
            <w:pPr>
              <w:pStyle w:val="18"/>
              <w:ind w:right="119" w:rightChars="0"/>
              <w:jc w:val="center"/>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5637" w:type="dxa"/>
            <w:noWrap w:val="0"/>
            <w:vAlign w:val="center"/>
          </w:tcPr>
          <w:p>
            <w:pPr>
              <w:pStyle w:val="18"/>
              <w:ind w:right="119"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根据项目的服务需求做出深入分析，思路清晰， 实施步骤明晰，措施完善可行，对实施过程有规范的管理。优得</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分，中得</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tcBorders>
              <w:top w:val="single" w:color="auto" w:sz="4" w:space="0"/>
            </w:tcBorders>
            <w:noWrap w:val="0"/>
            <w:tcMar>
              <w:top w:w="0" w:type="dxa"/>
              <w:left w:w="108" w:type="dxa"/>
              <w:bottom w:w="0" w:type="dxa"/>
              <w:right w:w="108" w:type="dxa"/>
            </w:tcMar>
            <w:vAlign w:val="center"/>
          </w:tcPr>
          <w:p>
            <w:pPr>
              <w:pStyle w:val="18"/>
              <w:ind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根据实际情况，对本项目特点的认识和理解</w:t>
            </w:r>
          </w:p>
        </w:tc>
        <w:tc>
          <w:tcPr>
            <w:tcW w:w="633" w:type="dxa"/>
            <w:noWrap w:val="0"/>
            <w:vAlign w:val="center"/>
          </w:tcPr>
          <w:p>
            <w:pPr>
              <w:pStyle w:val="18"/>
              <w:ind w:right="-3" w:righ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5637" w:type="dxa"/>
            <w:noWrap w:val="0"/>
            <w:vAlign w:val="center"/>
          </w:tcPr>
          <w:p>
            <w:pPr>
              <w:pStyle w:val="18"/>
              <w:ind w:right="119"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对本项目特点的认识和理解，能把握其重点、难点并给出有效的处理方法。优得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分，中得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tcBorders>
              <w:top w:val="single" w:color="auto" w:sz="4" w:space="0"/>
            </w:tcBorders>
            <w:noWrap w:val="0"/>
            <w:vAlign w:val="center"/>
          </w:tcPr>
          <w:p>
            <w:pPr>
              <w:pStyle w:val="18"/>
              <w:ind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进度、计划安排及保证进度的承诺</w:t>
            </w:r>
          </w:p>
        </w:tc>
        <w:tc>
          <w:tcPr>
            <w:tcW w:w="633" w:type="dxa"/>
            <w:noWrap w:val="0"/>
            <w:vAlign w:val="center"/>
          </w:tcPr>
          <w:p>
            <w:pPr>
              <w:pStyle w:val="18"/>
              <w:ind w:right="119"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5637" w:type="dxa"/>
            <w:noWrap w:val="0"/>
            <w:vAlign w:val="center"/>
          </w:tcPr>
          <w:p>
            <w:pPr>
              <w:pStyle w:val="18"/>
              <w:ind w:right="119"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主要根据</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具体的进度、计划安排时间及违约承诺等方面考虑。优得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～10分，中得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tcBorders>
              <w:top w:val="single" w:color="auto" w:sz="4" w:space="0"/>
            </w:tcBorders>
            <w:noWrap w:val="0"/>
            <w:vAlign w:val="center"/>
          </w:tcPr>
          <w:p>
            <w:pPr>
              <w:pStyle w:val="18"/>
              <w:ind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服务质量保证措施、保密措施</w:t>
            </w:r>
          </w:p>
        </w:tc>
        <w:tc>
          <w:tcPr>
            <w:tcW w:w="633" w:type="dxa"/>
            <w:noWrap w:val="0"/>
            <w:vAlign w:val="center"/>
          </w:tcPr>
          <w:p>
            <w:pPr>
              <w:pStyle w:val="18"/>
              <w:ind w:right="119"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5637" w:type="dxa"/>
            <w:noWrap w:val="0"/>
            <w:vAlign w:val="center"/>
          </w:tcPr>
          <w:p>
            <w:pPr>
              <w:pStyle w:val="18"/>
              <w:ind w:right="119"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根据质量控制措施、准确度、工作时效高效、快捷及违约承诺方面考虑。优得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～10分，中得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noWrap w:val="0"/>
            <w:vAlign w:val="center"/>
          </w:tcPr>
          <w:p>
            <w:pPr>
              <w:pStyle w:val="18"/>
              <w:ind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服务承诺及合同期满后后续服务承诺</w:t>
            </w:r>
          </w:p>
        </w:tc>
        <w:tc>
          <w:tcPr>
            <w:tcW w:w="633" w:type="dxa"/>
            <w:noWrap w:val="0"/>
            <w:vAlign w:val="center"/>
          </w:tcPr>
          <w:p>
            <w:pPr>
              <w:pStyle w:val="18"/>
              <w:ind w:right="-3"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5分</w:t>
            </w:r>
          </w:p>
        </w:tc>
        <w:tc>
          <w:tcPr>
            <w:tcW w:w="5637" w:type="dxa"/>
            <w:noWrap w:val="0"/>
            <w:vAlign w:val="center"/>
          </w:tcPr>
          <w:p>
            <w:pPr>
              <w:pStyle w:val="18"/>
              <w:ind w:right="119"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根据服务承诺、服务标准详细周全合理程度。优得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～5分，中得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分，一般得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41"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2.2.4（2）</w:t>
            </w:r>
          </w:p>
        </w:tc>
        <w:tc>
          <w:tcPr>
            <w:tcW w:w="741"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主要人员</w:t>
            </w:r>
          </w:p>
        </w:tc>
        <w:tc>
          <w:tcPr>
            <w:tcW w:w="624"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1276"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633"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满足资格审查条件（项目负责人最低要求）的，得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33"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项目负责人从事税务咨询工作年限超过10年得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分，满5年得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分,5年以下得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注：从事税务咨询工作年限以注册税务师注册证书初始注册时间</w:t>
            </w:r>
            <w:r>
              <w:rPr>
                <w:rFonts w:hint="eastAsia" w:ascii="宋体" w:hAnsi="宋体" w:eastAsia="宋体" w:cs="宋体"/>
                <w:sz w:val="21"/>
                <w:szCs w:val="21"/>
                <w:highlight w:val="none"/>
                <w:lang w:val="en-US" w:eastAsia="zh-CN"/>
              </w:rPr>
              <w:t>或批准时间</w:t>
            </w:r>
            <w:r>
              <w:rPr>
                <w:rFonts w:hint="eastAsia" w:ascii="宋体" w:hAnsi="宋体" w:eastAsia="宋体" w:cs="宋体"/>
                <w:sz w:val="21"/>
                <w:szCs w:val="21"/>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r>
              <w:rPr>
                <w:rFonts w:hint="eastAsia" w:hAnsi="宋体" w:eastAsia="宋体" w:cs="宋体"/>
                <w:sz w:val="21"/>
                <w:szCs w:val="21"/>
                <w:highlight w:val="none"/>
                <w:lang w:val="en-US" w:eastAsia="zh-CN"/>
              </w:rPr>
              <w:t>团队其他</w:t>
            </w:r>
            <w:r>
              <w:rPr>
                <w:rFonts w:hint="eastAsia" w:ascii="宋体" w:hAnsi="宋体" w:eastAsia="宋体" w:cs="宋体"/>
                <w:sz w:val="21"/>
                <w:szCs w:val="21"/>
                <w:highlight w:val="none"/>
              </w:rPr>
              <w:t>成员</w:t>
            </w:r>
          </w:p>
        </w:tc>
        <w:tc>
          <w:tcPr>
            <w:tcW w:w="633"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Times New Roman" w:hAnsi="Times New Roman" w:eastAsia="宋体" w:cs="Times New Roman"/>
                <w:b w:val="0"/>
                <w:kern w:val="2"/>
                <w:sz w:val="21"/>
                <w:szCs w:val="24"/>
                <w:highlight w:val="none"/>
                <w:lang w:val="en-US" w:eastAsia="zh-CN" w:bidi="ar-SA"/>
              </w:rPr>
            </w:pPr>
            <w:r>
              <w:rPr>
                <w:rFonts w:hint="eastAsia" w:ascii="宋体" w:hAnsi="宋体" w:eastAsia="宋体" w:cs="宋体"/>
                <w:sz w:val="21"/>
                <w:szCs w:val="21"/>
                <w:highlight w:val="none"/>
              </w:rPr>
              <w:t>项目</w:t>
            </w:r>
            <w:r>
              <w:rPr>
                <w:rFonts w:hint="eastAsia" w:hAnsi="宋体" w:eastAsia="宋体" w:cs="宋体"/>
                <w:sz w:val="21"/>
                <w:szCs w:val="21"/>
                <w:highlight w:val="none"/>
                <w:lang w:val="en-US" w:eastAsia="zh-CN"/>
              </w:rPr>
              <w:t>团队其他</w:t>
            </w:r>
            <w:r>
              <w:rPr>
                <w:rFonts w:hint="eastAsia" w:ascii="宋体" w:hAnsi="宋体" w:eastAsia="宋体" w:cs="宋体"/>
                <w:sz w:val="21"/>
                <w:szCs w:val="21"/>
                <w:highlight w:val="none"/>
              </w:rPr>
              <w:t>成员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项目负责人</w:t>
            </w:r>
            <w:r>
              <w:rPr>
                <w:rFonts w:hint="eastAsia" w:ascii="宋体" w:hAnsi="宋体" w:eastAsia="宋体" w:cs="宋体"/>
                <w:sz w:val="21"/>
                <w:szCs w:val="21"/>
                <w:highlight w:val="none"/>
                <w:lang w:val="en-US" w:eastAsia="zh-CN"/>
              </w:rPr>
              <w:t>除外</w:t>
            </w:r>
            <w:r>
              <w:rPr>
                <w:rFonts w:hint="eastAsia" w:ascii="宋体" w:hAnsi="宋体" w:eastAsia="宋体" w:cs="宋体"/>
                <w:sz w:val="21"/>
                <w:szCs w:val="21"/>
                <w:highlight w:val="none"/>
                <w:lang w:eastAsia="zh-CN"/>
              </w:rPr>
              <w:t>）</w:t>
            </w:r>
            <w:r>
              <w:rPr>
                <w:rFonts w:hint="eastAsia" w:ascii="Times New Roman" w:hAnsi="Times New Roman" w:eastAsia="宋体" w:cs="Times New Roman"/>
                <w:b w:val="0"/>
                <w:kern w:val="2"/>
                <w:sz w:val="21"/>
                <w:szCs w:val="24"/>
                <w:highlight w:val="none"/>
                <w:lang w:val="en-US" w:eastAsia="zh-CN" w:bidi="ar-SA"/>
              </w:rPr>
              <w:t>每有一人具备注册税务师证书的得1.5分，最高得10分。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41" w:type="dxa"/>
            <w:tcBorders>
              <w:top w:val="nil"/>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2.2.4（3）</w:t>
            </w:r>
          </w:p>
        </w:tc>
        <w:tc>
          <w:tcPr>
            <w:tcW w:w="741" w:type="dxa"/>
            <w:tcBorders>
              <w:top w:val="nil"/>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w:t>
            </w:r>
          </w:p>
        </w:tc>
        <w:tc>
          <w:tcPr>
            <w:tcW w:w="624" w:type="dxa"/>
            <w:tcBorders>
              <w:top w:val="nil"/>
              <w:bottom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7546"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（1）如果投标人的评标价＞评标基准价，则评标价得分=F-（投标人评标价-评标基准价）/评标基准价×100×E1；</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（2）如果投标人的评标价≤评标基准价，则评标价得分=F+(投标人评标价-评标基准价)/评标基准价×100×E2。</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其中，F=</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0；E1=0.2；E2=0.1；评标价最低得分为0分。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41"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2.2.4（4）</w:t>
            </w:r>
          </w:p>
        </w:tc>
        <w:tc>
          <w:tcPr>
            <w:tcW w:w="741"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其他因素</w:t>
            </w:r>
          </w:p>
        </w:tc>
        <w:tc>
          <w:tcPr>
            <w:tcW w:w="624"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1276"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企业业绩</w:t>
            </w:r>
          </w:p>
        </w:tc>
        <w:tc>
          <w:tcPr>
            <w:tcW w:w="633" w:type="dxa"/>
            <w:vMerge w:val="restart"/>
            <w:tcBorders>
              <w:top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hAnsi="宋体" w:eastAsia="宋体" w:cs="宋体"/>
                <w:sz w:val="21"/>
                <w:szCs w:val="21"/>
                <w:highlight w:val="none"/>
                <w:lang w:val="en-US" w:eastAsia="zh-CN"/>
              </w:rPr>
              <w:t>15</w:t>
            </w:r>
            <w:r>
              <w:rPr>
                <w:rFonts w:hint="eastAsia" w:ascii="宋体" w:hAnsi="宋体" w:eastAsia="宋体" w:cs="宋体"/>
                <w:sz w:val="21"/>
                <w:szCs w:val="21"/>
                <w:highlight w:val="none"/>
              </w:rPr>
              <w:t>分</w:t>
            </w:r>
          </w:p>
        </w:tc>
        <w:tc>
          <w:tcPr>
            <w:tcW w:w="5637"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满足资格审查条件（业绩最低要求）的，得</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33"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5637"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每增加一项满足资格审查条件（业绩最低要求）的业绩加</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分，本项最多加</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741"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624"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p>
        </w:tc>
        <w:tc>
          <w:tcPr>
            <w:tcW w:w="1276"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sz w:val="21"/>
                <w:szCs w:val="21"/>
                <w:highlight w:val="none"/>
                <w:lang w:val="en-US" w:eastAsia="zh-CN"/>
              </w:rPr>
            </w:pPr>
            <w:r>
              <w:rPr>
                <w:rFonts w:hint="eastAsia" w:hAnsi="宋体" w:eastAsia="宋体" w:cs="宋体"/>
                <w:sz w:val="21"/>
                <w:szCs w:val="21"/>
                <w:highlight w:val="none"/>
                <w:lang w:val="en-US" w:eastAsia="zh-CN"/>
              </w:rPr>
              <w:t>企业实力</w:t>
            </w:r>
          </w:p>
        </w:tc>
        <w:tc>
          <w:tcPr>
            <w:tcW w:w="633"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宋体" w:hAnsi="宋体" w:eastAsia="宋体" w:cs="宋体"/>
                <w:sz w:val="21"/>
                <w:szCs w:val="21"/>
                <w:highlight w:val="none"/>
                <w:lang w:val="en-US" w:eastAsia="zh-CN"/>
              </w:rPr>
            </w:pPr>
            <w:r>
              <w:rPr>
                <w:rFonts w:hint="eastAsia" w:hAnsi="宋体" w:eastAsia="宋体" w:cs="宋体"/>
                <w:sz w:val="21"/>
                <w:szCs w:val="21"/>
                <w:highlight w:val="none"/>
                <w:lang w:val="en-US" w:eastAsia="zh-CN"/>
              </w:rPr>
              <w:t>5分</w:t>
            </w:r>
          </w:p>
        </w:tc>
        <w:tc>
          <w:tcPr>
            <w:tcW w:w="5637" w:type="dxa"/>
            <w:tcBorders>
              <w:top w:val="single" w:color="auto" w:sz="4" w:space="0"/>
            </w:tcBorders>
            <w:noWrap w:val="0"/>
            <w:vAlign w:val="center"/>
          </w:tcPr>
          <w:p>
            <w:pPr>
              <w:pStyle w:val="5"/>
              <w:pageBreakBefore w:val="0"/>
              <w:widowControl w:val="0"/>
              <w:numPr>
                <w:ilvl w:val="0"/>
                <w:numId w:val="0"/>
              </w:numPr>
              <w:kinsoku/>
              <w:wordWrap/>
              <w:overflowPunct/>
              <w:topLinePunct w:val="0"/>
              <w:autoSpaceDE/>
              <w:autoSpaceDN/>
              <w:bidi w:val="0"/>
              <w:adjustRightInd/>
              <w:snapToGrid w:val="0"/>
              <w:spacing w:line="320" w:lineRule="exact"/>
              <w:textAlignment w:val="auto"/>
              <w:rPr>
                <w:rFonts w:hint="default"/>
                <w:highlight w:val="none"/>
                <w:lang w:val="en-US" w:eastAsia="zh-CN"/>
              </w:rPr>
            </w:pPr>
            <w:r>
              <w:rPr>
                <w:rFonts w:hint="eastAsia" w:ascii="宋体" w:hAnsi="宋体" w:eastAsia="宋体" w:cs="宋体"/>
                <w:sz w:val="21"/>
                <w:szCs w:val="21"/>
                <w:highlight w:val="none"/>
                <w:lang w:val="en-US" w:eastAsia="zh-CN"/>
              </w:rPr>
              <w:t>行业主管部门认定为AAA级及以上且评标时在有效期内，得5分；行业主管部门认定为AA或A级，得3分。</w:t>
            </w:r>
          </w:p>
        </w:tc>
      </w:tr>
    </w:tbl>
    <w:p>
      <w:pPr>
        <w:pStyle w:val="10"/>
        <w:rPr>
          <w:rFonts w:hAnsi="宋体"/>
          <w:highlight w:val="none"/>
        </w:rPr>
      </w:pPr>
    </w:p>
    <w:p>
      <w:pPr>
        <w:pStyle w:val="10"/>
        <w:rPr>
          <w:rFonts w:hAnsi="宋体"/>
          <w:highlight w:val="none"/>
        </w:rPr>
      </w:pPr>
      <w:r>
        <w:rPr>
          <w:rFonts w:hint="eastAsia" w:hAnsi="宋体"/>
          <w:highlight w:val="none"/>
        </w:rPr>
        <w:t>注：1、</w:t>
      </w:r>
      <w:r>
        <w:rPr>
          <w:rFonts w:hAnsi="宋体"/>
          <w:highlight w:val="none"/>
        </w:rPr>
        <w:t>各评分因素得分应以评标委员会各成员的打分平均值确定</w:t>
      </w:r>
      <w:r>
        <w:rPr>
          <w:rFonts w:hint="eastAsia" w:hAnsi="宋体"/>
          <w:highlight w:val="none"/>
          <w:lang w:eastAsia="zh-CN"/>
        </w:rPr>
        <w:t>，</w:t>
      </w:r>
      <w:r>
        <w:rPr>
          <w:rFonts w:hAnsi="宋体"/>
          <w:highlight w:val="none"/>
        </w:rPr>
        <w:t>各评分平均值</w:t>
      </w:r>
      <w:r>
        <w:rPr>
          <w:rFonts w:hint="eastAsia" w:hAnsi="宋体"/>
          <w:highlight w:val="none"/>
          <w:lang w:val="en-US" w:eastAsia="zh-CN"/>
        </w:rPr>
        <w:t>保留两位小数，第三位四舍五入</w:t>
      </w:r>
      <w:r>
        <w:rPr>
          <w:rFonts w:hint="eastAsia" w:hAnsi="宋体"/>
          <w:highlight w:val="none"/>
        </w:rPr>
        <w:t>。</w:t>
      </w:r>
    </w:p>
    <w:p>
      <w:r>
        <w:rPr>
          <w:rFonts w:hint="eastAsia" w:hAnsi="宋体"/>
          <w:highlight w:val="none"/>
        </w:rPr>
        <w:t>2、</w:t>
      </w:r>
      <w:r>
        <w:rPr>
          <w:rFonts w:hint="eastAsia" w:hAnsi="宋体"/>
          <w:highlight w:val="none"/>
          <w:lang w:eastAsia="zh-CN"/>
        </w:rPr>
        <w:t>服务方案</w:t>
      </w:r>
      <w:r>
        <w:rPr>
          <w:rFonts w:hint="eastAsia" w:hAnsi="宋体"/>
          <w:highlight w:val="none"/>
        </w:rPr>
        <w:t>中的评分项缺项则该项得0分。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21B87493"/>
    <w:rsid w:val="31EE2D0D"/>
    <w:rsid w:val="73C67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keepLines/>
      <w:widowControl w:val="0"/>
      <w:spacing w:before="260" w:after="260" w:line="412" w:lineRule="auto"/>
      <w:outlineLvl w:val="1"/>
    </w:pPr>
    <w:rPr>
      <w:rFonts w:ascii="Arial" w:hAnsi="Arial" w:eastAsia="黑体"/>
      <w:b/>
      <w:kern w:val="2"/>
      <w:sz w:val="32"/>
    </w:rPr>
  </w:style>
  <w:style w:type="paragraph" w:styleId="9">
    <w:name w:val="heading 3"/>
    <w:basedOn w:val="1"/>
    <w:next w:val="1"/>
    <w:qFormat/>
    <w:uiPriority w:val="0"/>
    <w:pPr>
      <w:keepNext/>
      <w:keepLines/>
      <w:widowControl w:val="0"/>
      <w:spacing w:before="260" w:after="260" w:line="412" w:lineRule="auto"/>
      <w:outlineLvl w:val="2"/>
    </w:pPr>
    <w:rPr>
      <w:b/>
      <w:bCs/>
      <w:kern w:val="2"/>
      <w:sz w:val="32"/>
      <w:szCs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autoSpaceDE w:val="0"/>
      <w:autoSpaceDN w:val="0"/>
      <w:adjustRightInd w:val="0"/>
      <w:ind w:firstLine="420"/>
      <w:jc w:val="left"/>
      <w:textAlignment w:val="baseline"/>
    </w:pPr>
    <w:rPr>
      <w:rFonts w:ascii="宋体"/>
      <w:sz w:val="34"/>
    </w:rPr>
  </w:style>
  <w:style w:type="paragraph" w:styleId="3">
    <w:name w:val="Body Text"/>
    <w:basedOn w:val="1"/>
    <w:next w:val="4"/>
    <w:qFormat/>
    <w:uiPriority w:val="0"/>
    <w:pPr>
      <w:spacing w:after="120"/>
    </w:pPr>
    <w:rPr>
      <w:kern w:val="2"/>
      <w:sz w:val="21"/>
      <w:szCs w:val="24"/>
    </w:rPr>
  </w:style>
  <w:style w:type="paragraph" w:customStyle="1" w:styleId="4">
    <w:name w:val="正文文本 21"/>
    <w:basedOn w:val="1"/>
    <w:qFormat/>
    <w:uiPriority w:val="0"/>
    <w:pPr>
      <w:adjustRightInd w:val="0"/>
      <w:spacing w:line="360" w:lineRule="atLeast"/>
      <w:ind w:left="480"/>
    </w:pPr>
    <w:rPr>
      <w:rFonts w:ascii="宋体"/>
      <w:kern w:val="0"/>
      <w:sz w:val="24"/>
      <w:szCs w:val="20"/>
    </w:rPr>
  </w:style>
  <w:style w:type="paragraph" w:styleId="5">
    <w:name w:val="Body Text First Indent 2"/>
    <w:basedOn w:val="1"/>
    <w:next w:val="6"/>
    <w:qFormat/>
    <w:uiPriority w:val="0"/>
    <w:pPr>
      <w:ind w:firstLine="420" w:firstLineChars="200"/>
    </w:pPr>
  </w:style>
  <w:style w:type="paragraph" w:styleId="6">
    <w:name w:val="annotation text"/>
    <w:basedOn w:val="1"/>
    <w:next w:val="7"/>
    <w:qFormat/>
    <w:uiPriority w:val="0"/>
    <w:pPr>
      <w:jc w:val="left"/>
    </w:pPr>
    <w:rPr>
      <w:rFonts w:ascii="宋体"/>
      <w:color w:val="0000FF"/>
      <w:sz w:val="24"/>
    </w:rPr>
  </w:style>
  <w:style w:type="paragraph" w:styleId="7">
    <w:name w:val="table of authorities"/>
    <w:basedOn w:val="1"/>
    <w:next w:val="1"/>
    <w:uiPriority w:val="0"/>
    <w:pPr>
      <w:ind w:left="200" w:leftChars="200"/>
    </w:pPr>
  </w:style>
  <w:style w:type="paragraph" w:styleId="10">
    <w:name w:val="Plain Text"/>
    <w:basedOn w:val="1"/>
    <w:next w:val="1"/>
    <w:qFormat/>
    <w:uiPriority w:val="0"/>
    <w:rPr>
      <w:rFonts w:ascii="宋体"/>
      <w:szCs w:val="21"/>
    </w:rPr>
  </w:style>
  <w:style w:type="paragraph" w:styleId="11">
    <w:name w:val="Normal (Web)"/>
    <w:basedOn w:val="1"/>
    <w:qFormat/>
    <w:uiPriority w:val="0"/>
    <w:pPr>
      <w:widowControl/>
      <w:spacing w:before="100" w:beforeAutospacing="1" w:after="100" w:afterAutospacing="1"/>
      <w:jc w:val="left"/>
    </w:pPr>
    <w:rPr>
      <w:rFonts w:ascii="宋体" w:cs="Arial"/>
      <w:color w:val="0000FF"/>
      <w:kern w:val="0"/>
      <w:sz w:val="24"/>
      <w:lang w:bidi="ar-SA"/>
    </w:rPr>
  </w:style>
  <w:style w:type="paragraph" w:customStyle="1" w:styleId="14">
    <w:name w:val="目录3"/>
    <w:qFormat/>
    <w:uiPriority w:val="0"/>
    <w:pPr>
      <w:widowControl w:val="0"/>
      <w:spacing w:before="50" w:beforeLines="50" w:after="50" w:afterLines="50" w:line="400" w:lineRule="exact"/>
      <w:jc w:val="both"/>
    </w:pPr>
    <w:rPr>
      <w:rFonts w:ascii="黑体" w:hAnsi="Times New Roman" w:eastAsia="黑体" w:cs="Times New Roman"/>
      <w:kern w:val="2"/>
      <w:sz w:val="24"/>
      <w:szCs w:val="24"/>
      <w:lang w:val="en-US" w:eastAsia="zh-CN" w:bidi="ar-SA"/>
    </w:rPr>
  </w:style>
  <w:style w:type="paragraph" w:customStyle="1" w:styleId="15">
    <w:name w:val="样式54"/>
    <w:basedOn w:val="8"/>
    <w:qFormat/>
    <w:uiPriority w:val="0"/>
    <w:pPr>
      <w:spacing w:before="0" w:after="0" w:line="360" w:lineRule="auto"/>
      <w:jc w:val="center"/>
    </w:pPr>
  </w:style>
  <w:style w:type="paragraph" w:customStyle="1" w:styleId="16">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7">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8">
    <w:name w:val="Table Paragraph"/>
    <w:basedOn w:val="1"/>
    <w:unhideWhenUsed/>
    <w:qFormat/>
    <w:uiPriority w:val="1"/>
    <w:pPr>
      <w:widowControl/>
      <w:jc w:val="left"/>
    </w:pPr>
    <w:rPr>
      <w:rFonts w:ascii="Calibri" w:hAnsi="Calibr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5324</Words>
  <Characters>5716</Characters>
  <Lines>0</Lines>
  <Paragraphs>0</Paragraphs>
  <TotalTime>0</TotalTime>
  <ScaleCrop>false</ScaleCrop>
  <LinksUpToDate>false</LinksUpToDate>
  <CharactersWithSpaces>5768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2023-02-02T08:34:00Z</dcterms:created>
  <dc:creator>Administrator</dc:creator>
  <cp:lastModifiedBy>丁燕</cp:lastModifiedBy>
  <dcterms:modified xsi:type="dcterms:W3CDTF">2023-02-03T02:15:58Z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70CCC7E67358468D90A3CB13E2447E07</vt:lpwstr>
  </property>
</Properties>
</file>